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2)*</w:t>
      </w:r>
    </w:p>
    <w:p>
      <w:pPr>
        <w:jc w:val="center"/>
        <w:spacing w:after="0" w:line="237" w:lineRule="auto"/>
        <w:rPr>
          <w:sz w:val="20"/>
          <w:szCs w:val="20"/>
          <w:color w:val="auto"/>
        </w:rPr>
      </w:pPr>
      <w:r>
        <w:rPr>
          <w:rFonts w:ascii="Arial" w:cs="Arial" w:eastAsia="Arial" w:hAnsi="Arial"/>
          <w:sz w:val="43"/>
          <w:szCs w:val="43"/>
          <w:b w:val="1"/>
          <w:bCs w:val="1"/>
          <w:u w:val="single" w:color="auto"/>
          <w:color w:val="auto"/>
        </w:rPr>
        <w:t>Quantum-Si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Class A common stock, par value $0.0001 per share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74765K105</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December 31, 2022</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3"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15" w:lineRule="exact"/>
        <w:rPr>
          <w:rFonts w:ascii="MS PGothic" w:cs="MS PGothic" w:eastAsia="MS PGothic" w:hAnsi="MS PGothic"/>
          <w:sz w:val="22"/>
          <w:szCs w:val="22"/>
          <w:color w:val="auto"/>
        </w:rPr>
      </w:pPr>
    </w:p>
    <w:p>
      <w:pPr>
        <w:jc w:val="both"/>
        <w:spacing w:after="0"/>
        <w:rPr>
          <w:rFonts w:ascii="MS PGothic" w:cs="MS PGothic" w:eastAsia="MS PGothic" w:hAnsi="MS PGothic"/>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jc w:val="center"/>
        <w:ind w:right="-19"/>
        <w:spacing w:after="0" w:line="238" w:lineRule="auto"/>
        <w:rPr>
          <w:sz w:val="20"/>
          <w:szCs w:val="20"/>
          <w:color w:val="auto"/>
        </w:rPr>
      </w:pPr>
      <w:r>
        <w:rPr>
          <w:rFonts w:ascii="Arial" w:cs="Arial" w:eastAsia="Arial" w:hAnsi="Arial"/>
          <w:sz w:val="22"/>
          <w:szCs w:val="22"/>
          <w:color w:val="auto"/>
        </w:rPr>
        <w:t>Page 1 of 9 Pages</w:t>
      </w:r>
    </w:p>
    <w:p>
      <w:pPr>
        <w:jc w:val="center"/>
        <w:ind w:right="-19"/>
        <w:spacing w:after="0"/>
        <w:rPr>
          <w:sz w:val="20"/>
          <w:szCs w:val="20"/>
          <w:color w:val="auto"/>
        </w:rPr>
      </w:pPr>
      <w:r>
        <w:rPr>
          <w:rFonts w:ascii="Arial" w:cs="Arial" w:eastAsia="Arial" w:hAnsi="Arial"/>
          <w:sz w:val="22"/>
          <w:szCs w:val="22"/>
          <w:color w:val="auto"/>
        </w:rPr>
        <w:t>Exhibit Index: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74765K105</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40"/>
              <w:spacing w:after="0"/>
              <w:rPr>
                <w:sz w:val="20"/>
                <w:szCs w:val="20"/>
                <w:color w:val="auto"/>
              </w:rPr>
            </w:pPr>
            <w:r>
              <w:rPr>
                <w:rFonts w:ascii="Arial" w:cs="Arial" w:eastAsia="Arial" w:hAnsi="Arial"/>
                <w:sz w:val="18"/>
                <w:szCs w:val="18"/>
                <w:color w:val="auto"/>
                <w:w w:val="83"/>
              </w:rPr>
              <w:t>Page 2 of 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GLENVIEW CAPITAL MANAGEMENT,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9"/>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4,249,956</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4,249,956</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4"/>
              </w:rPr>
              <w:t>4,249,956</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74765K105</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240"/>
              <w:spacing w:after="0"/>
              <w:rPr>
                <w:sz w:val="20"/>
                <w:szCs w:val="20"/>
                <w:color w:val="auto"/>
              </w:rPr>
            </w:pPr>
            <w:r>
              <w:rPr>
                <w:rFonts w:ascii="Arial" w:cs="Arial" w:eastAsia="Arial" w:hAnsi="Arial"/>
                <w:sz w:val="18"/>
                <w:szCs w:val="18"/>
                <w:color w:val="auto"/>
                <w:w w:val="83"/>
              </w:rPr>
              <w:t>Page 3 of 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LARRY ROBBINS</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4,249,956</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4,249,956</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4"/>
              </w:rPr>
              <w:t>4,249,956</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IN, HC</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CUSIP No. 74765K105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 of 9 Pages</w:t>
      </w:r>
    </w:p>
    <w:p>
      <w:pPr>
        <w:spacing w:after="0" w:line="211" w:lineRule="exact"/>
        <w:rPr>
          <w:sz w:val="20"/>
          <w:szCs w:val="20"/>
          <w:color w:val="auto"/>
        </w:rPr>
      </w:pPr>
    </w:p>
    <w:p>
      <w:pPr>
        <w:sectPr>
          <w:pgSz w:w="11900" w:h="16838" w:orient="portrait"/>
          <w:cols w:equalWidth="0" w:num="2">
            <w:col w:w="9240" w:space="720"/>
            <w:col w:w="1280"/>
          </w:cols>
          <w:pgMar w:left="320" w:top="125" w:right="3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11" w:lineRule="exact"/>
        <w:rPr>
          <w:sz w:val="20"/>
          <w:szCs w:val="20"/>
          <w:color w:val="auto"/>
        </w:rPr>
      </w:pPr>
    </w:p>
    <w:p>
      <w:pPr>
        <w:sectPr>
          <w:pgSz w:w="11900" w:h="16838" w:orient="portrait"/>
          <w:cols w:equalWidth="0" w:num="2">
            <w:col w:w="760" w:space="540"/>
            <w:col w:w="9940"/>
          </w:cols>
          <w:pgMar w:left="320" w:top="125" w:right="339" w:bottom="1440" w:gutter="0" w:footer="0" w:header="0"/>
          <w:type w:val="continuous"/>
        </w:sectPr>
      </w:pPr>
    </w:p>
    <w:p>
      <w:pPr>
        <w:spacing w:after="0" w:line="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Quantum-Si Inc. (the “Issuer”)</w:t>
      </w:r>
    </w:p>
    <w:p>
      <w:pPr>
        <w:sectPr>
          <w:pgSz w:w="11900" w:h="16838" w:orient="portrait"/>
          <w:cols w:equalWidth="0" w:num="1">
            <w:col w:w="11240"/>
          </w:cols>
          <w:pgMar w:left="320" w:top="125" w:right="3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211" w:lineRule="exact"/>
        <w:rPr>
          <w:sz w:val="20"/>
          <w:szCs w:val="20"/>
          <w:color w:val="auto"/>
        </w:rPr>
      </w:pPr>
    </w:p>
    <w:p>
      <w:pPr>
        <w:sectPr>
          <w:pgSz w:w="11900" w:h="16838" w:orient="portrait"/>
          <w:cols w:equalWidth="0" w:num="2">
            <w:col w:w="760" w:space="540"/>
            <w:col w:w="9940"/>
          </w:cols>
          <w:pgMar w:left="320" w:top="125" w:right="339" w:bottom="1440" w:gutter="0" w:footer="0" w:header="0"/>
          <w:type w:val="continuous"/>
        </w:sectPr>
      </w:pPr>
    </w:p>
    <w:p>
      <w:pPr>
        <w:spacing w:after="0" w:line="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530 Old Whitfield Street, Guilford, CT 06437</w:t>
      </w:r>
    </w:p>
    <w:p>
      <w:pPr>
        <w:sectPr>
          <w:pgSz w:w="11900" w:h="16838" w:orient="portrait"/>
          <w:cols w:equalWidth="0" w:num="1">
            <w:col w:w="11240"/>
          </w:cols>
          <w:pgMar w:left="320" w:top="125" w:right="3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 Filing</w:t>
      </w:r>
    </w:p>
    <w:p>
      <w:pPr>
        <w:spacing w:after="0" w:line="211" w:lineRule="exact"/>
        <w:rPr>
          <w:sz w:val="20"/>
          <w:szCs w:val="20"/>
          <w:color w:val="auto"/>
        </w:rPr>
      </w:pPr>
    </w:p>
    <w:p>
      <w:pPr>
        <w:sectPr>
          <w:pgSz w:w="11900" w:h="16838" w:orient="portrait"/>
          <w:cols w:equalWidth="0" w:num="2">
            <w:col w:w="760" w:space="540"/>
            <w:col w:w="9940"/>
          </w:cols>
          <w:pgMar w:left="320" w:top="125" w:right="339" w:bottom="1440" w:gutter="0" w:footer="0" w:header="0"/>
          <w:type w:val="continuous"/>
        </w:sectPr>
      </w:pPr>
    </w:p>
    <w:p>
      <w:pPr>
        <w:spacing w:after="0" w:line="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Statement is filed on behalf of each of the following persons (collectively, the “Reporting Persons”):</w:t>
      </w:r>
    </w:p>
    <w:p>
      <w:pPr>
        <w:sectPr>
          <w:pgSz w:w="11900" w:h="16838" w:orient="portrait"/>
          <w:cols w:equalWidth="0" w:num="1">
            <w:col w:w="11240"/>
          </w:cols>
          <w:pgMar w:left="320" w:top="125" w:right="339" w:bottom="1440" w:gutter="0" w:footer="0" w:header="0"/>
          <w:type w:val="continuous"/>
        </w:sectPr>
      </w:pPr>
    </w:p>
    <w:p>
      <w:pPr>
        <w:spacing w:after="0" w:line="268" w:lineRule="exact"/>
        <w:rPr>
          <w:sz w:val="20"/>
          <w:szCs w:val="20"/>
          <w:color w:val="auto"/>
        </w:rPr>
      </w:pPr>
    </w:p>
    <w:p>
      <w:pPr>
        <w:ind w:left="1300" w:right="3020"/>
        <w:spacing w:after="0" w:line="250" w:lineRule="auto"/>
        <w:rPr>
          <w:sz w:val="20"/>
          <w:szCs w:val="20"/>
          <w:color w:val="auto"/>
        </w:rPr>
      </w:pPr>
      <w:r>
        <w:rPr>
          <w:rFonts w:ascii="Arial" w:cs="Arial" w:eastAsia="Arial" w:hAnsi="Arial"/>
          <w:sz w:val="22"/>
          <w:szCs w:val="22"/>
          <w:color w:val="auto"/>
        </w:rPr>
        <w:t>i) Glenview Capital Management, LLC (“Glenview Capital Management”); and ii) Larry Robbins (“Mr. Robbins”).</w:t>
      </w:r>
    </w:p>
    <w:p>
      <w:pPr>
        <w:spacing w:after="0" w:line="202"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This Statement relates to Shares (as defined herein) held for the accounts of Glenview Capital Partners, L.P., a Delaware limited partnership (“Glenview Capital Partners”), Glenview Capital Master Fund, Ltd., a Cayman Islands exempted company (“Glenview Capital Master Fund”), Glenview Institutional Partners, L.P., a Delaware limited partnership (“Glenview Institutional Partners”), Glenview Offshore Opportunity Master Fund, Ltd., a Cayman Islands exempted company (“Glenview Offshore Opportunity Master Fund”), Glenview Capital Opportunity Fund, L.P., a Delaware limited partnership (“Glenview Capital Opportunity Fund”), and Glenview Healthcare Master Fund, L.P., a Cayman Islands limited partnership (“Glenview Healthcare Master Fund”).</w:t>
      </w:r>
    </w:p>
    <w:p>
      <w:pPr>
        <w:spacing w:after="0" w:line="218"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Glenview Capital Management serves as investment manager to each of Glenview Capital Partners, Glenview Capital Master Fund, Glenview Institutional Partners, Glenview Offshore Opportunity Master Fund, Glenview Capital Opportunity Fund, and Glenview Healthcare Master Fund. Mr. Robbins is the Chief Executive Officer of Glenview Capital Management.</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right="440" w:firstLine="1296"/>
        <w:spacing w:after="0" w:line="250" w:lineRule="auto"/>
        <w:rPr>
          <w:sz w:val="20"/>
          <w:szCs w:val="20"/>
          <w:color w:val="auto"/>
        </w:rPr>
      </w:pPr>
      <w:r>
        <w:rPr>
          <w:rFonts w:ascii="Arial" w:cs="Arial" w:eastAsia="Arial" w:hAnsi="Arial"/>
          <w:sz w:val="22"/>
          <w:szCs w:val="22"/>
          <w:color w:val="auto"/>
        </w:rPr>
        <w:t>The address of the principal business office of each of Glenview Capital Management and Mr. Robbins is 767 Fifth Avenue, 44th Floor, New York, New York 10153.</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left="1500" w:hanging="196"/>
        <w:spacing w:after="0"/>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Glenview Capital Management is a Delaware limited liability company;</w:t>
      </w:r>
    </w:p>
    <w:p>
      <w:pPr>
        <w:spacing w:after="0" w:line="8" w:lineRule="exact"/>
        <w:rPr>
          <w:rFonts w:ascii="Arial" w:cs="Arial" w:eastAsia="Arial" w:hAnsi="Arial"/>
          <w:sz w:val="22"/>
          <w:szCs w:val="22"/>
          <w:color w:val="auto"/>
        </w:rPr>
      </w:pPr>
    </w:p>
    <w:p>
      <w:pPr>
        <w:ind w:left="1560" w:hanging="256"/>
        <w:spacing w:after="0"/>
        <w:tabs>
          <w:tab w:leader="none" w:pos="1560" w:val="left"/>
        </w:tabs>
        <w:numPr>
          <w:ilvl w:val="0"/>
          <w:numId w:val="2"/>
        </w:numPr>
        <w:rPr>
          <w:rFonts w:ascii="Arial" w:cs="Arial" w:eastAsia="Arial" w:hAnsi="Arial"/>
          <w:sz w:val="22"/>
          <w:szCs w:val="22"/>
          <w:color w:val="auto"/>
        </w:rPr>
      </w:pPr>
      <w:r>
        <w:rPr>
          <w:rFonts w:ascii="Arial" w:cs="Arial" w:eastAsia="Arial" w:hAnsi="Arial"/>
          <w:sz w:val="22"/>
          <w:szCs w:val="22"/>
          <w:color w:val="auto"/>
        </w:rPr>
        <w:t>Mr. Robbins is a citizen of the United States of America.</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Class A Common Stock, par value $0.0001 per share (the “Shares”)</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74765K105</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3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CUSIP No. 74765K105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5 of 9 Pages</w:t>
      </w:r>
    </w:p>
    <w:p>
      <w:pPr>
        <w:spacing w:after="0" w:line="211" w:lineRule="exact"/>
        <w:rPr>
          <w:sz w:val="20"/>
          <w:szCs w:val="20"/>
          <w:color w:val="auto"/>
        </w:rPr>
      </w:pPr>
    </w:p>
    <w:p>
      <w:pPr>
        <w:sectPr>
          <w:pgSz w:w="11900" w:h="16838" w:orient="portrait"/>
          <w:cols w:equalWidth="0" w:num="2">
            <w:col w:w="9240" w:space="720"/>
            <w:col w:w="1280"/>
          </w:cols>
          <w:pgMar w:left="320" w:top="125" w:right="3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80" w:space="720"/>
            <w:col w:w="994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4(a)</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211" w:lineRule="exact"/>
        <w:rPr>
          <w:sz w:val="20"/>
          <w:szCs w:val="20"/>
          <w:color w:val="auto"/>
        </w:rPr>
      </w:pPr>
    </w:p>
    <w:p>
      <w:pPr>
        <w:sectPr>
          <w:pgSz w:w="11900" w:h="16838" w:orient="portrait"/>
          <w:cols w:equalWidth="0" w:num="2">
            <w:col w:w="720" w:space="580"/>
            <w:col w:w="9940"/>
          </w:cols>
          <w:pgMar w:left="320" w:top="125" w:right="339" w:bottom="1440" w:gutter="0" w:footer="0" w:header="0"/>
          <w:type w:val="continuous"/>
        </w:sectPr>
      </w:pPr>
    </w:p>
    <w:p>
      <w:pPr>
        <w:spacing w:after="0" w:line="6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As of December 31, 2022, Glenview Capital Management and Mr. Robbins may be deemed the beneficial owner of 4,249,956 Shares. This amount consists of: (A) 202,900 Shares held for the account of Glenview Capital Partners; (B) 1,464,430 Shares held for the account of Glenview Capital Master Fund; (C) 493,500 Shares held for the account of Glenview Institutional Partners; (D) 717,091 Shares held for the account of Glenview Offshore Opportunity Master Fund; (E) 1,258,000 Shares held for the account of Glenview Capital Opportunity Fund; and (F) 114,035 Shares held for the account of Glenview Healthcare Master Fund.</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49" w:lineRule="exact"/>
        <w:rPr>
          <w:sz w:val="20"/>
          <w:szCs w:val="20"/>
          <w:color w:val="auto"/>
        </w:rPr>
      </w:pPr>
    </w:p>
    <w:p>
      <w:pPr>
        <w:ind w:right="240" w:firstLine="1296"/>
        <w:spacing w:after="0"/>
        <w:rPr>
          <w:sz w:val="20"/>
          <w:szCs w:val="20"/>
          <w:color w:val="auto"/>
        </w:rPr>
      </w:pPr>
      <w:r>
        <w:rPr>
          <w:rFonts w:ascii="Arial" w:cs="Arial" w:eastAsia="Arial" w:hAnsi="Arial"/>
          <w:sz w:val="22"/>
          <w:szCs w:val="22"/>
          <w:color w:val="auto"/>
        </w:rPr>
        <w:t>As of December 31, 2022, each of the Reporting Persons may be deemed the beneficial owner of approximately 3.55% of Shares outstanding. (There were 119,881,495 Shares outstanding as of November 3, 2022, based on the Issuer’s quarterly report on Form 10-Q, filed November 8,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4(c)</w:t>
            </w:r>
          </w:p>
        </w:tc>
        <w:tc>
          <w:tcPr>
            <w:tcW w:w="6720" w:type="dxa"/>
            <w:vAlign w:val="bottom"/>
          </w:tcPr>
          <w:p>
            <w:pPr>
              <w:ind w:left="300"/>
              <w:spacing w:after="0"/>
              <w:rPr>
                <w:sz w:val="20"/>
                <w:szCs w:val="20"/>
                <w:color w:val="auto"/>
              </w:rPr>
            </w:pPr>
            <w:r>
              <w:rPr>
                <w:rFonts w:ascii="Arial" w:cs="Arial" w:eastAsia="Arial" w:hAnsi="Arial"/>
                <w:sz w:val="18"/>
                <w:szCs w:val="18"/>
                <w:b w:val="1"/>
                <w:bCs w:val="1"/>
                <w:color w:val="auto"/>
              </w:rPr>
              <w:t>Number of Shares as to which such person has:</w:t>
            </w: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gridSpan w:val="2"/>
          </w:tcPr>
          <w:p>
            <w:pPr>
              <w:spacing w:after="0"/>
              <w:rPr>
                <w:sz w:val="21"/>
                <w:szCs w:val="21"/>
                <w:color w:val="auto"/>
              </w:rPr>
            </w:pPr>
          </w:p>
        </w:tc>
        <w:tc>
          <w:tcPr>
            <w:tcW w:w="35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 Sole power to vote or direct the vote:</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(ii) Shared power to vote or direct the vote:</w:t>
            </w:r>
          </w:p>
        </w:tc>
        <w:tc>
          <w:tcPr>
            <w:tcW w:w="3520" w:type="dxa"/>
            <w:vAlign w:val="bottom"/>
          </w:tcPr>
          <w:p>
            <w:pPr>
              <w:jc w:val="right"/>
              <w:spacing w:after="0"/>
              <w:rPr>
                <w:sz w:val="20"/>
                <w:szCs w:val="20"/>
                <w:color w:val="auto"/>
              </w:rPr>
            </w:pPr>
            <w:r>
              <w:rPr>
                <w:rFonts w:ascii="Arial" w:cs="Arial" w:eastAsia="Arial" w:hAnsi="Arial"/>
                <w:sz w:val="18"/>
                <w:szCs w:val="18"/>
                <w:color w:val="auto"/>
              </w:rPr>
              <w:t>4,249,956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(iii) Sole power to dispose or direct the disposition of:</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(iv) Shared power to dispose or direct the disposition of:</w:t>
            </w:r>
          </w:p>
        </w:tc>
        <w:tc>
          <w:tcPr>
            <w:tcW w:w="3520" w:type="dxa"/>
            <w:vAlign w:val="bottom"/>
          </w:tcPr>
          <w:p>
            <w:pPr>
              <w:jc w:val="right"/>
              <w:spacing w:after="0"/>
              <w:rPr>
                <w:sz w:val="20"/>
                <w:szCs w:val="20"/>
                <w:color w:val="auto"/>
              </w:rPr>
            </w:pPr>
            <w:r>
              <w:rPr>
                <w:rFonts w:ascii="Arial" w:cs="Arial" w:eastAsia="Arial" w:hAnsi="Arial"/>
                <w:sz w:val="18"/>
                <w:szCs w:val="18"/>
                <w:color w:val="auto"/>
              </w:rPr>
              <w:t>4,249,956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6720" w:type="dxa"/>
            <w:vAlign w:val="bottom"/>
          </w:tcPr>
          <w:p>
            <w:pPr>
              <w:ind w:left="300"/>
              <w:spacing w:after="0"/>
              <w:rPr>
                <w:sz w:val="20"/>
                <w:szCs w:val="20"/>
                <w:color w:val="auto"/>
              </w:rPr>
            </w:pPr>
            <w:r>
              <w:rPr>
                <w:rFonts w:ascii="Arial" w:cs="Arial" w:eastAsia="Arial" w:hAnsi="Arial"/>
                <w:sz w:val="18"/>
                <w:szCs w:val="18"/>
                <w:b w:val="1"/>
                <w:bCs w:val="1"/>
                <w:color w:val="auto"/>
              </w:rPr>
              <w:t>Ownership of Five Percent or Less of a Class:</w:t>
            </w: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80" w:firstLine="1296"/>
        <w:spacing w:after="0" w:line="277" w:lineRule="exact"/>
        <w:rPr>
          <w:sz w:val="20"/>
          <w:szCs w:val="20"/>
          <w:color w:val="auto"/>
        </w:rPr>
      </w:pPr>
      <w:r>
        <w:rPr>
          <w:rFonts w:ascii="Arial" w:cs="Arial" w:eastAsia="Arial" w:hAnsi="Arial"/>
          <w:sz w:val="21"/>
          <w:szCs w:val="21"/>
          <w:color w:val="auto"/>
        </w:rPr>
        <w:t xml:space="preserve">If this statement is being filed to report the fact that as of the date hereof each of the Reporting Persons has ceased to be the beneficial owner of more than five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jc w:val="both"/>
        <w:ind w:right="20" w:firstLine="1350"/>
        <w:spacing w:after="0"/>
        <w:rPr>
          <w:sz w:val="20"/>
          <w:szCs w:val="20"/>
          <w:color w:val="auto"/>
        </w:rPr>
      </w:pPr>
      <w:r>
        <w:rPr>
          <w:rFonts w:ascii="Arial" w:cs="Arial" w:eastAsia="Arial" w:hAnsi="Arial"/>
          <w:sz w:val="22"/>
          <w:szCs w:val="22"/>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216" w:lineRule="exact"/>
        <w:rPr>
          <w:sz w:val="20"/>
          <w:szCs w:val="20"/>
          <w:color w:val="auto"/>
        </w:rPr>
      </w:pPr>
    </w:p>
    <w:p>
      <w:pPr>
        <w:ind w:left="1300" w:right="5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disclosure in Item 2 hereof.</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8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9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tabs>
          <w:tab w:leader="none" w:pos="9940" w:val="left"/>
        </w:tabs>
        <w:rPr>
          <w:sz w:val="20"/>
          <w:szCs w:val="20"/>
          <w:color w:val="auto"/>
        </w:rPr>
      </w:pPr>
      <w:r>
        <w:rPr>
          <w:rFonts w:ascii="Arial" w:cs="Arial" w:eastAsia="Arial" w:hAnsi="Arial"/>
          <w:sz w:val="18"/>
          <w:szCs w:val="18"/>
          <w:color w:val="auto"/>
        </w:rPr>
        <w:t>CUSIP No. 74765K105</w:t>
      </w:r>
      <w:r>
        <w:rPr>
          <w:sz w:val="20"/>
          <w:szCs w:val="20"/>
          <w:color w:val="auto"/>
        </w:rPr>
        <w:tab/>
      </w:r>
      <w:r>
        <w:rPr>
          <w:rFonts w:ascii="Arial" w:cs="Arial" w:eastAsia="Arial" w:hAnsi="Arial"/>
          <w:sz w:val="15"/>
          <w:szCs w:val="15"/>
          <w:color w:val="auto"/>
        </w:rPr>
        <w:t>Page 6 of 9 Pages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GLENVIEW CAPITAL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J. Horowitz</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Co-President of Glenview Capital Management, LLC</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LARRY ROBBINS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J. Horowitz, attorney-in-fact for Larry Robbins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800" w:type="dxa"/>
            <w:vAlign w:val="bottom"/>
            <w:gridSpan w:val="5"/>
          </w:tcPr>
          <w:p>
            <w:pPr>
              <w:spacing w:after="0"/>
              <w:rPr>
                <w:sz w:val="20"/>
                <w:szCs w:val="20"/>
                <w:color w:val="auto"/>
              </w:rPr>
            </w:pPr>
            <w:r>
              <w:rPr>
                <w:rFonts w:ascii="Arial" w:cs="Arial" w:eastAsia="Arial" w:hAnsi="Arial"/>
                <w:sz w:val="18"/>
                <w:szCs w:val="18"/>
                <w:color w:val="auto"/>
              </w:rPr>
              <w:t>CUSIP No. 74765K105</w:t>
            </w:r>
          </w:p>
        </w:tc>
        <w:tc>
          <w:tcPr>
            <w:tcW w:w="7460" w:type="dxa"/>
            <w:vAlign w:val="bottom"/>
            <w:gridSpan w:val="3"/>
          </w:tcPr>
          <w:p>
            <w:pPr>
              <w:jc w:val="right"/>
              <w:ind w:right="20"/>
              <w:spacing w:after="0"/>
              <w:rPr>
                <w:sz w:val="20"/>
                <w:szCs w:val="20"/>
                <w:color w:val="auto"/>
              </w:rPr>
            </w:pPr>
            <w:r>
              <w:rPr>
                <w:rFonts w:ascii="Arial" w:cs="Arial" w:eastAsia="Arial" w:hAnsi="Arial"/>
                <w:sz w:val="18"/>
                <w:szCs w:val="18"/>
                <w:color w:val="auto"/>
              </w:rPr>
              <w:t>Page 7 of 9 Pages</w:t>
            </w:r>
          </w:p>
        </w:tc>
        <w:tc>
          <w:tcPr>
            <w:tcW w:w="0" w:type="dxa"/>
            <w:vAlign w:val="bottom"/>
          </w:tcPr>
          <w:p>
            <w:pPr>
              <w:spacing w:after="0"/>
              <w:rPr>
                <w:sz w:val="1"/>
                <w:szCs w:val="1"/>
                <w:color w:val="auto"/>
              </w:rPr>
            </w:pPr>
          </w:p>
        </w:tc>
      </w:tr>
      <w:tr>
        <w:trPr>
          <w:trHeight w:val="428"/>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460" w:type="dxa"/>
            <w:vAlign w:val="bottom"/>
            <w:gridSpan w:val="3"/>
          </w:tcPr>
          <w:p>
            <w:pPr>
              <w:jc w:val="right"/>
              <w:ind w:right="480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408"/>
        </w:trPr>
        <w:tc>
          <w:tcPr>
            <w:tcW w:w="700" w:type="dxa"/>
            <w:vAlign w:val="bottom"/>
            <w:gridSpan w:val="4"/>
          </w:tcPr>
          <w:p>
            <w:pPr>
              <w:spacing w:after="0"/>
              <w:rPr>
                <w:sz w:val="20"/>
                <w:szCs w:val="20"/>
                <w:color w:val="auto"/>
              </w:rPr>
            </w:pPr>
            <w:r>
              <w:rPr>
                <w:rFonts w:ascii="Arial" w:cs="Arial" w:eastAsia="Arial" w:hAnsi="Arial"/>
                <w:sz w:val="18"/>
                <w:szCs w:val="18"/>
                <w:color w:val="auto"/>
              </w:rPr>
              <w:t>Ex.</w:t>
            </w:r>
          </w:p>
        </w:tc>
        <w:tc>
          <w:tcPr>
            <w:tcW w:w="31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Page No.</w:t>
            </w:r>
          </w:p>
        </w:tc>
        <w:tc>
          <w:tcPr>
            <w:tcW w:w="0" w:type="dxa"/>
            <w:vAlign w:val="bottom"/>
          </w:tcPr>
          <w:p>
            <w:pPr>
              <w:spacing w:after="0"/>
              <w:rPr>
                <w:sz w:val="1"/>
                <w:szCs w:val="1"/>
                <w:color w:val="auto"/>
              </w:rPr>
            </w:pPr>
          </w:p>
        </w:tc>
      </w:tr>
      <w:tr>
        <w:trPr>
          <w:trHeight w:val="263"/>
        </w:trPr>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9"/>
              </w:rPr>
              <w:t>A</w:t>
            </w:r>
          </w:p>
        </w:tc>
        <w:tc>
          <w:tcPr>
            <w:tcW w:w="560" w:type="dxa"/>
            <w:vAlign w:val="bottom"/>
            <w:tcBorders>
              <w:bottom w:val="single" w:sz="8" w:color="CCEEFF"/>
            </w:tcBorders>
            <w:gridSpan w:val="2"/>
            <w:shd w:val="clear" w:color="auto" w:fill="CCEEFF"/>
          </w:tcPr>
          <w:p>
            <w:pPr>
              <w:spacing w:after="0"/>
              <w:rPr>
                <w:sz w:val="17"/>
                <w:szCs w:val="17"/>
                <w:color w:val="auto"/>
              </w:rPr>
            </w:pPr>
          </w:p>
        </w:tc>
        <w:tc>
          <w:tcPr>
            <w:tcW w:w="3100" w:type="dxa"/>
            <w:vAlign w:val="bottom"/>
            <w:tcBorders>
              <w:bottom w:val="single" w:sz="8" w:color="CCEEFF"/>
            </w:tcBorders>
            <w:shd w:val="clear" w:color="auto" w:fill="CCEEFF"/>
          </w:tcPr>
          <w:p>
            <w:pPr>
              <w:ind w:left="420"/>
              <w:spacing w:after="0" w:line="176" w:lineRule="exact"/>
              <w:rPr>
                <w:sz w:val="20"/>
                <w:szCs w:val="20"/>
                <w:color w:val="auto"/>
              </w:rPr>
            </w:pPr>
            <w:r>
              <w:rPr>
                <w:rFonts w:ascii="Arial" w:cs="Arial" w:eastAsia="Arial" w:hAnsi="Arial"/>
                <w:sz w:val="18"/>
                <w:szCs w:val="18"/>
                <w:color w:val="auto"/>
              </w:rPr>
              <w:t>Joint Filing Agreement</w:t>
            </w:r>
          </w:p>
        </w:tc>
        <w:tc>
          <w:tcPr>
            <w:tcW w:w="74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00" w:type="dxa"/>
            <w:vAlign w:val="bottom"/>
            <w:gridSpan w:val="4"/>
          </w:tcPr>
          <w:p>
            <w:pPr>
              <w:spacing w:after="0" w:line="176" w:lineRule="exact"/>
              <w:rPr>
                <w:sz w:val="20"/>
                <w:szCs w:val="20"/>
                <w:color w:val="auto"/>
              </w:rPr>
            </w:pPr>
            <w:r>
              <w:rPr>
                <w:rFonts w:ascii="Arial" w:cs="Arial" w:eastAsia="Arial" w:hAnsi="Arial"/>
                <w:sz w:val="18"/>
                <w:szCs w:val="18"/>
                <w:color w:val="0000EE"/>
              </w:rPr>
              <w:t>B</w:t>
            </w:r>
          </w:p>
        </w:tc>
        <w:tc>
          <w:tcPr>
            <w:tcW w:w="3100" w:type="dxa"/>
            <w:vAlign w:val="bottom"/>
          </w:tcPr>
          <w:p>
            <w:pPr>
              <w:ind w:left="420"/>
              <w:spacing w:after="0" w:line="176" w:lineRule="exact"/>
              <w:rPr>
                <w:sz w:val="20"/>
                <w:szCs w:val="20"/>
                <w:color w:val="auto"/>
              </w:rPr>
            </w:pPr>
            <w:r>
              <w:rPr>
                <w:rFonts w:ascii="Arial" w:cs="Arial" w:eastAsia="Arial" w:hAnsi="Arial"/>
                <w:sz w:val="18"/>
                <w:szCs w:val="18"/>
                <w:color w:val="auto"/>
              </w:rPr>
              <w:t>Power of Attorney</w:t>
            </w:r>
          </w:p>
        </w:tc>
        <w:tc>
          <w:tcPr>
            <w:tcW w:w="74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tabs>
          <w:tab w:leader="none" w:pos="9940" w:val="left"/>
        </w:tabs>
        <w:rPr>
          <w:sz w:val="20"/>
          <w:szCs w:val="20"/>
          <w:color w:val="auto"/>
        </w:rPr>
      </w:pPr>
      <w:r>
        <w:rPr>
          <w:rFonts w:ascii="Arial" w:cs="Arial" w:eastAsia="Arial" w:hAnsi="Arial"/>
          <w:sz w:val="18"/>
          <w:szCs w:val="18"/>
          <w:color w:val="auto"/>
        </w:rPr>
        <w:t>CUSIP No. 74765K105</w:t>
      </w:r>
      <w:r>
        <w:rPr>
          <w:sz w:val="20"/>
          <w:szCs w:val="20"/>
          <w:color w:val="auto"/>
        </w:rPr>
        <w:tab/>
      </w:r>
      <w:r>
        <w:rPr>
          <w:rFonts w:ascii="Arial" w:cs="Arial" w:eastAsia="Arial" w:hAnsi="Arial"/>
          <w:sz w:val="15"/>
          <w:szCs w:val="15"/>
          <w:color w:val="auto"/>
        </w:rPr>
        <w:t>Page 8 of 9 Pages</w:t>
      </w:r>
    </w:p>
    <w:p>
      <w:pPr>
        <w:spacing w:after="0" w:line="171" w:lineRule="exact"/>
        <w:rPr>
          <w:sz w:val="20"/>
          <w:szCs w:val="20"/>
          <w:color w:val="auto"/>
        </w:rPr>
      </w:pPr>
    </w:p>
    <w:p>
      <w:pPr>
        <w:ind w:left="10100"/>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undersigned hereby agree that the statement on Schedule 13G with respect to the Common Stock of Quantum-Si Inc. dated as of February 14, 2023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GLENVIEW CAPITAL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J. Horowitz</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Co-President of Glenview Capital Management, LLC</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LARRY ROBBINS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J. Horowitz, attorney-in-fact for Larry Robbins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tabs>
          <w:tab w:leader="none" w:pos="9940" w:val="left"/>
        </w:tabs>
        <w:rPr>
          <w:sz w:val="20"/>
          <w:szCs w:val="20"/>
          <w:color w:val="auto"/>
        </w:rPr>
      </w:pPr>
      <w:r>
        <w:rPr>
          <w:rFonts w:ascii="Arial" w:cs="Arial" w:eastAsia="Arial" w:hAnsi="Arial"/>
          <w:sz w:val="18"/>
          <w:szCs w:val="18"/>
          <w:color w:val="auto"/>
        </w:rPr>
        <w:t>CUSIP No. 74765K105</w:t>
      </w:r>
      <w:r>
        <w:rPr>
          <w:sz w:val="20"/>
          <w:szCs w:val="20"/>
          <w:color w:val="auto"/>
        </w:rPr>
        <w:tab/>
      </w:r>
      <w:r>
        <w:rPr>
          <w:rFonts w:ascii="Arial" w:cs="Arial" w:eastAsia="Arial" w:hAnsi="Arial"/>
          <w:sz w:val="15"/>
          <w:szCs w:val="15"/>
          <w:color w:val="auto"/>
        </w:rPr>
        <w:t>Page 9 of 9 Pages</w:t>
      </w:r>
    </w:p>
    <w:p>
      <w:pPr>
        <w:spacing w:after="0" w:line="200" w:lineRule="exact"/>
        <w:rPr>
          <w:sz w:val="20"/>
          <w:szCs w:val="20"/>
          <w:color w:val="auto"/>
        </w:rPr>
      </w:pPr>
    </w:p>
    <w:p>
      <w:pPr>
        <w:spacing w:after="0" w:line="214" w:lineRule="exact"/>
        <w:rPr>
          <w:sz w:val="20"/>
          <w:szCs w:val="20"/>
          <w:color w:val="auto"/>
        </w:rPr>
      </w:pPr>
    </w:p>
    <w:p>
      <w:pPr>
        <w:ind w:left="10120"/>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KNOW ALL MEN BY THESE PRESENT, that I, Larry Robbins, hereby make, constitute and appoint Mark J. Horowitz, acting individually, as my agent and attorney-in-fact for the purpose of executing in my name, (a) in my personal capacity or (b) in my capacity as Chief Executive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and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All past acts of the attorney-in-fact in furtherance of the foregoing are hereby ratified and confirmed.</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Power of Attorney revokes the previous Power of Attorney, executed by the undersigned on February 10, 2009, and shall remain in effect until revoked, in writing, by the undersigned.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undersigned has executed this Power of Attorney, this 2nd day of February, 2016.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Larry Robbins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Larry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2023-02-14T19:09:11Z</dcterms:created>
  <dcterms:modified xsi:type="dcterms:W3CDTF">2023-02-14T19:09:11Z</dcterms:modified>
</cp:coreProperties>
</file>