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Vieceli John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320" w:lineRule="auto"/>
        <w:rPr>
          <w:sz w:val="20"/>
          <w:szCs w:val="20"/>
          <w:color w:val="auto"/>
        </w:rPr>
      </w:pPr>
      <w:r>
        <w:rPr>
          <w:rFonts w:ascii="Times New Roman" w:cs="Times New Roman" w:eastAsia="Times New Roman" w:hAnsi="Times New Roman"/>
          <w:sz w:val="17"/>
          <w:szCs w:val="17"/>
          <w:color w:val="0000FF"/>
        </w:rPr>
        <w:t>C/O QUANTUM-SI INCORPORATED 29 BUSINESS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BRANFORD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06405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03/20/2026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10,758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0.8483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1,181,896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03/23/2026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11,239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0.8266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1,170,657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mandatory Quantum-Si sell-to-cover provision for required federal, state and local withholding taxes in connection with the vesting of previously granted restricted stock units. Individual is not able to alter this mandatory sell-to-cover provision that is enacted at the grant date of the related restricted stock unit award.</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$0.8314 to $0.8718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$0.7973 to $0.8525 per share. Full information regarding the number of shares sold at each price shall be provided upon request to the staff of the U.S. Securities and Exchange Commission, the Issuer, or a security holder of the Issuer.</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Christian LaPointe, Ph.D.,</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03/24/2026</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2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947" TargetMode="External"/><Relationship Id="rId14"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2026-03-24T17:56:55Z</dcterms:created>
  <dcterms:modified xsi:type="dcterms:W3CDTF">2026-03-24T17:56:55Z</dcterms:modified>
</cp:coreProperties>
</file>