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4,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QUANTUM-SI INCORPORATED</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96"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001-39486</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85-1388175</w:t>
      </w:r>
    </w:p>
    <w:p>
      <w:pPr>
        <w:spacing w:after="0" w:line="53"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00" w:space="720"/>
            <w:col w:w="2780" w:space="720"/>
            <w:col w:w="3120"/>
          </w:cols>
          <w:pgMar w:left="320" w:top="1440" w:right="339" w:bottom="1440" w:gutter="0" w:footer="0" w:header="0"/>
          <w:type w:val="continuous"/>
        </w:sectPr>
      </w:pPr>
    </w:p>
    <w:p>
      <w:pPr>
        <w:spacing w:after="0" w:line="75"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29 Business Park Drive</w:t>
      </w:r>
    </w:p>
    <w:p>
      <w:pPr>
        <w:sectPr>
          <w:pgSz w:w="11900" w:h="16838" w:orient="portrait"/>
          <w:cols w:equalWidth="0" w:num="1">
            <w:col w:w="11240"/>
          </w:cols>
          <w:pgMar w:left="320" w:top="1440" w:right="339" w:bottom="1440" w:gutter="0" w:footer="0" w:header="0"/>
          <w:type w:val="continuous"/>
        </w:sectPr>
      </w:pPr>
    </w:p>
    <w:p>
      <w:pPr>
        <w:spacing w:after="0" w:line="61"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Branford, Connecticut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06405</w:t>
      </w:r>
    </w:p>
    <w:p>
      <w:pPr>
        <w:spacing w:after="0" w:line="54" w:lineRule="exact"/>
        <w:rPr>
          <w:sz w:val="24"/>
          <w:szCs w:val="24"/>
          <w:color w:val="auto"/>
        </w:rPr>
      </w:pPr>
    </w:p>
    <w:p>
      <w:pPr>
        <w:sectPr>
          <w:pgSz w:w="11900" w:h="16838" w:orient="portrait"/>
          <w:cols w:equalWidth="0" w:num="2">
            <w:col w:w="7500" w:space="720"/>
            <w:col w:w="3020"/>
          </w:cols>
          <w:pgMar w:left="320" w:top="1440" w:right="33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40" w:space="720"/>
            <w:col w:w="3180"/>
          </w:cols>
          <w:pgMar w:left="320" w:top="1440" w:right="339" w:bottom="1440" w:gutter="0" w:footer="0" w:header="0"/>
          <w:type w:val="continuous"/>
        </w:sectPr>
      </w:pPr>
    </w:p>
    <w:p>
      <w:pPr>
        <w:spacing w:after="0" w:line="8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(866) 688-7374</w:t>
      </w:r>
    </w:p>
    <w:p>
      <w:pPr>
        <w:spacing w:after="0" w:line="185"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423"/>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72"/>
        </w:trPr>
        <w:tc>
          <w:tcPr>
            <w:tcW w:w="414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3"/>
                <w:szCs w:val="23"/>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3"/>
                <w:szCs w:val="23"/>
                <w:color w:val="auto"/>
              </w:rPr>
            </w:pP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QSI</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Redeemable warrants, each whole warrant exercisable</w:t>
            </w: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QSIAW</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03"/>
        </w:trPr>
        <w:tc>
          <w:tcPr>
            <w:tcW w:w="42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for one share of Class A common stock, each at an</w:t>
            </w: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34"/>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 of $11.50 per share</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tcPr>
          <w:p>
            <w:pPr>
              <w:spacing w:after="0"/>
              <w:rPr>
                <w:sz w:val="20"/>
                <w:szCs w:val="20"/>
                <w:color w:val="auto"/>
              </w:rPr>
            </w:pPr>
          </w:p>
        </w:tc>
      </w:tr>
    </w:tbl>
    <w:p>
      <w:pPr>
        <w:spacing w:after="0" w:line="2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0"/>
        <w:spacing w:after="0"/>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Wingdings" w:cs="Wingdings" w:eastAsia="Wingdings" w:hAnsi="Wingdings"/>
          <w:sz w:val="17"/>
          <w:szCs w:val="17"/>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November 4, 2024, Quantum-Si Incorporated (the “Company”) received written notice (the “Notice”) from the Listing Qualifications Department (the “Staff”) of The Nasdaq Stock Market LLC (“Nasdaq”) notifying the Company that, because the closing bid price for the Company’s Class A common stock, par value $0.0001 per share (the “Common Stock”), has fallen below $1.00 per share for 30 consecutive business days, the Company no longer meets the minimum bid price requirement for continued inclusion on The Nasdaq Global Market pursuant to Nasdaq Listing Rule 5450(a)(1) (the “Bid Price Requirement”). This Notice has no immediate effect on the listing or trading of the Company’s Common Stock, which continues to trade on The Nasdaq Global Market under the symbol “QSI”. The Notice also does not affect the ongoing business operations of the Company or its reporting requirements with the Securities and Exchange Commission.</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Pursuant to Nasdaq Listing Rule 5810(c)(3)(A) (the “Compliance Period Rule”), the Company has been provided an initial period of 180 calendar days, or until May 5, 2024, (the “Compliance Date”) to regain compliance with the Bid Price Requirement. To regain compliance, the closing bid price of the Company’s Common Stock must be at least $1.00 per share for a minimum of 10 consecutive business days as required under the Compliance Period Rule (unless the Staff exercises its discretion to extend this ten-day period pursuant to Nasdaq Listing Rule 5810(c)(3)(H)).</w:t>
      </w:r>
    </w:p>
    <w:p>
      <w:pPr>
        <w:spacing w:after="0" w:line="1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the Company does not regain compliance with the Bid Price Requirement by the Compliance Date, the Company may be eligible for an additional 180 calendar day compliance period. To qualify, the Company would need to transfer the listing of its Common Stock to The Nasdaq Capital Market and meet the continued listing requirement for the market value of publicly held shares and all other initial listing standards, with the exception of the Bid Price Requirement. To effect such a transfer, the Company would also need to pay an application fee to Nasdaq and would need to provide written notice to the Staff of the Company’s intention to cure the deficiency during the additional compliance period.</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the Staff concludes that the Company will not be able to cure the deficiency, or if the Company does not regain compliance with the Bid Price Requirement within such additional 180 calendar day compliance period, the Staff will provide written notification to the Company that the Company’s Common Stock will be subject to delisting. At that time, the Company may appeal the Staff’s delisting determination to a Nasdaq Hearings Panel (the “Panel”). However, there can be no assurance that, if the Company receives a delisting notice and appeals the delisting determination by the Staff to the Panel, such appeal would be successful.</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intends to monitor the closing bid price of its Common Stock and will consider all available options to regain compliance with the Bid Price Requirement. However, there can be no assurance that the Company will be able to regain compliance with the Bid Price Requirement or that the Staff will grant the Company a further extension of time to regain compliance,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0" w:lineRule="exact"/>
        <w:rPr>
          <w:sz w:val="20"/>
          <w:szCs w:val="20"/>
          <w:color w:val="auto"/>
        </w:rPr>
      </w:pPr>
    </w:p>
    <w:p>
      <w:pPr>
        <w:ind w:left="558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Christian LaPointe,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26035</wp:posOffset>
            </wp:positionV>
            <wp:extent cx="3137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0" w:lineRule="exact"/>
        <w:rPr>
          <w:sz w:val="20"/>
          <w:szCs w:val="20"/>
          <w:color w:val="auto"/>
        </w:rPr>
      </w:pPr>
    </w:p>
    <w:p>
      <w:pPr>
        <w:ind w:left="5580"/>
        <w:spacing w:after="0"/>
        <w:tabs>
          <w:tab w:leader="none" w:pos="6300" w:val="left"/>
        </w:tabs>
        <w:rPr>
          <w:sz w:val="20"/>
          <w:szCs w:val="20"/>
          <w:color w:val="auto"/>
        </w:rPr>
      </w:pPr>
      <w:r>
        <w:rPr>
          <w:rFonts w:ascii="Times New Roman" w:cs="Times New Roman" w:eastAsia="Times New Roman" w:hAnsi="Times New Roman"/>
          <w:sz w:val="18"/>
          <w:szCs w:val="18"/>
          <w:color w:val="auto"/>
        </w:rPr>
        <w:t>Name:</w:t>
        <w:tab/>
        <w:t>Christian LaPointe, Ph.D.</w:t>
      </w:r>
    </w:p>
    <w:p>
      <w:pPr>
        <w:spacing w:after="0" w:line="63" w:lineRule="exact"/>
        <w:rPr>
          <w:sz w:val="20"/>
          <w:szCs w:val="20"/>
          <w:color w:val="auto"/>
        </w:rPr>
      </w:pPr>
    </w:p>
    <w:p>
      <w:pPr>
        <w:ind w:left="5580"/>
        <w:spacing w:after="0"/>
        <w:tabs>
          <w:tab w:leader="none" w:pos="6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General Counsel</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8, 2024</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2024-11-08T16:47:32Z</dcterms:created>
  <dcterms:modified xsi:type="dcterms:W3CDTF">2024-11-08T16:47:32Z</dcterms:modified>
</cp:coreProperties>
</file>