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57"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57"/>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29 Business Park Drive</w:t>
            </w:r>
          </w:p>
        </w:tc>
        <w:tc>
          <w:tcPr>
            <w:tcW w:w="3720" w:type="dxa"/>
            <w:vAlign w:val="bottom"/>
          </w:tcPr>
          <w:p>
            <w:pPr>
              <w:spacing w:after="0"/>
              <w:rPr>
                <w:sz w:val="24"/>
                <w:szCs w:val="24"/>
                <w:color w:val="auto"/>
              </w:rPr>
            </w:pPr>
          </w:p>
        </w:tc>
      </w:tr>
      <w:tr>
        <w:trPr>
          <w:trHeight w:val="257"/>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Branford, Connecticut</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06405</w:t>
            </w:r>
          </w:p>
        </w:tc>
      </w:tr>
      <w:tr>
        <w:trPr>
          <w:trHeight w:val="25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688-7374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tcPr>
          <w:p>
            <w:pPr>
              <w:spacing w:after="0"/>
              <w:rPr>
                <w:sz w:val="18"/>
                <w:szCs w:val="18"/>
                <w:color w:val="auto"/>
              </w:rPr>
            </w:pPr>
          </w:p>
        </w:tc>
      </w:tr>
      <w:tr>
        <w:trPr>
          <w:trHeight w:val="272"/>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3"/>
                <w:szCs w:val="23"/>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common stock, $0.0001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QSI</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5"/>
        </w:trPr>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QSIAW</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 of Class A common stock, each at an exercise price of</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4"/>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$11.50 per share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140"/>
              <w:spacing w:after="0"/>
              <w:rPr>
                <w:sz w:val="20"/>
                <w:szCs w:val="20"/>
                <w:color w:val="auto"/>
              </w:rPr>
            </w:pPr>
            <w:r>
              <w:rPr>
                <w:rFonts w:ascii="Wingdings" w:cs="Wingdings" w:eastAsia="Wingdings" w:hAnsi="Wingdings"/>
                <w:sz w:val="20"/>
                <w:szCs w:val="20"/>
                <w:b w:val="1"/>
                <w:bCs w:val="1"/>
                <w:color w:val="auto"/>
              </w:rPr>
              <w:t>o</w:t>
            </w: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160" w:type="dxa"/>
            <w:vAlign w:val="bottom"/>
          </w:tcPr>
          <w:p>
            <w:pPr>
              <w:ind w:left="980"/>
              <w:spacing w:after="0"/>
              <w:rPr>
                <w:sz w:val="20"/>
                <w:szCs w:val="20"/>
                <w:color w:val="auto"/>
              </w:rPr>
            </w:pPr>
            <w:r>
              <w:rPr>
                <w:rFonts w:ascii="Wingdings" w:cs="Wingdings" w:eastAsia="Wingdings" w:hAnsi="Wingdings"/>
                <w:sz w:val="20"/>
                <w:szCs w:val="20"/>
                <w:b w:val="1"/>
                <w:bCs w:val="1"/>
                <w:color w:val="auto"/>
                <w:w w:val="89"/>
              </w:rPr>
              <w:t>o</w:t>
            </w:r>
          </w:p>
        </w:tc>
      </w:tr>
      <w:tr>
        <w:trPr>
          <w:trHeight w:val="33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34"/>
        </w:trPr>
        <w:tc>
          <w:tcPr>
            <w:tcW w:w="2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60" w:type="dxa"/>
            <w:vAlign w:val="bottom"/>
          </w:tcPr>
          <w:p>
            <w:pPr>
              <w:ind w:left="980"/>
              <w:spacing w:after="0"/>
              <w:rPr>
                <w:sz w:val="20"/>
                <w:szCs w:val="20"/>
                <w:color w:val="auto"/>
              </w:rPr>
            </w:pPr>
            <w:r>
              <w:rPr>
                <w:rFonts w:ascii="Wingdings" w:cs="Wingdings" w:eastAsia="Wingdings" w:hAnsi="Wingdings"/>
                <w:sz w:val="20"/>
                <w:szCs w:val="20"/>
                <w:b w:val="1"/>
                <w:bCs w:val="1"/>
                <w:color w:val="auto"/>
                <w:w w:val="89"/>
              </w:rPr>
              <w:t>o</w:t>
            </w:r>
          </w:p>
        </w:tc>
      </w:tr>
    </w:tbl>
    <w:p>
      <w:pPr>
        <w:sectPr>
          <w:pgSz w:w="11900" w:h="16838" w:orient="portrait"/>
          <w:cols w:equalWidth="0" w:num="1">
            <w:col w:w="11240"/>
          </w:cols>
          <w:pgMar w:left="320" w:top="1407" w:right="339" w:bottom="109"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2, 2024, the registrant had 122,423,802 shares of Class A common stock outstanding and 19,937,500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18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9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04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4"/>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 (unaudited)</w:t>
            </w:r>
          </w:p>
        </w:tc>
        <w:tc>
          <w:tcPr>
            <w:tcW w:w="2120" w:type="dxa"/>
            <w:vAlign w:val="bottom"/>
            <w:gridSpan w:val="4"/>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six months ended June 30, 2024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and 2023 (unaudited)</w:t>
            </w:r>
          </w:p>
        </w:tc>
        <w:tc>
          <w:tcPr>
            <w:tcW w:w="75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2024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3"/>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gridSpan w:val="3"/>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gridSpan w:val="2"/>
          </w:tcPr>
          <w:p>
            <w:pPr>
              <w:spacing w:after="0"/>
              <w:rPr>
                <w:sz w:val="13"/>
                <w:szCs w:val="13"/>
                <w:color w:val="auto"/>
              </w:rPr>
            </w:pPr>
          </w:p>
        </w:tc>
        <w:tc>
          <w:tcPr>
            <w:tcW w:w="96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 (unaudited)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gridSpan w:val="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9"/>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4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2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18"/>
                <w:szCs w:val="18"/>
                <w:color w:val="auto"/>
              </w:rPr>
            </w:pPr>
          </w:p>
        </w:tc>
        <w:tc>
          <w:tcPr>
            <w:tcW w:w="7680" w:type="dxa"/>
            <w:vAlign w:val="bottom"/>
            <w:gridSpan w:val="16"/>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40" w:type="dxa"/>
            <w:vAlign w:val="bottom"/>
            <w:gridSpan w:val="10"/>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6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5"/>
          </w:tcPr>
          <w:p>
            <w:pPr>
              <w:spacing w:after="0"/>
              <w:rPr>
                <w:sz w:val="18"/>
                <w:szCs w:val="18"/>
                <w:color w:val="auto"/>
              </w:rPr>
            </w:pPr>
          </w:p>
        </w:tc>
        <w:tc>
          <w:tcPr>
            <w:tcW w:w="742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-2750820</wp:posOffset>
            </wp:positionV>
            <wp:extent cx="2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the “Company” or “Quantum-Si” mean Quantum-Si Incorporated and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Incorporated was incorporated in Delaware on June 10, 2020.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Quarterly Report on Form 10-Q include, but are not limited to, statements about:</w:t>
      </w:r>
    </w:p>
    <w:p>
      <w:pPr>
        <w:spacing w:after="0" w:line="19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epidemics on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our Class A common stock on The Nasdaq Stock Market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and commercialization activities;</w:t>
      </w:r>
    </w:p>
    <w:p>
      <w:pPr>
        <w:spacing w:after="0" w:line="9"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including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protein sequencing instrument, and the success of any product we may offer in the future;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lease, license, manufacture and supply agreements;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its ability to serve those markets once commercialized, either alone or in partnership with others;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future revenue, capital requirements and needs for additional financing;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of our Annual Report on Form 10-K for the fiscal year ended December 31, 2023, in Part II, Item 1A of our Quarterly Report on Form 10-Q for the quarter ended March 31, 2024,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QUANTUM-SI INCORPORATED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par value amounts)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80" w:type="dxa"/>
            <w:vAlign w:val="bottom"/>
          </w:tcPr>
          <w:p>
            <w:pPr>
              <w:jc w:val="center"/>
              <w:ind w:left="29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5"/>
        </w:trPr>
        <w:tc>
          <w:tcPr>
            <w:tcW w:w="8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133,860</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of $0 and $0, respectively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266,310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payroll and payroll-related costs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5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contracted services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83"/>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0" w:type="dxa"/>
            <w:vAlign w:val="bottom"/>
          </w:tcPr>
          <w:p>
            <w:pPr>
              <w:spacing w:after="0"/>
              <w:rPr>
                <w:sz w:val="1"/>
                <w:szCs w:val="1"/>
                <w:color w:val="auto"/>
              </w:rPr>
            </w:pPr>
          </w:p>
        </w:tc>
      </w:tr>
      <w:tr>
        <w:trPr>
          <w:trHeight w:val="28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600,000,000 shares authorized as of June 30, 2024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December 31, 2023; 122,382,332 and 121,832,417 shares issued and outstanding as of June 30, 2024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$0.0001 par value; 27,000,000 shares authorized as of June 30, 2024 and December 31,</w:t>
            </w:r>
          </w:p>
        </w:tc>
        <w:tc>
          <w:tcPr>
            <w:tcW w:w="2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19,937,500 shares issued and outstanding as of June 30, 2024 and December 31, 2023</w:t>
            </w:r>
          </w:p>
        </w:tc>
        <w:tc>
          <w:tcPr>
            <w:tcW w:w="26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767,239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(538,207)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(495,634)</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271,619</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256,748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1"/>
                <w:szCs w:val="21"/>
                <w:color w:val="auto"/>
              </w:rPr>
            </w:pPr>
          </w:p>
        </w:tc>
        <w:tc>
          <w:tcPr>
            <w:tcW w:w="2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34,001</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56,315</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(56,113)</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marketable securities, net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(49,184)</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(49,184)</w:t>
            </w:r>
          </w:p>
        </w:tc>
        <w:tc>
          <w:tcPr>
            <w:tcW w:w="0" w:type="dxa"/>
            <w:vAlign w:val="bottom"/>
          </w:tcPr>
          <w:p>
            <w:pPr>
              <w:spacing w:after="0"/>
              <w:rPr>
                <w:sz w:val="1"/>
                <w:szCs w:val="1"/>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4"/>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2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140,897</w:t>
            </w: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6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gain (loss):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 on marketable securities, net of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2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226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restart"/>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200"/>
              <w:spacing w:after="0" w:line="202" w:lineRule="exact"/>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94"/>
        </w:trPr>
        <w:tc>
          <w:tcPr>
            <w:tcW w:w="2040" w:type="dxa"/>
            <w:vAlign w:val="bottom"/>
          </w:tcPr>
          <w:p>
            <w:pPr>
              <w:spacing w:after="0"/>
              <w:rPr>
                <w:sz w:val="8"/>
                <w:szCs w:val="8"/>
                <w:color w:val="auto"/>
              </w:rPr>
            </w:pPr>
          </w:p>
        </w:tc>
        <w:tc>
          <w:tcPr>
            <w:tcW w:w="22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8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22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line="178" w:lineRule="exact"/>
              <w:rPr>
                <w:sz w:val="20"/>
                <w:szCs w:val="20"/>
                <w:color w:val="auto"/>
              </w:rPr>
            </w:pPr>
            <w:r>
              <w:rPr>
                <w:rFonts w:ascii="Times New Roman" w:cs="Times New Roman" w:eastAsia="Times New Roman" w:hAnsi="Times New Roman"/>
                <w:sz w:val="18"/>
                <w:szCs w:val="18"/>
                <w:b w:val="1"/>
                <w:bCs w:val="1"/>
                <w:color w:val="auto"/>
              </w:rPr>
              <w:t>paid-in</w:t>
            </w:r>
          </w:p>
        </w:tc>
        <w:tc>
          <w:tcPr>
            <w:tcW w:w="20" w:type="dxa"/>
            <w:vAlign w:val="bottom"/>
          </w:tcPr>
          <w:p>
            <w:pPr>
              <w:spacing w:after="0"/>
              <w:rPr>
                <w:sz w:val="12"/>
                <w:szCs w:val="12"/>
                <w:color w:val="auto"/>
              </w:rPr>
            </w:pPr>
          </w:p>
        </w:tc>
        <w:tc>
          <w:tcPr>
            <w:tcW w:w="1260" w:type="dxa"/>
            <w:vAlign w:val="bottom"/>
            <w:gridSpan w:val="4"/>
            <w:vMerge w:val="restart"/>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vMerge w:val="restart"/>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2"/>
            <w:vMerge w:val="restart"/>
          </w:tcPr>
          <w:p>
            <w:pPr>
              <w:ind w:left="40"/>
              <w:spacing w:after="0" w:line="17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20" w:type="dxa"/>
            <w:vAlign w:val="bottom"/>
          </w:tcPr>
          <w:p>
            <w:pPr>
              <w:spacing w:after="0"/>
              <w:rPr>
                <w:sz w:val="22"/>
                <w:szCs w:val="22"/>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010101"/>
                <w:w w:val="99"/>
              </w:rPr>
              <w:t>Shares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gain</w:t>
            </w:r>
          </w:p>
        </w:tc>
        <w:tc>
          <w:tcPr>
            <w:tcW w:w="20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2"/>
                <w:szCs w:val="22"/>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4"/>
        </w:trPr>
        <w:tc>
          <w:tcPr>
            <w:tcW w:w="204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010101"/>
              </w:rPr>
              <w:t>Balance - December 31,</w:t>
            </w:r>
          </w:p>
        </w:tc>
        <w:tc>
          <w:tcPr>
            <w:tcW w:w="10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010101"/>
              </w:rPr>
              <w:t>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121,832,417</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19,937,500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767,239</w:t>
            </w:r>
          </w:p>
        </w:tc>
        <w:tc>
          <w:tcPr>
            <w:tcW w:w="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271,619</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upon vesting of</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on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 of issuance costs</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from 2021 Business</w:t>
            </w: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Net loss</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March 31, 2024</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121,878,989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19,937,500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768,898</w:t>
            </w:r>
          </w:p>
        </w:tc>
        <w:tc>
          <w:tcPr>
            <w:tcW w:w="80" w:type="dxa"/>
            <w:vAlign w:val="bottom"/>
          </w:tcPr>
          <w:p>
            <w:pPr>
              <w:spacing w:after="0"/>
              <w:rPr>
                <w:sz w:val="21"/>
                <w:szCs w:val="21"/>
                <w:color w:val="auto"/>
              </w:rPr>
            </w:pPr>
          </w:p>
        </w:tc>
        <w:tc>
          <w:tcPr>
            <w:tcW w:w="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(515,108)</w:t>
            </w:r>
          </w:p>
        </w:tc>
        <w:tc>
          <w:tcPr>
            <w:tcW w:w="8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253,771</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upon exercise of stock</w:t>
            </w: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upon vesting of</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407,274</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0" w:type="dxa"/>
            <w:vAlign w:val="bottom"/>
          </w:tcPr>
          <w:p>
            <w:pPr>
              <w:spacing w:after="0"/>
              <w:rPr>
                <w:sz w:val="1"/>
                <w:szCs w:val="1"/>
                <w:color w:val="auto"/>
              </w:rPr>
            </w:pPr>
          </w:p>
        </w:tc>
      </w:tr>
      <w:tr>
        <w:trPr>
          <w:trHeight w:val="275"/>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122,382,332</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19,937,500</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771,460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(538,207)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233,260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7"/>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3"/>
            <w:vMerge w:val="continue"/>
          </w:tcPr>
          <w:p>
            <w:pPr>
              <w:spacing w:after="0"/>
              <w:rPr>
                <w:sz w:val="15"/>
                <w:szCs w:val="15"/>
                <w:color w:val="auto"/>
              </w:rPr>
            </w:pPr>
          </w:p>
        </w:tc>
        <w:tc>
          <w:tcPr>
            <w:tcW w:w="1100" w:type="dxa"/>
            <w:vAlign w:val="bottom"/>
            <w:gridSpan w:val="2"/>
          </w:tcPr>
          <w:p>
            <w:pPr>
              <w:ind w:left="40"/>
              <w:spacing w:after="0" w:line="17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0"/>
        </w:trPr>
        <w:tc>
          <w:tcPr>
            <w:tcW w:w="3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December 31, 2022</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10101"/>
                <w:w w:val="97"/>
              </w:rPr>
              <w:t>120,006,757</w:t>
            </w: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010101"/>
              </w:rPr>
              <w:t>19,937,500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358,706</w:t>
            </w:r>
          </w:p>
        </w:tc>
        <w:tc>
          <w:tcPr>
            <w:tcW w:w="0" w:type="dxa"/>
            <w:vAlign w:val="bottom"/>
          </w:tcPr>
          <w:p>
            <w:pPr>
              <w:spacing w:after="0"/>
              <w:rPr>
                <w:sz w:val="1"/>
                <w:szCs w:val="1"/>
                <w:color w:val="auto"/>
              </w:rPr>
            </w:pPr>
          </w:p>
        </w:tc>
      </w:tr>
      <w:tr>
        <w:trPr>
          <w:trHeight w:val="225"/>
        </w:trPr>
        <w:tc>
          <w:tcPr>
            <w:tcW w:w="3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10101"/>
              </w:rPr>
              <w:t>Common stock issued upon exercise of</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gridSpan w:val="4"/>
          </w:tcPr>
          <w:p>
            <w:pPr>
              <w:ind w:left="160"/>
              <w:spacing w:after="0" w:line="202" w:lineRule="exact"/>
              <w:rPr>
                <w:sz w:val="20"/>
                <w:szCs w:val="20"/>
                <w:color w:val="auto"/>
              </w:rPr>
            </w:pPr>
            <w:r>
              <w:rPr>
                <w:rFonts w:ascii="Times New Roman" w:cs="Times New Roman" w:eastAsia="Times New Roman" w:hAnsi="Times New Roman"/>
                <w:sz w:val="18"/>
                <w:szCs w:val="18"/>
                <w:color w:val="010101"/>
              </w:rPr>
              <w:t>stock options and vesting of restricted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010101"/>
              </w:rPr>
              <w:t>stock units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10101"/>
              </w:rPr>
              <w:t>1,552,583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Stock-based compensation</w:t>
            </w: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010101"/>
              </w:rPr>
              <w:t>Net loss</w:t>
            </w: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0" w:type="dxa"/>
            <w:vAlign w:val="bottom"/>
          </w:tcPr>
          <w:p>
            <w:pPr>
              <w:spacing w:after="0"/>
              <w:rPr>
                <w:sz w:val="1"/>
                <w:szCs w:val="1"/>
                <w:color w:val="auto"/>
              </w:rPr>
            </w:pPr>
          </w:p>
        </w:tc>
      </w:tr>
      <w:tr>
        <w:trPr>
          <w:trHeight w:val="25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March 31, 2023</w:t>
            </w: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10101"/>
                <w:w w:val="97"/>
              </w:rPr>
              <w:t>121,559,340</w:t>
            </w: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010101"/>
              </w:rPr>
              <w:t>19,937,500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762,274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(423,285)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339,003</w:t>
            </w:r>
          </w:p>
        </w:tc>
        <w:tc>
          <w:tcPr>
            <w:tcW w:w="0" w:type="dxa"/>
            <w:vAlign w:val="bottom"/>
          </w:tcPr>
          <w:p>
            <w:pPr>
              <w:spacing w:after="0"/>
              <w:rPr>
                <w:sz w:val="1"/>
                <w:szCs w:val="1"/>
                <w:color w:val="auto"/>
              </w:rPr>
            </w:pPr>
          </w:p>
        </w:tc>
      </w:tr>
      <w:tr>
        <w:trPr>
          <w:trHeight w:val="225"/>
        </w:trPr>
        <w:tc>
          <w:tcPr>
            <w:tcW w:w="3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10101"/>
              </w:rPr>
              <w:t>Common stock issued upon exercise of</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gridSpan w:val="4"/>
          </w:tcPr>
          <w:p>
            <w:pPr>
              <w:ind w:left="160"/>
              <w:spacing w:after="0" w:line="202" w:lineRule="exact"/>
              <w:rPr>
                <w:sz w:val="20"/>
                <w:szCs w:val="20"/>
                <w:color w:val="auto"/>
              </w:rPr>
            </w:pPr>
            <w:r>
              <w:rPr>
                <w:rFonts w:ascii="Times New Roman" w:cs="Times New Roman" w:eastAsia="Times New Roman" w:hAnsi="Times New Roman"/>
                <w:sz w:val="18"/>
                <w:szCs w:val="18"/>
                <w:color w:val="010101"/>
              </w:rPr>
              <w:t>stock options and vesting of restricted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color w:val="010101"/>
              </w:rPr>
              <w:t>stock units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10101"/>
              </w:rPr>
              <w:t>74,273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Stock-based compensation</w:t>
            </w: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010101"/>
              </w:rPr>
              <w:t>Net loss</w:t>
            </w:r>
          </w:p>
        </w:tc>
        <w:tc>
          <w:tcPr>
            <w:tcW w:w="10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(25,573)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(25,573)</w:t>
            </w: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June 30, 2023</w:t>
            </w: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10101"/>
                <w:w w:val="97"/>
              </w:rPr>
              <w:t>121,633,613</w:t>
            </w: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010101"/>
              </w:rPr>
              <w:t>19,937,500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764,139</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(448,858)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315,295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0" w:right="339" w:bottom="1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19"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(42,573)</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Non-cash lease expense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(Gain) loss on marketable securities, net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(Accretion) amortization on marketable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(Gain) loss on disposal of fixed assets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Write-down of inventory</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8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(51,623)</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Internally developed software - capitalized costs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(208,788)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178,400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55,238</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offering costs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Refund of issuance costs from 2021 Business Combination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133,860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84,319</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purchased but not paid</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offering costs payable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The Company’s legal name became Quantum-Si Incorporated following a business combination on June 10, 2021 between the Company and Q-SI Operations Inc. (formerly Quantum-Si Incorporated) (the “Business Combination”), which was founded in 2013.</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the ability to sequence proteins in a massively parallel fashion (rather than sequentially, one at a time), and can be used for the study of nucleic acids. The Company’s platform is currently comprised of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instrument, the Platinum Analysis Software service, reagent kits and semiconductor chips for use with its instruments.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2023. The Condensed Consolidated Balance Sheet as of December 31, 2023 included herein was derived from the audited Consolidated Financial Statements as of that date, but does not include all disclosures, including certain notes required by U.S. GAAP, on an annual reporting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reflect all normal recurring adjustments necessary to fairly state the financial position, results of operations, and cash flows for the interim periods. The results for the three and six months ended June 30, 2024 are not necessarily indicative of the results to be expected for any subsequent quarter, the year ending December 31, 2024, or any other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described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2023,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does not expect to be significantly impacted by the conflicts in Ukraine or Israel and Gaza, the Company has experienced some constraints in product and material availability and increasing costs required to obtain some materials and supplies as a result of these conflicts on the global economy. To date, the Company’s business has not been materially impacted by the conflicts, however, as the conflicts continue or worsen, it may adversely impact the Company’s business, financial condition, results of operations and/or cash flows.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marketable securities. As of June 30, 2024 and December 31, 2023, the Company’s marketable securities consist of money market mutual funds, U.S. Treasury securities and commercial paper.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considerable length of time to obtain alternative sources, which could affect the Company’s development efforts and commercial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its Chief Executive Officer, reviews the Company’s financial information on a consolidated basis for purposes of allocating resources and evaluating its financial performance. Accordingly, the Company has determined that it operates as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the Company to make estimates and assumptions about future events that may affect the amounts recorded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with respect to deferred tax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for 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associated with revenue recognition;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valuation is established based on a number of factors including, but not limited to, finished goods not meeting product specifications, product excess and obsolescence, or application of the lower of cost or net realizable value concepts. The determination of events requiring the establishment of inventory valuation, together with the calculation of the amount of such adjustments may require judgment. The Company performs an assessment of the recoverability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capitalized inventory during each reporting period and, if needed, records a write-down of inventory to its estimated net realizable value in the period it is identified. For further discussion related to inventory, please refer to </w:t>
      </w:r>
      <w:r>
        <w:rPr>
          <w:rFonts w:ascii="Times New Roman" w:cs="Times New Roman" w:eastAsia="Times New Roman" w:hAnsi="Times New Roman"/>
          <w:sz w:val="18"/>
          <w:szCs w:val="18"/>
          <w:u w:val="single" w:color="auto"/>
          <w:color w:val="0000FF"/>
        </w:rPr>
        <w:t>Note 5. Inventory</w:t>
      </w:r>
      <w:r>
        <w:rPr>
          <w:rFonts w:ascii="Times New Roman" w:cs="Times New Roman" w:eastAsia="Times New Roman" w:hAnsi="Times New Roman"/>
          <w:sz w:val="18"/>
          <w:szCs w:val="18"/>
          <w:color w:val="auto"/>
          <w:highlight w:val="white"/>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outstanding warrants include publicly traded warrants (the “Public Warrants”) and warrants sold in a private placement (the “Private Warrants”). The Public Warrants and Private Warrants meet the definition of a derivative, and the Company recorded these warrants as long-term liabilities in the Condensed Consolidated Balance Sheets at fair value upon initial recognition, with subsequent changes in their respective fair values recognized in the Condensed Consolidated Statements of Operations and Comprehensive Loss at each reporting date. For further discussion related to the Public Warrants and Private Warrants, please refer to </w:t>
      </w:r>
      <w:r>
        <w:rPr>
          <w:rFonts w:ascii="Times New Roman" w:cs="Times New Roman" w:eastAsia="Times New Roman" w:hAnsi="Times New Roman"/>
          <w:sz w:val="18"/>
          <w:szCs w:val="18"/>
          <w:u w:val="single" w:color="auto"/>
          <w:color w:val="0000FF"/>
        </w:rPr>
        <w:t>Note 11. Warrant Liabilities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The Company has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considers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The Company typically provides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Condensed Consolidated Statements of Operations and Comprehensive Loss. The Company has determined the standard first-year warranty is not a distinct performance obligation.</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type of revenue. The Company believes product revenue and service revenue aggregate the customer types by nature, amount, timing and uncertainty of its revenue streams. Total revenue generated from domestic sales was $0.2</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million and $0.1 million for the three months ended June 30, 2024 and June 30, 2023, respectively, and $0.4 million for each of the six months ended June 30, 2024 and June 30, 2023. Total revenue generated from international sales was $0.4 million and $0.1 million for the three months ended June 30, 2024 and June 30, 2023, respectively, and $0.7 million and $0.1 million for the six months ended June 30, 2024 and June 30, 2023,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that consists of customer payments received in advance of performance or billings in excess of revenue recognized, net of revenue recognized from the balance at the beginning of the period.</w:t>
      </w:r>
    </w:p>
    <w:p>
      <w:pPr>
        <w:jc w:val="both"/>
        <w:spacing w:after="0" w:line="252" w:lineRule="auto"/>
        <w:rPr>
          <w:sz w:val="20"/>
          <w:szCs w:val="20"/>
          <w:color w:val="auto"/>
        </w:rPr>
      </w:pPr>
      <w:r>
        <w:rPr>
          <w:rFonts w:ascii="Times New Roman" w:cs="Times New Roman" w:eastAsia="Times New Roman" w:hAnsi="Times New Roman"/>
          <w:sz w:val="18"/>
          <w:szCs w:val="18"/>
          <w:color w:val="auto"/>
        </w:rPr>
        <w:t>Deferred revenue primarily consists of billings and payments received in advance of revenue recognition from service maintenance contracts including software subscription and advanced training, and is reduced as the revenue recognition criteria are met. Deferred revenue that will be recognized as revenue within the succeeding 12-month period is recorded as current and is included within Accrued expenses and other current liabilities in the Company’s Condensed Consolidated Balance Sheets. The portion of deferred revenue where revenue is expected to be recognized beyond 12 months from the reporting date is recorded as non-current deferred revenue and is included in Other long-term liabilities in the Company’s Condensed Consolidated Balance Sheets.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both June 30, 2024 and December 31, 2023, the Company recorded $0.1 million of deferred revenue within Accrued expenses and other current liabilities in the Company’s Condensed Consolidated Balance Sheets. As of June 30, 2024 and December 31, 2023, amounts recorded within Other long-term liabilities in the Company’s Condensed Consolidated Balance Sheets were immaterial. The Company expects to recognize approximately 55% of its remaining performance obligations as revenue for the remainder of the year ending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performance conditions is recognized on an accelerated basis is recognized as though each vesting portion of the award was, in substance, a separate award.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completion of the Business Combination, the Company measures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the Company expenses stock-based compensation using the straight-line method over the requisite service period for the entire award. For awards with a market condition, the Company expenses the grant date fair value at the target over the vesting period regardless of the value the award recipients ultimately receive. The fair value of restricted stock without a market condition is estimated using the current market price of the Company’s Class A common stock on the date of grant. The fair value of stock option grants with a market condition is estimated at the date of grant using the Monte Carlo simulation model (“Monte Carlo”). The fair values of stock option grants are estimated as of the date of grant by applying the Black-Scholes option valuation model (“Black-Scholes”). The Black-Scholes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Black-Scholes is affected by the stock price on the date of the grant as well as assumptions regarding a number of highly complex and subjective variables. These variables include the expected term of the option, expected risk-free interest rate, the expected volatility of Class A common stock, and expected dividend yield; each of which is described below. The assumptions for expected term and expected volatility are the two assumptions that significantly affect the grant date fair value.</w:t>
      </w:r>
    </w:p>
    <w:p>
      <w:pPr>
        <w:spacing w:after="0" w:line="17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using the “simplified” method, which is the simple average of the vesting period and the contractual term.</w:t>
      </w:r>
    </w:p>
    <w:p>
      <w:pPr>
        <w:spacing w:after="0" w:line="63"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for periods within the expected term of the awards is based on the U.S. Treasury yield curve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at the time of the grant.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The Company determined expected annual equity volatility based on a weighted average of the historical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Class A common stock and that of a selected peer group of comparable companies as the Company does not have a sufficient historical trading history of its own Class A common stock.</w:t>
      </w:r>
    </w:p>
    <w:p>
      <w:pPr>
        <w:spacing w:after="0" w:line="11"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Because the Company has never paid a dividend and does not expect to begin doing so in the foreseeable future,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assumes no dividend yield in valuing the stock-based awards.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taken directly from the grant notice issued to employees and nonemployees.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which contains amendments to the Codification that remove references to various Concepts Statements. The amendments in ASU 2024-02 are not intended to result in significant accounting changes for most entities. The amendments in this update are effective for fiscal years beginning after December 15, 2024, with early adoption permitted. The Company is currently evaluating the impact ASU 2024-02 may have on its Consolidated Financial Statements and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with early adoption permitted. The amendments may be applied prospectively or retrospectively. The Company is currently evaluating the impact ASU 2023-09 may have on its Consolidated Financial Statements and disclosures.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enhanced disclosures about significant segment expenses. In addition, the ASU clarified that single reportable segment entities must apply Topic 280 in its entirely. The ASU does not change how an entity identifies its operating segments, aggregates those operating segments, or applies the quantitative thresholds to determine its reportable segments. The ASU is required to be applied retrospectively to all periods presented in the financial statements and is effective for fiscal years beginning after December 15, 2023, and interim periods within fiscal years beginning after December 15, 2024, with early adoption permitted. The Company is currently evaluating the impact ASU 2023-07 may have on its Consolidated Financial Statements and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 in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Company’s investments in marketable securities were determined to be available-for-sale securities. Gross unrealized gains or losses resulting from changes in the fair value of available-for-sale securities for the three and six months ended June 30, 2024 were immaterial. There were no such gains or losses for the three and six months ended June 30,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and interest income from marketable securities and realized and unrealized gain on marketable securities, net, related to the Company’s available-for-sale securities for the three and six months ended June 30, 2024 and trading securities for the three and six months ended June 30, 2023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29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4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r>
      <w:tr>
        <w:trPr>
          <w:trHeight w:val="270"/>
        </w:trPr>
        <w:tc>
          <w:tcPr>
            <w:tcW w:w="544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 from marketable securities</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marketable securities</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2,519</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marketable securities, net</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securities recorded within Marketable securities in the Condensed Consolidated Balance Sheets as of June 30, 2024 and December 31, 2023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0" w:type="dxa"/>
            <w:vAlign w:val="bottom"/>
            <w:tcBorders>
              <w:top w:val="single" w:sz="8" w:color="auto"/>
            </w:tcBorders>
          </w:tcPr>
          <w:p>
            <w:pPr>
              <w:jc w:val="center"/>
              <w:ind w:left="1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left="1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0" w:type="dxa"/>
            <w:vAlign w:val="bottom"/>
          </w:tcPr>
          <w:p>
            <w:pPr>
              <w:jc w:val="center"/>
              <w:ind w:left="2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Realized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left="1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682"/>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0" w:type="dxa"/>
            <w:vAlign w:val="bottom"/>
          </w:tcPr>
          <w:p>
            <w:pPr>
              <w:spacing w:after="0"/>
              <w:rPr>
                <w:sz w:val="1"/>
                <w:szCs w:val="1"/>
                <w:color w:val="auto"/>
              </w:rPr>
            </w:pPr>
          </w:p>
        </w:tc>
      </w:tr>
      <w:tr>
        <w:trPr>
          <w:trHeight w:val="263"/>
        </w:trPr>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250"/>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158,565</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3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0" w:type="dxa"/>
            <w:vAlign w:val="bottom"/>
          </w:tcPr>
          <w:p>
            <w:pPr>
              <w:jc w:val="center"/>
              <w:ind w:left="1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00" w:type="dxa"/>
            <w:vAlign w:val="bottom"/>
            <w:gridSpan w:val="2"/>
          </w:tcPr>
          <w:p>
            <w:pPr>
              <w:spacing w:after="0"/>
              <w:rPr>
                <w:sz w:val="21"/>
                <w:szCs w:val="21"/>
                <w:color w:val="auto"/>
              </w:rPr>
            </w:pPr>
          </w:p>
        </w:tc>
        <w:tc>
          <w:tcPr>
            <w:tcW w:w="12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696"/>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4"/>
                <w:szCs w:val="24"/>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0" w:type="dxa"/>
            <w:vAlign w:val="bottom"/>
          </w:tcPr>
          <w:p>
            <w:pPr>
              <w:spacing w:after="0"/>
              <w:rPr>
                <w:sz w:val="1"/>
                <w:szCs w:val="1"/>
                <w:color w:val="auto"/>
              </w:rPr>
            </w:pPr>
          </w:p>
        </w:tc>
      </w:tr>
      <w:tr>
        <w:trPr>
          <w:trHeight w:val="257"/>
        </w:trPr>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50"/>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-2390775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-2099310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-1773555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-822325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-530860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-205105</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290"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available-for-sale securities included within Marketable securities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 by remaining contractual maturity, are as follows (in thousands):</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Fair Value of Financial Instruments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Over</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5"/>
                <w:szCs w:val="15"/>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158,565</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158,565</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Over</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5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7"/>
        </w:trPr>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-2493645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-2202180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-1876425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-822325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83" w:lineRule="exact"/>
        <w:rPr>
          <w:sz w:val="20"/>
          <w:szCs w:val="20"/>
          <w:color w:val="auto"/>
        </w:rPr>
      </w:pPr>
    </w:p>
    <w:p>
      <w:pPr>
        <w:sectPr>
          <w:pgSz w:w="11900" w:h="16838" w:orient="portrait"/>
          <w:cols w:equalWidth="0" w:num="2">
            <w:col w:w="4320" w:space="720"/>
            <w:col w:w="6200"/>
          </w:cols>
          <w:pgMar w:left="320" w:top="290" w:right="339" w:bottom="1440" w:gutter="0" w:footer="0" w:header="0"/>
          <w:type w:val="continuous"/>
        </w:sectPr>
      </w:pP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of significant judgment, they cannot be determined with precision. Changes in assumptions can significantly affect estimated fair value.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7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 At June 30, 2024 and December 31, 2023, the Company’s investment portfolio included available-for-sale securities which were comprised of money market funds, U.S. treasury bills and commercial paper. The Company has U.S. Treasury bills and commercial papers that are classified as Level 2 due to the fair value for these instruments being determined by utilizing observable inputs in similar assets or identical assets in non-active markets. The fair value of certain of the U.S. Treasury bills transferred to Level 2 from Level 1 of the fair value hierarchy due to trading activity, observability and accessibility of the pricing information from the most active market of the investment.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recorded as Warrant liabilities in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Warrants and Private Warrants were carried at fair value as of June 30, 2024 and December 31, 2023. The Public Warrants were valued using Level 1 inputs as they are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June 30, 2024, the significant assumptions used in preparing the binomial lattice model for valuing the Private Warrants liability include (i) volatility of 112.4%, (ii) risk-free interest rate of 4.70%, (iii) strike price of $11.50, (iv) fair value of Class A common stock of $1.05, and (v) expected life of 1.9 years. As of December 31, 2023, the significant assumptions used in preparing the binomial lattice model for valuing the Private Warrants liability include (i) volatility of 92.1%, (ii) risk-free interest rate of 4.10%, (iii) strike price of $11.50, (iv) fair value of Class A common stock of $2.01, and (v) expected life of 2.4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and liabilities in the Condensed Consolidated Balance Sheets as of June 30, 2024 and December 31, 2023, that are measured at fair value on a recurring basis, by level,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63"/>
        </w:trPr>
        <w:tc>
          <w:tcPr>
            <w:tcW w:w="5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w:t>
            </w: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148,864</w:t>
            </w: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r>
      <w:tr>
        <w:trPr>
          <w:trHeight w:val="25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186,215</w:t>
            </w:r>
          </w:p>
        </w:tc>
        <w:tc>
          <w:tcPr>
            <w:tcW w:w="80" w:type="dxa"/>
            <w:vAlign w:val="bottom"/>
          </w:tcPr>
          <w:p>
            <w:pPr>
              <w:spacing w:after="0"/>
              <w:rPr>
                <w:sz w:val="22"/>
                <w:szCs w:val="22"/>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63"/>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7"/>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64"/>
        </w:trPr>
        <w:tc>
          <w:tcPr>
            <w:tcW w:w="5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w:t>
            </w: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r>
      <w:tr>
        <w:trPr>
          <w:trHeight w:val="27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60,672</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5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consists of the following as of June 30, 2024 and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56"/>
        </w:trPr>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77"/>
        </w:trPr>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50"/>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7"/>
        </w:trPr>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2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charges for inventory write-downs of $1.0 million and $1.6 million, respectively, in Research and Development expenses in the Condensed Consolidated Statements of Operations and Comprehensive Loss. There were no charges for inventory write-downs during the three and six months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June 30, 2024 and December 31, 2023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5"/>
        </w:trPr>
        <w:tc>
          <w:tcPr>
            <w:tcW w:w="8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Depreciation and amortization expense is included within Selling, general and administrative expenses in the </w:t>
      </w:r>
      <w:r>
        <w:rPr>
          <w:rFonts w:ascii="Times New Roman" w:cs="Times New Roman" w:eastAsia="Times New Roman" w:hAnsi="Times New Roman"/>
          <w:sz w:val="17"/>
          <w:szCs w:val="17"/>
          <w:color w:val="auto"/>
        </w:rPr>
        <w:t>Condensed Consolidated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Operations and Comprehensive Loss. Depreciation and amortization expense was $1.4 million and $1.0 million for the three months ended June 30, 2024 and 2023, respectively, and $2.4 million and $1.8 million for the six months ended June 30, 2024 and 2023, respectively. No impairments were recorded for the three and six months ended June 30, 2024 or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Lease-related costs for the three and six months ended June 30, 2024 and 2023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25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50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70"/>
        </w:trPr>
        <w:tc>
          <w:tcPr>
            <w:tcW w:w="506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June 30, 2024 are as follows (dollars in thousands):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64"/>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Remaining Lease</w:t>
            </w:r>
          </w:p>
        </w:tc>
      </w:tr>
      <w:tr>
        <w:trPr>
          <w:trHeight w:val="238"/>
        </w:trPr>
        <w:tc>
          <w:tcPr>
            <w:tcW w:w="9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5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2,241</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4,527</w:t>
            </w:r>
          </w:p>
        </w:tc>
      </w:tr>
      <w:tr>
        <w:trPr>
          <w:trHeight w:val="26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4,585</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4,549</w:t>
            </w:r>
          </w:p>
        </w:tc>
      </w:tr>
      <w:tr>
        <w:trPr>
          <w:trHeight w:val="26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2,975</w:t>
            </w:r>
          </w:p>
        </w:tc>
      </w:tr>
      <w:tr>
        <w:trPr>
          <w:trHeight w:val="25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10,052</w:t>
            </w:r>
          </w:p>
        </w:tc>
      </w:tr>
      <w:tr>
        <w:trPr>
          <w:trHeight w:val="257"/>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undiscounted lease payments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28,929</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(6,179)</w:t>
            </w:r>
          </w:p>
        </w:tc>
      </w:tr>
      <w:tr>
        <w:trPr>
          <w:trHeight w:val="29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incentives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(9,104)</w:t>
            </w:r>
          </w:p>
        </w:tc>
      </w:tr>
      <w:tr>
        <w:trPr>
          <w:trHeight w:val="24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13,646</w:t>
            </w:r>
          </w:p>
        </w:tc>
      </w:tr>
      <w:tr>
        <w:trPr>
          <w:trHeight w:val="25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(1,655)</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11,991</w:t>
            </w:r>
          </w:p>
        </w:tc>
      </w:tr>
      <w:tr>
        <w:trPr>
          <w:trHeight w:val="21"/>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6"/>
          <w:szCs w:val="26"/>
          <w:color w:val="auto"/>
          <w:vertAlign w:val="superscript"/>
        </w:rPr>
        <w:t>(1)</w:t>
      </w:r>
      <w:r>
        <w:rPr>
          <w:sz w:val="20"/>
          <w:szCs w:val="20"/>
          <w:color w:val="auto"/>
        </w:rPr>
        <w:tab/>
      </w:r>
      <w:r>
        <w:rPr>
          <w:rFonts w:ascii="Times New Roman" w:cs="Times New Roman" w:eastAsia="Times New Roman" w:hAnsi="Times New Roman"/>
          <w:sz w:val="18"/>
          <w:szCs w:val="18"/>
          <w:color w:val="auto"/>
        </w:rPr>
        <w:t>Includes lease incentives that may be realized in 2024 for the costs of leasehold improvements.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cash flow information related to the Company’s right-of-use assets and lease liabilities for the six months ended June 30, 2024 and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0"/>
        </w:trPr>
        <w:tc>
          <w:tcPr>
            <w:tcW w:w="8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paid to settle operating lease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Company signed a 10-year lease for approximately 67,000 square feet of space in New Haven, Connecticut. The lease commenced on January 8, 2022 with rent payments beginning on July 7, 2022. Under the lease, the landlord contractually agreed to reimburse the Company for up to $9.1 million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The Company accounted for these lease incentives as an offset to the lease liability recorded at the inception of the lease. Although the Company believes it is contractually entitled to the $9.1 million of lease incentives, based on the current status of the litigation, the Company cannot determine the likely outcome or estimate the impact on such carrying values.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and recognized total leasehold improvements of approximately $1.2 million and $1.6 million related to reimbursable construction costs which are included in construction in progress within Property and equipment, net, on the Condensed Consolidated Balance Sheets as of June 30, 2024 and December 31,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8"/>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8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June 30, 2024, there were 13,055,792 shares available for future grant under the 2021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Inducement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The terms and conditions of the 2023 Inducement Plan are substantially similar to those of the 2021 Plan. As of June 30, 2024, there were 60,250 shares remaining available for issuance under the 2023 Inducement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$1.8 million and $2.3 million for stock-based compensation related to stock options for the three months ended June 30, 2024 and 2023, respectively, and $3.1 million and $4.6 million for the six months ended June 30, 2024 and 2023,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and records the compensation cost associated with the grants described above with an offsetting entry to paid-in capital. The Company utilized the Black-Scholes option pricing model for determining the estimated fair value for service or performance-based stock awards where performance is not tied to market conditions. The Black-Scholes option pricing model requires the use of subjective assumptions which determine the fair value of stock-based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award granted during the six months ended June 30, 2024 was estimated as of the grant date using a Black-Scholes model with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Pr>
          <w:p>
            <w:pPr>
              <w:spacing w:after="0"/>
              <w:rPr>
                <w:sz w:val="18"/>
                <w:szCs w:val="18"/>
                <w:color w:val="auto"/>
              </w:rPr>
            </w:pPr>
          </w:p>
        </w:tc>
        <w:tc>
          <w:tcPr>
            <w:tcW w:w="23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9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00" w:type="dxa"/>
            <w:vAlign w:val="bottom"/>
          </w:tcPr>
          <w:p>
            <w:pPr>
              <w:spacing w:after="0"/>
              <w:rPr>
                <w:sz w:val="20"/>
                <w:szCs w:val="20"/>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- 5.2%</w:t>
            </w:r>
          </w:p>
        </w:tc>
      </w:tr>
      <w:tr>
        <w:trPr>
          <w:trHeight w:val="26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- 83.0%</w:t>
            </w:r>
          </w:p>
        </w:tc>
      </w:tr>
      <w:tr>
        <w:trPr>
          <w:trHeight w:val="25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7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six months ended June 30, 2024 is presented in the table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8"/>
                <w:szCs w:val="18"/>
                <w:color w:val="auto"/>
              </w:rPr>
            </w:pP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5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17"/>
                <w:szCs w:val="17"/>
                <w:color w:val="auto"/>
              </w:rPr>
            </w:pPr>
          </w:p>
        </w:tc>
        <w:tc>
          <w:tcPr>
            <w:tcW w:w="158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60" w:type="dxa"/>
            <w:vAlign w:val="bottom"/>
          </w:tcPr>
          <w:p>
            <w:pPr>
              <w:spacing w:after="0"/>
              <w:rPr>
                <w:sz w:val="17"/>
                <w:szCs w:val="17"/>
                <w:color w:val="auto"/>
              </w:rPr>
            </w:pPr>
          </w:p>
        </w:tc>
        <w:tc>
          <w:tcPr>
            <w:tcW w:w="14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65"/>
        </w:trPr>
        <w:tc>
          <w:tcPr>
            <w:tcW w:w="498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22,511,900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22,987,156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9,280,378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Modification of Performance 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 common stock trade above specified levels for certain periods of time. The fair values of the awards were estimated at the grant date using the Monte Carlo simulation model.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is approximately $2.4 million within Selling, general and administrative operating expenses in the Condensed Consolidated Statements of Operations and Comprehensive Loss. Incremental stock-based compensation expense for each of the three and six months ended June 30, 2024 was $0.2 million. There were no such modifications to performance-based stock option awards for the three and six months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expense of $0.7 million and a reversal of $0.5 million for stock-based compensation expense related restricted stock unit (“RSU”) awards for the three months ended June 30, 2024 and 2023, respectively, and expense of $1.0 million and $1.2 million for the six months ended June 30, 2024 and 2023, respectively. The three and six months ended June 30, 2023 included a reversal of stock-based compensation expense for the Company’s former Chief Financial Officer and certain members of the Company’s board of directors (the “Board”) as the service condition of certain awards previously granted were not met.</w:t>
      </w:r>
    </w:p>
    <w:p>
      <w:pPr>
        <w:sectPr>
          <w:pgSz w:w="11900" w:h="16838" w:orient="portrait"/>
          <w:cols w:equalWidth="0" w:num="1">
            <w:col w:w="11240"/>
          </w:cols>
          <w:pgMar w:left="320" w:top="29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for the six months ended June 30, 2024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RSUs at December 31, 2023</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Vested</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RSUs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49"/>
        </w:trPr>
        <w:tc>
          <w:tcPr>
            <w:tcW w:w="14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37"/>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5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6,329,373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5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91"/>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(352,997)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56"/>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6,369,699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290"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stock-based compensation is allocated to the following operating expense categories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60" w:type="dxa"/>
            <w:vAlign w:val="bottom"/>
          </w:tcPr>
          <w:p>
            <w:pPr>
              <w:spacing w:after="0"/>
              <w:rPr>
                <w:sz w:val="22"/>
                <w:szCs w:val="22"/>
                <w:color w:val="auto"/>
              </w:rPr>
            </w:pPr>
          </w:p>
        </w:tc>
        <w:tc>
          <w:tcPr>
            <w:tcW w:w="31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2"/>
                <w:szCs w:val="22"/>
                <w:color w:val="auto"/>
              </w:rPr>
            </w:pPr>
          </w:p>
        </w:tc>
        <w:tc>
          <w:tcPr>
            <w:tcW w:w="27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0"/>
        </w:trPr>
        <w:tc>
          <w:tcPr>
            <w:tcW w:w="5060" w:type="dxa"/>
            <w:vAlign w:val="bottom"/>
            <w:tcBorders>
              <w:bottom w:val="single" w:sz="8" w:color="CCEEFF"/>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both basic earnings per share (“EPS”) and diluted EPS. Basic net loss per share is computed by dividing net loss by the weighted-average number of shares of common stock outstanding for the period. Diluted net loss per share is computed by giving effect to all common share equivalents to the extent they are dilutive. Basic and diluted net loss per share was the same for each period presented as the inclusion of all common share equivalents would have been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calculations for the three and six months ended June 30, 2024 and 2023 of basic and diluted net loss per share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1"/>
                <w:szCs w:val="21"/>
                <w:color w:val="auto"/>
              </w:rPr>
            </w:pPr>
          </w:p>
        </w:tc>
        <w:tc>
          <w:tcPr>
            <w:tcW w:w="2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(49,184)</w:t>
            </w: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EPS - loss attributable to common</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(49,184)</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140,897</w:t>
            </w:r>
          </w:p>
        </w:tc>
        <w:tc>
          <w:tcPr>
            <w:tcW w:w="0" w:type="dxa"/>
            <w:vAlign w:val="bottom"/>
          </w:tcPr>
          <w:p>
            <w:pPr>
              <w:spacing w:after="0"/>
              <w:rPr>
                <w:sz w:val="1"/>
                <w:szCs w:val="1"/>
                <w:color w:val="auto"/>
              </w:rPr>
            </w:pPr>
          </w:p>
        </w:tc>
      </w:tr>
      <w:tr>
        <w:trPr>
          <w:trHeight w:val="185"/>
        </w:trPr>
        <w:tc>
          <w:tcPr>
            <w:tcW w:w="5040" w:type="dxa"/>
            <w:vAlign w:val="bottom"/>
          </w:tcPr>
          <w:p>
            <w:pPr>
              <w:ind w:left="140"/>
              <w:spacing w:after="0" w:line="185" w:lineRule="exact"/>
              <w:rPr>
                <w:sz w:val="20"/>
                <w:szCs w:val="20"/>
                <w:color w:val="auto"/>
              </w:rPr>
            </w:pPr>
            <w:r>
              <w:rPr>
                <w:rFonts w:ascii="Times New Roman" w:cs="Times New Roman" w:eastAsia="Times New Roman" w:hAnsi="Times New Roman"/>
                <w:sz w:val="18"/>
                <w:szCs w:val="18"/>
                <w:color w:val="auto"/>
              </w:rPr>
              <w:t>Denominator for basic and diluted EPS - weighted-average</w:t>
            </w:r>
          </w:p>
        </w:tc>
        <w:tc>
          <w:tcPr>
            <w:tcW w:w="2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141,939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141,507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140,897</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net loss per share attributable to Class A and Class B common stockholders was the same on a basic and diluted basis, as the inclusion of all potential common equivalent shares outstanding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dilutive shares were excluded from the calculation of diluted net loss per share because their effect would be anti-dilutive for the three and six months ended June 30, 2024 and 2023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20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70"/>
        </w:trPr>
        <w:tc>
          <w:tcPr>
            <w:tcW w:w="81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22,987,156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27,194,585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6,369,699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469,492</w:t>
            </w: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r>
      <w:tr>
        <w:trPr>
          <w:trHeight w:val="250"/>
        </w:trPr>
        <w:tc>
          <w:tcPr>
            <w:tcW w:w="81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33,325,174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31,632,396</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Public Warrants at $0.01 per warrant, each holder of Public Warrants will be entitled to exercise their Public Warrants held prior to the scheduled redemption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$0.01 as described above, the Board may elect to require any holder that wishes to exercise his, her or its Public Warrants to do so on a “cashless basis.” If the Board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w:t>
      </w:r>
    </w:p>
    <w:p>
      <w:pPr>
        <w:spacing w:after="0" w:line="3" w:lineRule="exact"/>
        <w:rPr>
          <w:sz w:val="20"/>
          <w:szCs w:val="20"/>
          <w:color w:val="auto"/>
        </w:rPr>
      </w:pPr>
    </w:p>
    <w:p>
      <w:pPr>
        <w:jc w:val="both"/>
        <w:ind w:firstLine="8"/>
        <w:spacing w:after="0" w:line="255"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do not meet the criteria to be classified in stockholders’ equity as the exercise of the Public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long-term liabilities in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there were 135,000 Private Warrants outstanding. The Private Warrants are identical to the Public Warrants, except that so long as they are held by HighCape Capital Acquisition LLC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HighCape Capital Acquisition LLC or any of its permitted transferees, the Private Warrants will be redeemable by the Company in all redemption scenarios applicable to the Public Warrants and exercisable by such holders on the same basis as the Public Warrants.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long-term liabilities in the Condensed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warrant liabilities was $0.5 million and $1.3 million as of June 30, 2024 and December 31, 2023, respectively. The Company recognized a gain of $0.5 million and a loss of $0.3 million as a Change in fair value of warrant liabilities in the </w:t>
      </w:r>
      <w:r>
        <w:rPr>
          <w:rFonts w:ascii="Times New Roman" w:cs="Times New Roman" w:eastAsia="Times New Roman" w:hAnsi="Times New Roman"/>
          <w:sz w:val="17"/>
          <w:szCs w:val="17"/>
          <w:color w:val="auto"/>
        </w:rPr>
        <w:t>Condensed Consolidated Statements of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Comprehensive Loss for the three months ended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June 30, 2024 and 2023, respectively. The Company recognized gains of $0.8 million and $0.1 million as a Change in fair value of warrant liabilities in the </w:t>
      </w:r>
      <w:r>
        <w:rPr>
          <w:rFonts w:ascii="Times New Roman" w:cs="Times New Roman" w:eastAsia="Times New Roman" w:hAnsi="Times New Roman"/>
          <w:sz w:val="17"/>
          <w:szCs w:val="17"/>
          <w:color w:val="auto"/>
        </w:rPr>
        <w:t>Condensed Consolidated Statements of Operations and Comprehensive Loss for the six months ended June 30, 2024 and 2023, respectively. There were no exercises or redemptions of the Public Warrants or Private Warrants during the three and six months ended June 30, 2024 or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committed to organizational restructurings during the first and third quarters of 2023, designed to decrease its costs and create a more streamlined organization to support its business. As of December 31, 2023, the Company recorded a restructuring liability of $0.5 million which is included in Accrued expenses and other current liabilities in the Condensed Consolidated Balance Sheets. As of June 30, 2024, the restructuring liability recorded was immaterial.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restructuring costs, primarily for cash severance and other severance costs, are allocated to the following operating expense categories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Research and</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w:t>
            </w:r>
          </w:p>
        </w:tc>
        <w:tc>
          <w:tcPr>
            <w:tcW w:w="360" w:type="dxa"/>
            <w:vAlign w:val="bottom"/>
          </w:tcPr>
          <w:p>
            <w:pPr>
              <w:spacing w:after="0"/>
              <w:rPr>
                <w:sz w:val="18"/>
                <w:szCs w:val="18"/>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57"/>
        </w:trPr>
        <w:tc>
          <w:tcPr>
            <w:tcW w:w="62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Restructuring charges incurred</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63"/>
        </w:trPr>
        <w:tc>
          <w:tcPr>
            <w:tcW w:w="62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 of June 30, 2024</w:t>
            </w: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Restructuring charges incurred and Cash payments and other adjustments include non-cash charges related to stock-based compensation expenses.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restructuring activities are complete. The Company does not expect to incur additional charges associated with these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three and six months ended June 30, 2024 and 2023 were recorded at the Company’s estimated annual effective income tax rate, subject to adjustments for discrete events, if they occur. The Company’s estimated annual effective tax rate for each of the three and six months ended June 30, 2024 and 2023 was 0.0%. The primary reconciling items between the federal statutory rate of 21.0% and the Company’s overall effective tax rate of 0.0% for these periods were related to stock-based compensation and the valuation allowance recorded against the full amount of the Company’s net deferred tax assets.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net deferred tax assets as of June 30, 2024 and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February 17, 2021, legacy Quantum-Si entered into a Master Services Agreement (“MSA”) with 4Catalyzer Corporation (“4C”), a company controlled by Dr. Jonathan Rothberg, a member of the Board, pursuant to which the Company may engage 4C to provide services such as general administration, facilities, information technology, financing,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legal, human resources and other services, through future statements of work and under terms and conditions to be determined by the parties with respect to any services to be provided. The Company incurred expenses payable to 4C of $0.1 million and $0.2 million for the three months ended June 30, 2024 and</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2023, respectively, and $0.1 million and $0.4 million for the six months ended June 30, 2024 and 2023, respectively. These expenses included amounts for month-to-month sublease arrangements for office and laboratory spaces from 4C and certain administrative expenses. These amounts are included in Selling, general and administrative expenses in the Condensed Consolidated Statements of Operations and Comprehensive Loss.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1, 2022, the Company entered into a Protein Engineering Collaboration (the “New Collaboration”) with Protein Evolution, Inc. (“PEI”) to develop technology and methods in the field of nanobodies and potentially other binders to produce novel biological reagents and related data. Dr. Rothberg serves as a member of the board of directors of PEI and the Rothberg family are controlling stockholders of PEI. As of June 30, 2024 and December 31, 2023, the amount due from PEI to the Company related to the New Collaboration was $0.1 million and $0.3 million, respectively. The New Collaboration was terminated effective May 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November 1, 2022, the Company entered into an Advisory Agreement with Dr. Rothberg (the “Advisory Agreement”), pursuant to which Dr. Rothberg serves as a member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related to certain intellectual property: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approximately $0.1 million as well as royalties based on net sales if the royalties exceed annual minimum fixed payments. As of June 30, 2024 and December 31, 2023, the Company had accrued royalties of approximately $0.1 million included in Accrued expenses and other current liabilities in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(the “401(k) Plan”). Contributions to the 401(k) Plan are discretionary. The Company did not make any matching contributions to the 401(k) Plan for the three and six months ended June 30,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The Company accrues contingent liabilities to the extent the liability is probable and estimable.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16, 2024, a punitive class action lawsuit was filed in the Delaware Court of Chancery, styled </w:t>
      </w:r>
      <w:r>
        <w:rPr>
          <w:rFonts w:ascii="Times New Roman" w:cs="Times New Roman" w:eastAsia="Times New Roman" w:hAnsi="Times New Roman"/>
          <w:sz w:val="18"/>
          <w:szCs w:val="18"/>
          <w:i w:val="1"/>
          <w:iCs w:val="1"/>
          <w:color w:val="auto"/>
        </w:rPr>
        <w:t>Farzad v. HighCape Capital, et al.</w:t>
      </w:r>
      <w:r>
        <w:rPr>
          <w:rFonts w:ascii="Times New Roman" w:cs="Times New Roman" w:eastAsia="Times New Roman" w:hAnsi="Times New Roman"/>
          <w:sz w:val="18"/>
          <w:szCs w:val="18"/>
          <w:color w:val="auto"/>
        </w:rPr>
        <w:t xml:space="preserve"> (the “Delaware Stockholder Litigation”). The Delaware Stockholder Litigation asserts breach of fiduciary duty claims against the former officers and directors of HighCape Capital Acquisition Corp., including Kevin Rakin, Matt Zuga, David Colpman, 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alleges that the transactions contemplated by the Business Combination were a product of an unfair process which was allegedly impacted by conflicts of interest, resulting in mispricing of the Business Combination. The complaint seeks, among other things, unspecified damages and attorneys’ fees and costs. There is no assurance that defendants will be successful in the defense of the litigation or that insurance will be available or adequate to fund any potential settlement 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or the litigation costs of the action. At the time of this filing the outcome of this matter is not estimable or probable.</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April 2023, the Company informed the contract manufacturer that had manufactured its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Carbon™ instruments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Although it is not possible to determine the potential financial exposure associated with the alleged claim at this time given its early stage, the Company believes it has a meritorious defense and intends to vigorously defend against all claims asserted in the complaint. At the time of this filing the outcome of this matter is not estimable or probable.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Condensed Consolidated Statements of Operations and Comprehensive Loss in connection with the indemnification provisions have not been material.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2023 contained in our Annual Report on Form 10-K for the year ended December 31, 2023, filed with the Securities and Exchange Commission (the “SEC”) on February 29, 2024,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2023 and our Quarterly Report on Form 10-Q for the quarter ended March 31, 2024.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six months ended June 30, 2024 and 2023, respectively, present the financial position and results of operations of Quantum-Si Incorporated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 (“NGPS”), the ability to sequence proteins in a massively parallel fashion (rather than sequentially, one at a time), that can be used for the study of nucleic acids. Our platform was designed to offer an end-to-end workflow including both sample preparation and sequencing and is comprised of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instrument, the Platinum Analysis Software service, and reagent kits and proprietary semiconductor chips for use with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We began a controlled launch of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in December 2022 and subsequently initiated a full commercial launch at the end of the first quarter of 2024.</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Now that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Platinum Analysis Software system has launched, we intend to follow a systematic, phased approach to continue to successfully launch updates to our platform. We believe we are the first company to successfully enable NGPS on a semiconductor chip, thus digitizing a massive proteomics opportunity, which allows for a massively parallel solution at the ultimate level of sensitivity - single-molecule detection. We believe our platform, which is designed to streamline sequencing and data analysis at a lower instrument cost than legacy proteomic solutions, could allow our product to have wide utility across the study of the proteome. For example, we believe our platform could be used for biomarker discovery and disease detection, pathway analysis, immune response, vaccine development, quality assurance and quality control, among other applications.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2024 as Compared to the Three and Six Months Ended June 30, 2023</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Consolidated Statements of Operations and Comprehensive Loss for the three and six months ended June 30, 2024 and 2023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8"/>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40" w:type="dxa"/>
            <w:vAlign w:val="bottom"/>
          </w:tcPr>
          <w:p>
            <w:pPr>
              <w:spacing w:after="0"/>
              <w:rPr>
                <w:sz w:val="19"/>
                <w:szCs w:val="19"/>
                <w:color w:val="auto"/>
              </w:rPr>
            </w:pPr>
          </w:p>
        </w:tc>
      </w:tr>
      <w:tr>
        <w:trPr>
          <w:trHeight w:val="29"/>
        </w:trPr>
        <w:tc>
          <w:tcPr>
            <w:tcW w:w="2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1"/>
                <w:szCs w:val="21"/>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5"/>
        </w:trPr>
        <w:tc>
          <w:tcPr>
            <w:tcW w:w="2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212.3 %</w:t>
            </w:r>
          </w:p>
        </w:tc>
        <w:tc>
          <w:tcPr>
            <w:tcW w:w="14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131.1 %</w:t>
            </w:r>
          </w:p>
        </w:tc>
      </w:tr>
      <w:tr>
        <w:trPr>
          <w:trHeight w:val="251"/>
        </w:trPr>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111.1 %</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219.0 %</w:t>
            </w:r>
          </w:p>
        </w:tc>
      </w:tr>
      <w:tr>
        <w:trPr>
          <w:trHeight w:val="229"/>
        </w:trPr>
        <w:tc>
          <w:tcPr>
            <w:tcW w:w="29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135.1 %</w:t>
            </w:r>
          </w:p>
        </w:tc>
      </w:tr>
      <w:tr>
        <w:trPr>
          <w:trHeight w:val="278"/>
        </w:trPr>
        <w:tc>
          <w:tcPr>
            <w:tcW w:w="2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111.0 %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77.4 %</w:t>
            </w:r>
          </w:p>
        </w:tc>
      </w:tr>
      <w:tr>
        <w:trPr>
          <w:trHeight w:val="257"/>
        </w:trPr>
        <w:tc>
          <w:tcPr>
            <w:tcW w:w="2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6"/>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353.8 %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208.4 %</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5"/>
        </w:trPr>
        <w:tc>
          <w:tcPr>
            <w:tcW w:w="2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51"/>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230"/>
        </w:trPr>
        <w:tc>
          <w:tcPr>
            <w:tcW w:w="29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26,970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56,315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(5,881)</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4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35"/>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and interest income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37.4 %</w:t>
            </w: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marketable securities, net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5"/>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882.7 %</w:t>
            </w: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3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(23,099)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(25,573)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(42,573)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(49,184)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6,611</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3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spacing w:after="0"/>
              <w:rPr>
                <w:sz w:val="20"/>
                <w:szCs w:val="20"/>
                <w:color w:val="auto"/>
              </w:rPr>
            </w:pPr>
          </w:p>
        </w:tc>
        <w:tc>
          <w:tcPr>
            <w:tcW w:w="10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nm</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nm</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(42,573)</w:t>
            </w:r>
          </w:p>
        </w:tc>
        <w:tc>
          <w:tcPr>
            <w:tcW w:w="10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
        </w:trPr>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Cost of Revenue and Gross Profit</w:t>
      </w:r>
    </w:p>
    <w:p>
      <w:pPr>
        <w:spacing w:after="0" w:line="2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Revenue is derived from sales of products and services. Product revenue is generated from the following sources: (i) sales of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(ii) consumables, which consist of sales of our library, sequencing reagents and semiconductor chips, and (iii) freight revenue, which is recognized upon shipment. Service revenue is generated from service maintenance contracts including Platinum Analysis Software access, and advanced training for instrument use.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revenue and Gross profit for the three and six months ended June 30, 2024 and 2023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1"/>
                <w:szCs w:val="21"/>
                <w:color w:val="auto"/>
              </w:rPr>
            </w:pPr>
          </w:p>
        </w:tc>
      </w:tr>
      <w:tr>
        <w:trPr>
          <w:trHeight w:val="257"/>
        </w:trPr>
        <w:tc>
          <w:tcPr>
            <w:tcW w:w="2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203.4 %</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135.1 %</w:t>
            </w:r>
          </w:p>
        </w:tc>
      </w:tr>
      <w:tr>
        <w:trPr>
          <w:trHeight w:val="25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111.0 %</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77.4 %</w:t>
            </w:r>
          </w:p>
        </w:tc>
      </w:tr>
      <w:tr>
        <w:trPr>
          <w:trHeight w:val="31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353.8 %</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208.4 %</w:t>
            </w:r>
          </w:p>
        </w:tc>
      </w:tr>
      <w:tr>
        <w:trPr>
          <w:trHeight w:val="217"/>
        </w:trPr>
        <w:tc>
          <w:tcPr>
            <w:tcW w:w="2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bl>
    <w:p>
      <w:pPr>
        <w:spacing w:after="0" w:line="30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Total revenue for the sale of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instruments, related reagent kits and service maintenance contracts increased $0.4 million, or 203.4%, and $0.6 million, or 135.1%, for the three and six months ended June 30, 2024, respectively, as compared to the same periods in 2023.</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increased $0.1 million, or 111.0%, and $0.2 million, or 77.4% for the three and six months ended June 30, 2024, respectively, as compared to the same periods in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increased $0.3 million, or 353.8%, and $0.4 million, or 208.4%, for the three and six months ended June 30, 2024, respectively, as compared to the same periods in 2023.</w:t>
      </w:r>
    </w:p>
    <w:p>
      <w:pPr>
        <w:spacing w:after="0" w:line="15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began a controlled launch of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and started to take orders in December 2022. We subsequently began limited commercial shipments of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January 2023 and subsequently initiated a full commercial launch at the end of the first quarter of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2024 and 2023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r>
      <w:tr>
        <w:trPr>
          <w:trHeight w:val="257"/>
        </w:trPr>
        <w:tc>
          <w:tcPr>
            <w:tcW w:w="29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14,381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15,834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(1,453)</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34,001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(7,519)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$1.5 million, or 9.2%, for the three months ended June 30, 2024, when compared to the same period in 2023. This decrease was primarily due to a $2.2 million decrease in payroll and payroll-related costs, primarily driven by restructuring activities that occurred in the three months ended June 30, 2023. The decrease was partially offset by an increase of $0.7 million in laboratory supplies expense.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$7.5 million, or 22.1%, for the six months ended June 30, 2024, when compared to the same period in 2023. This decrease was primarily due to a $4.1 million decrease in fabrication and outsourced services, a $4.0 million decrease in payroll and payroll-related costs and a $0.8 million decrease in stock-based compensation expense. The decrease in payroll and payroll-related costs were primarily driven by restructuring activities that occurred in 2023 and a decrease in personnel costs that were capitalized for the six months ended June 30, 2023. These decreases were partially offset by a $1.3 million increase in laboratory supplies expense and an $0.8 million increase in depreciation and amortization expense.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and six months ended June 30, 2024 and 2023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r>
      <w:tr>
        <w:trPr>
          <w:trHeight w:val="257"/>
        </w:trPr>
        <w:tc>
          <w:tcPr>
            <w:tcW w:w="29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12,424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22,314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$1.3 million, or 11.6%, for the three months ended June 30, 2024, when compared to the same period in 2023. This increase was primarily due to a $0.9 million increase in stock-based compensation expense, a $0.4 million increase in outsourced services, a $0.3 million increase in legal expense, a $0.3 million increase in tax expense and a $0.2 million increase in trade show and other marketing-related expenses. These increases were partially offset by a $0.9 million decrease in professional services and consulting fees and a $0.3 million decrease in insurance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$1.6 million, or 7.3%, for the six months ended June 30, 2024, when compared to the same period in 2023. The increase was primarily due to a $1.2 million increase in legal fees, a $0.8 million increase in payroll and payroll-related costs, a $0.7 million increase in trade show and other marketing-related expenses, a $0.5 million increase in outsourced services and a $0.4 million increase in tax expense. These increases were partially offset by a decrease of $1.0 million in professional services and consulting fees, a $0.9 million decrease in stock-based compensation expense, and a $0.7 million decrease in insurance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and 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dividend and interest income is derived primarily from fixed income securities and money market mutual funds. In 2023, dividend and interest income was derived from mutual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 for the three and six months ended June 30, 2024 and 2023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8"/>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r>
      <w:tr>
        <w:trPr>
          <w:trHeight w:val="257"/>
        </w:trPr>
        <w:tc>
          <w:tcPr>
            <w:tcW w:w="29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and interest income increased by $0.4 million and $1.8 million for the three and six months ended June 30, 2024, respectively, as compared to the same periods in 2023. This increase was a result of higher dividends and interest earned on invested balances in marketable securities.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Gain on Marketable Securities,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gain on marketable securities, net, for the three and six months ended June 30, 2024 and 2023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(Loss) gain on marketable securities,</w:t>
            </w:r>
          </w:p>
        </w:tc>
        <w:tc>
          <w:tcPr>
            <w:tcW w:w="64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   (1,181)</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7"/>
                <w:szCs w:val="17"/>
                <w:color w:val="auto"/>
              </w:rPr>
            </w:pPr>
          </w:p>
        </w:tc>
        <w:tc>
          <w:tcPr>
            <w:tcW w:w="14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640" w:type="dxa"/>
            <w:vAlign w:val="bottom"/>
            <w:vMerge w:val="continue"/>
            <w:shd w:val="clear" w:color="auto" w:fill="CCEEFF"/>
          </w:tcPr>
          <w:p>
            <w:pPr>
              <w:spacing w:after="0"/>
              <w:rPr>
                <w:sz w:val="20"/>
                <w:szCs w:val="20"/>
                <w:color w:val="auto"/>
              </w:rPr>
            </w:pPr>
          </w:p>
        </w:tc>
        <w:tc>
          <w:tcPr>
            <w:tcW w:w="1360" w:type="dxa"/>
            <w:vAlign w:val="bottom"/>
            <w:gridSpan w:val="4"/>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3"/>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(Loss) gain on marketable securities, net, for the three and six months ended June 30, 2024 as compared to a loss of $1.2 million and a gain</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$1.8 million for the same periods in 2023, respectively. The prior year losses and gains were primarily related to market adjustments of investments in marketable securities, which consisted of fixed income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Fair Value of Warrant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were recorded at fair value as part of the business combination between HighCape Capital Acquisition LLC and Quantum-Si Incorporated in June 2021 (the “Business Combination”). Change in fair value of warrant liabilities primarily consists of the change in the fair value of our Public Warrants and Private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warrant liabilities for the three and six months ended June 30, 2024 and 2023 is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8"/>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r>
      <w:tr>
        <w:trPr>
          <w:trHeight w:val="257"/>
        </w:trPr>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1"/>
        </w:trPr>
        <w:tc>
          <w:tcPr>
            <w:tcW w:w="296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48"/>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(253.9)%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882.7 %</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 liabilities decreased $0.5 million for the three months ended June 30, 2024 compared to an increase of $0.3 million for the same period of 2023. The change in fair value of warrant liabilities decreased $0.8 million for the six months ended June 30, 2024 compared to a decrease of $0.1 million for the same period of 2023. These fluctuations were primarily driven by the change in the underlying trading price of our Class A common stock during the periods reported.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for the three and six months ended June 30, 2024 and 2023 is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8"/>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1"/>
                <w:szCs w:val="21"/>
                <w:color w:val="auto"/>
              </w:rPr>
            </w:pPr>
          </w:p>
        </w:tc>
      </w:tr>
      <w:tr>
        <w:trPr>
          <w:trHeight w:val="256"/>
        </w:trPr>
        <w:tc>
          <w:tcPr>
            <w:tcW w:w="2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(103.7)%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bl>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(expense) income, net, decreased $0.3 million, or 104%, and $0.4 million, or 105%, for the three and six months ended June 30, 2024 as compared to the same periods in 2023. This decrease was primarily due to a $0.4 million decrease in the fair value of contingent consideration associated with the 2021 acquisition of Majelac Technologies LLC.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for operating, investing, and financing activities for the six months ended June 30, 2024 and 2023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0"/>
        </w:trPr>
        <w:tc>
          <w:tcPr>
            <w:tcW w:w="79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7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(51,623)</w:t>
            </w:r>
          </w:p>
        </w:tc>
      </w:tr>
      <w:tr>
        <w:trPr>
          <w:trHeight w:val="250"/>
        </w:trPr>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55,238</w:t>
            </w:r>
          </w:p>
        </w:tc>
      </w:tr>
      <w:tr>
        <w:trPr>
          <w:trHeight w:val="263"/>
        </w:trPr>
        <w:tc>
          <w:tcPr>
            <w:tcW w:w="7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79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operating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cash used in operating activities during the six months ended June 30, 2024 was $41.8 million compared to $51.6 million for the same period in 2023. This $9.8 million decrease in cash used was primarily driven by our operating results which resulted in a $4.4 million decrease in net cash used year-over-year as well as a decrease of $5.4 million in net cash used resulting from changes in operating assets and liabilities. Timing of cash receipts and cash payments in the ordinary course of business caused operating cash flow to fluctuate from period to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investing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$32.6 million compared to net cash provided by investing activities of $55.2 million for the same period in 2023. This change was primarily due to an increase in cash used for purchases of marketable securities of $208.8 million as well as a $118.9 million increase in proceeds from the sales and maturities of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financing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financing activities was $0.1 million. The net cash used primarily consisted of proceeds from the exercise of stock options offset by deferred offering costs paid for the Shelf Registration Statement and the ATM Offering, both of which are defined and described below. There were no financing activities during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Outlook</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proceeds from the issuance of equity to private investors, as well as with the proceeds received from the closing of the Business Combination on June 10, 2021. Additionally, we began to generate revenue during 2023 from commercial sales of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had cash and cash equivalents and investments in marketable securities totaling $218.1 million. Our future capital requirements may vary from those currently planned and will depend on various factors including the pace and success of product commercialization.</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ongoing commercialization of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well as our continuing research and development efforts to enhance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we filed a $150 million Shelf Registration Statement (the “Shelf Registration Statement”), which became effective on August 22,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2023, we also entered into an Equity Distribution Agreement (“EDA”) with an outside placement agent (the “Agent”), under which we may, from time to time, sell shares of our Class A common stock under the ATM Offering (as defined below). The Shelf Registration Statement includes a prospectus supplement covering the offering, issuance and sale of up to $75 million of our Class A common stock, from time to time, in at-the-market offerings through the Agent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forecast capital expenditures in order to execute on our business plan and maintain growth; however, the actual amount and timing of such capital expenditures will ultimately be determined by the volume of business. We anticipate our future capital expenditures will be at approximately the same level as compared to the year ended December 31, 2023. We have funded and plan to continue funding these capital expenditures with cash and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2032. As of June 30, 2024, future lease payments, before adjustments for tenant incentives, was approximately $28.9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related to certain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$0.1 million as well as royalties based on net sales if the royalties exceed annual minimum fixed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unaudited Condensed Consolidated Financial Statements, which have been prepared in accordance with accounting principles generally accepted in the United States of America.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 Please refer to our critical accounting policies as disclosed in our Annual Report on Form 10-K for the year ended December 31, 2023 and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rPr>
        <w:t>, in the accompanying notes to the unaudited Condensed Consolidated Financial Statements for a complete description of our significant accounting policies.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highlight w:val="white"/>
        </w:rPr>
        <w:t>, in the accompanying notes to the unaudited Condensed Consolidated Financial</w:t>
      </w:r>
      <w:r>
        <w:rPr>
          <w:rFonts w:ascii="Times New Roman" w:cs="Times New Roman" w:eastAsia="Times New Roman" w:hAnsi="Times New Roman"/>
          <w:sz w:val="18"/>
          <w:szCs w:val="18"/>
          <w:color w:val="auto"/>
        </w:rPr>
        <w:t xml:space="preserve"> Statements included elsewhere in this Quarterly Report on Form 10-Q for a description of recently issued accounting pronouncements that may potentially impact our financial position and results of operations.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short-term nature of our holdings, future interest rate changes are not expected to have a material impact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From time to time, the Company is engaged in legal proceedings in the ordinary course of business. For further information on the Company’s legal proceedings, please refer to </w:t>
      </w:r>
      <w:r>
        <w:rPr>
          <w:rFonts w:ascii="Times New Roman" w:cs="Times New Roman" w:eastAsia="Times New Roman" w:hAnsi="Times New Roman"/>
          <w:sz w:val="18"/>
          <w:szCs w:val="18"/>
          <w:u w:val="single" w:color="auto"/>
          <w:color w:val="0000FF"/>
        </w:rPr>
        <w:t>Note 15. Commitments and Contingencies</w:t>
      </w:r>
      <w:r>
        <w:rPr>
          <w:rFonts w:ascii="Times New Roman" w:cs="Times New Roman" w:eastAsia="Times New Roman" w:hAnsi="Times New Roman"/>
          <w:sz w:val="18"/>
          <w:szCs w:val="18"/>
          <w:color w:val="auto"/>
        </w:rPr>
        <w:t>, in the notes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financial condition and cash flows are subject to various risks and uncertainties including the risk factors described under the caption “Risk Factors” in our Annual Report on Form 10-K for the year ended December 31, 2023, filed with the SEC on February 29, 2024, and in our Quarterly Report on Form 10-Q for the quarter ended March 31, 2024, filed with the SEC on May 9, 2024. There have been no material changes from the risk factors previously disclosed.</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June 30, 2024, none of our officers or directors adopted, modified or terminated any such trading arrangements.</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ectPr>
          <w:pgSz w:w="11900" w:h="16838" w:orient="portrait"/>
          <w:cols w:equalWidth="0" w:num="1">
            <w:col w:w="11240"/>
          </w:cols>
          <w:pgMar w:left="320" w:top="290" w:right="339" w:bottom="1440" w:gutter="0" w:footer="0" w:header="0"/>
        </w:sectPr>
      </w:pPr>
    </w:p>
    <w:bookmarkStart w:id="34" w:name="page35"/>
    <w:bookmarkEnd w:id="34"/>
    <w:p>
      <w:pPr>
        <w:spacing w:after="0" w:line="200" w:lineRule="exact"/>
        <w:rPr>
          <w:sz w:val="20"/>
          <w:szCs w:val="20"/>
          <w:color w:val="auto"/>
        </w:rPr>
      </w:pPr>
    </w:p>
    <w:p>
      <w:pPr>
        <w:spacing w:after="0" w:line="209"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Reference Herein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4"/>
              </w:rPr>
              <w:t>from</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Filed Herewith</w:t>
            </w:r>
          </w:p>
        </w:tc>
        <w:tc>
          <w:tcPr>
            <w:tcW w:w="80" w:type="dxa"/>
            <w:vAlign w:val="bottom"/>
          </w:tcPr>
          <w:p>
            <w:pPr>
              <w:spacing w:after="0"/>
              <w:rPr>
                <w:sz w:val="23"/>
                <w:szCs w:val="2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 or Schedule</w:t>
            </w:r>
          </w:p>
        </w:tc>
        <w:tc>
          <w:tcPr>
            <w:tcW w:w="80" w:type="dxa"/>
            <w:vAlign w:val="bottom"/>
          </w:tcPr>
          <w:p>
            <w:pPr>
              <w:spacing w:after="0"/>
              <w:rPr>
                <w:sz w:val="23"/>
                <w:szCs w:val="23"/>
                <w:color w:val="auto"/>
              </w:rPr>
            </w:pP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8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 Number</w:t>
            </w:r>
          </w:p>
        </w:tc>
        <w:tc>
          <w:tcPr>
            <w:tcW w:w="0" w:type="dxa"/>
            <w:vAlign w:val="bottom"/>
          </w:tcPr>
          <w:p>
            <w:pPr>
              <w:spacing w:after="0"/>
              <w:rPr>
                <w:sz w:val="1"/>
                <w:szCs w:val="1"/>
                <w:color w:val="auto"/>
              </w:rPr>
            </w:pPr>
          </w:p>
        </w:tc>
      </w:tr>
      <w:tr>
        <w:trPr>
          <w:trHeight w:val="211"/>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Amended and Restated Certificate of</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Incorporation of Quantum-Si Incorporated, as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pursuant to Section 302 of the Sarbanes-Oxley</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pursuant to Section 302 of the Sarbanes-Oxley</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-2108200</wp:posOffset>
            </wp:positionV>
            <wp:extent cx="7132320"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-1542415</wp:posOffset>
            </wp:positionV>
            <wp:extent cx="7132320"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-976630</wp:posOffset>
            </wp:positionV>
            <wp:extent cx="7132320"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-410845</wp:posOffset>
            </wp:positionV>
            <wp:extent cx="7132320"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-2691130</wp:posOffset>
            </wp:positionV>
            <wp:extent cx="7132320" cy="445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560"/>
            <w:col w:w="10020"/>
          </w:cols>
          <w:pgMar w:left="320" w:top="167" w:right="3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Instance Document (the instance</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03"/>
        </w:trPr>
        <w:tc>
          <w:tcPr>
            <w:tcW w:w="980" w:type="dxa"/>
            <w:vAlign w:val="bottom"/>
            <w:shd w:val="clear" w:color="auto" w:fill="CCEEFF"/>
          </w:tcPr>
          <w:p>
            <w:pPr>
              <w:spacing w:after="0"/>
              <w:rPr>
                <w:sz w:val="17"/>
                <w:szCs w:val="17"/>
                <w:color w:val="auto"/>
              </w:rPr>
            </w:pPr>
          </w:p>
        </w:tc>
        <w:tc>
          <w:tcPr>
            <w:tcW w:w="42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604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6040" w:type="dxa"/>
            <w:vAlign w:val="bottom"/>
            <w:shd w:val="clear" w:color="auto" w:fill="CCEEFF"/>
          </w:tcPr>
          <w:p>
            <w:pPr>
              <w:spacing w:after="0"/>
              <w:rPr>
                <w:sz w:val="18"/>
                <w:szCs w:val="18"/>
                <w:color w:val="auto"/>
              </w:rPr>
            </w:pP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Inline XBRL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040" w:type="dxa"/>
            <w:vAlign w:val="bottom"/>
            <w:shd w:val="clear" w:color="auto" w:fill="CCEEFF"/>
          </w:tcPr>
          <w:p>
            <w:pPr>
              <w:spacing w:after="0"/>
              <w:rPr>
                <w:sz w:val="21"/>
                <w:szCs w:val="21"/>
                <w:color w:val="auto"/>
              </w:rPr>
            </w:pPr>
          </w:p>
        </w:tc>
      </w:tr>
    </w:tbl>
    <w:p>
      <w:pPr>
        <w:spacing w:after="0" w:line="292" w:lineRule="exact"/>
        <w:rPr>
          <w:sz w:val="20"/>
          <w:szCs w:val="20"/>
          <w:color w:val="auto"/>
        </w:rPr>
      </w:pPr>
    </w:p>
    <w:p>
      <w:pPr>
        <w:jc w:val="both"/>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62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QUANTUM-SI INCORPORATED</w:t>
            </w:r>
          </w:p>
        </w:tc>
      </w:tr>
      <w:tr>
        <w:trPr>
          <w:trHeight w:val="68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tc>
      </w:tr>
      <w:tr>
        <w:trPr>
          <w:trHeight w:val="243"/>
        </w:trPr>
        <w:tc>
          <w:tcPr>
            <w:tcW w:w="3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Hawkins</w:t>
            </w:r>
          </w:p>
        </w:tc>
      </w:tr>
      <w:tr>
        <w:trPr>
          <w:trHeight w:val="257"/>
        </w:trPr>
        <w:tc>
          <w:tcPr>
            <w:tcW w:w="35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7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tc>
      </w:tr>
      <w:tr>
        <w:trPr>
          <w:trHeight w:val="243"/>
        </w:trPr>
        <w:tc>
          <w:tcPr>
            <w:tcW w:w="3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Keyes</w:t>
            </w:r>
          </w:p>
        </w:tc>
      </w:tr>
      <w:tr>
        <w:trPr>
          <w:trHeight w:val="257"/>
        </w:trPr>
        <w:tc>
          <w:tcPr>
            <w:tcW w:w="35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04"/>
        </w:trPr>
        <w:tc>
          <w:tcPr>
            <w:tcW w:w="352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3760" w:type="dxa"/>
            <w:vAlign w:val="bottom"/>
          </w:tcPr>
          <w:p>
            <w:pPr>
              <w:spacing w:after="0"/>
              <w:rPr>
                <w:sz w:val="24"/>
                <w:szCs w:val="24"/>
                <w:color w:val="auto"/>
              </w:rPr>
            </w:pPr>
          </w:p>
        </w:tc>
      </w:tr>
    </w:tbl>
    <w:p>
      <w:pPr>
        <w:sectPr>
          <w:pgSz w:w="11900" w:h="16838" w:orient="portrait"/>
          <w:cols w:equalWidth="0" w:num="1">
            <w:col w:w="11240"/>
          </w:cols>
          <w:pgMar w:left="320" w:top="290" w:right="339" w:bottom="1440" w:gutter="0" w:footer="0" w:header="0"/>
        </w:sectPr>
      </w:pPr>
    </w:p>
    <w:bookmarkStart w:id="36" w:name="page37"/>
    <w:bookmarkEnd w:id="36"/>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HighCape Capital Acquisition Corp.,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162" w:lineRule="exact"/>
        <w:rPr>
          <w:sz w:val="20"/>
          <w:szCs w:val="20"/>
          <w:color w:val="auto"/>
        </w:rPr>
      </w:pPr>
    </w:p>
    <w:p>
      <w:pPr>
        <w:ind w:right="20" w:firstLine="656"/>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HighCape Capital Acquisition Corp. The date of the filing of its original certificate of incorporation with the Secretary of State of the State of Delaware was June 10, 2020.</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which restates, integrates and further amends the certificate of incorporation of this corporation as heretofore amended and restated, has been duly adopted by the corporation in accordance with Sections 242 and 245 of the DGCL and shall be effective at 10:00 a.m. Eastern time on June 10, 2021.</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this corporation is hereby amended and restated in its entirety to read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“Quantum-Si Incorporated”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AND AGENT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 Corporation Service Company, 251 Little Falls Drive, Wilmington New Castle County, Delaware 19808.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or any applicable successor act thereto, as the same may be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authority to issue is 628,000,000 shares, consisting of 600,000,000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27,000,000 shares of Class B Common Stock, par value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number of authorized shares of Class A Common Stock, Class B Common Stock or Preferred Stock may be increased or decreased (but not below (i) the number of shares thereof then outstanding and (ii) with respect to the Class A Common Stock, the number of shares of Class A Common Stock reserved pursuant to Section 8 of Part A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preferences, privileges and rights, and the qualifications, limitations or restrictions thereof in respect of each class of capital stock of the Corporation.</w:t>
      </w:r>
    </w:p>
    <w:p>
      <w:pPr>
        <w:spacing w:after="0" w:line="202" w:lineRule="exact"/>
        <w:rPr>
          <w:sz w:val="20"/>
          <w:szCs w:val="20"/>
          <w:color w:val="auto"/>
        </w:rPr>
      </w:pPr>
    </w:p>
    <w:p>
      <w:pPr>
        <w:ind w:left="380" w:hanging="354"/>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A COMMON STOCK AND CLASS B COMMON STOCK.</w:t>
      </w:r>
    </w:p>
    <w:p>
      <w:pPr>
        <w:spacing w:after="0" w:line="32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Unless otherwise indicated, references to “Sections” or “Subsections” in this Part A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refer to sections and subsections of Part A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56"/>
        <w:spacing w:after="0" w:line="254" w:lineRule="auto"/>
        <w:tabs>
          <w:tab w:leader="none" w:pos="8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Status; General</w:t>
      </w:r>
      <w:r>
        <w:rPr>
          <w:rFonts w:ascii="Times New Roman" w:cs="Times New Roman" w:eastAsia="Times New Roman" w:hAnsi="Times New Roman"/>
          <w:sz w:val="18"/>
          <w:szCs w:val="18"/>
          <w:color w:val="auto"/>
        </w:rPr>
        <w:t>. Except as otherwise provided in this Second Amended and Restated Certificate of Incorporation (as amended and/or restated from time to time, including pursuant to any Preferred Stock Designation (as defined below), this “Amended and Restated Certificate of Incorporation”) or required by applicable law, shares of Class A Common Stock and Class B Common Stock shall have the same rights, privileges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powers and preferences of the holders of Class A Common Stock and Class B Common Stock are subject to and qualified by the rights, powers and preferences of the holders of the Preferred Stock of any series as may be designated by the Board of Directors of the Corporation (the “Board”) upon any issuance of the Preferred Stock of any series.</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and each holder of Class B Common Stock, as such, shall have the right to twenty (20) votes per share of Class B Common Stock held of record by such holder. Except as otherwise required by applicable law or provided in this Amended and Restated Certificate of Incorporation,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“Bylaws”), and (c) be entitled to vote upon such matters and in such manner as may be provided by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applicable law, holders of Class A Common Stock and Class B Common Stock, as such, shall not be entitled to vote on any amendment to this Amended and Restated Certificate of Incorporation (including any Preferred Stock Designation) that relates solely to the terms of one or more outstanding series of Preferred Stock if the holders of such affected series of Preferred Stock are exclusively entitled, either separately or together with the holders of one or more other such series of Preferred Stock, to vote thereon pursuant to this Amended and Restated Certificate of Incorporation or applicable law. There shall be no cumulative voting.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13" w:right="339" w:bottom="1440" w:gutter="0" w:footer="0" w:header="0"/>
        </w:sectPr>
      </w:pPr>
    </w:p>
    <w:bookmarkStart w:id="38" w:name="page39"/>
    <w:bookmarkEnd w:id="38"/>
    <w:p>
      <w:pPr>
        <w:spacing w:after="0" w:line="221" w:lineRule="exact"/>
        <w:rPr>
          <w:sz w:val="20"/>
          <w:szCs w:val="20"/>
          <w:color w:val="auto"/>
        </w:rPr>
      </w:pPr>
    </w:p>
    <w:p>
      <w:pPr>
        <w:jc w:val="both"/>
        <w:ind w:firstLine="656"/>
        <w:spacing w:after="0" w:line="253" w:lineRule="auto"/>
        <w:tabs>
          <w:tab w:leader="none" w:pos="8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and Distribution Rights</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dividend is paid in the form of shares of Class A Common Stock or Class B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and holders of Class B Common Stock shall be entitled to receive shares of Class B Common Stock (or rights to acquire, or securities convertible into or exchangeable for, such shares, as the case may be), with holders of shares of Class A Common Stock and Class B Common Stock receiving, on a per share basis, an identical number of shares of Class A Common Stock or Class B Common Stock (or rights to acquire, or securities convertible into or exchangeable for, such shares, as the case may be),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by the affirmative vote of the holders of a majority of the outstanding shares of Class A Common Stock and Class B Common Stock, each voting separately as a class.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Combinations or Reclassifications</w:t>
      </w:r>
      <w:r>
        <w:rPr>
          <w:rFonts w:ascii="Times New Roman" w:cs="Times New Roman" w:eastAsia="Times New Roman" w:hAnsi="Times New Roman"/>
          <w:sz w:val="18"/>
          <w:szCs w:val="18"/>
          <w:color w:val="auto"/>
        </w:rPr>
        <w:t xml:space="preserve">. Shares of Class A Common Stock or Class B Common Stock may not be subdivided, combined or reclassified unless the shares of the other class is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and Class B Common Stock, each voting separately as a class.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Subject to the preferential or other rights of any holders of Preferred Stock then outstanding, upon the dissolution, distribution of assets, liquidation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and Class B Common Stock, each voting separately as a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21"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Merger or Consolidation</w:t>
      </w:r>
      <w:r>
        <w:rPr>
          <w:rFonts w:ascii="Times New Roman" w:cs="Times New Roman" w:eastAsia="Times New Roman" w:hAnsi="Times New Roman"/>
          <w:sz w:val="18"/>
          <w:szCs w:val="18"/>
          <w:color w:val="auto"/>
        </w:rPr>
        <w:t xml:space="preserve">. In the case of any distribution or payment in respect of the shares of Class A Common Stock or Class B Common Stock, or any consideration into which such shares are converted, upon the consolidation or merger of the Corporation with or into any other entity, such distribution, payment or consideration that the holders of shares of Class A Common Stock or Class B Common Stock have the right to receive, or the right to elect to receive, shall be made ratably on a per share basis among the holders of the Class A Common Stock and Class B Common Stock as a single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such classes may receive, or have the right to elect to receive, different or disproportionate distribution, payment or consideration in connection with such consolidation, merger or other transaction in order to reflect the special rights, powers and privileges of holders of shares of Class B Common Stock under this Amended and Restated Certificate of Incorporation (which may include, without limitation, securities distributable to the holders of, or issuable upon the conversion of, each share of Class B Common Stock outstanding immediately prior to such transaction having not more than twenty (20) times the voting power of any securities distributable to the holders of, or issuable upon the conversion of, each share of Class A Common Stock outstanding immediately prior to such transaction or any other share of stock then outstanding) or such other rights, powers, privileges or other terms that are no more favorable, in the aggregate, to the holders of the Class B Common Stock relative to the holders of the Class A Common Stock than those contained in this Amended and Restated Certificate of Incorporation.</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Third-Party Tender or Exchange Offers</w:t>
      </w:r>
      <w:r>
        <w:rPr>
          <w:rFonts w:ascii="Times New Roman" w:cs="Times New Roman" w:eastAsia="Times New Roman" w:hAnsi="Times New Roman"/>
          <w:sz w:val="18"/>
          <w:szCs w:val="18"/>
          <w:color w:val="auto"/>
        </w:rPr>
        <w:t xml:space="preserve">. The Corporation may not enter into any agreement pursuant to which a third party may by tender or exchange offer acquire any shares of Class A Common Stock or Class B Common Stock unless the holders of (a) the Class A Common Stock shall have the right to receive, or the right to elect to receive, the same form of consideration and the same amount of consideration on a per share basis as the holders of the Class B Common Stock would receive, or have the right to elect to receive, and (b) the Class B Common Stock shall have the right to receive, or the right to elect to receive, the same form of consideration and the same amount of consideration on a per share basis as the holders of the Class A Common Stock would receive, or have the right to elect to receive;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such classes may receive, or have the right to elect to receive, different or disproportionate consideration in connection with such tender or exchange offer in order to reflect the special rights, powers and privileges of the holders of shares of the Class B Common Stock under this Amended and Restated Certificate of Incorporation (which may include, without limitation, securities exchangeable for each share of Class B Common Stock having twenty (20) times the voting power of any securities exchangeable for each share of Class A Common Stock or any other share of stock then outstanding) or such other rights, powers, privileges or other terms that are no more favorable, in the aggregate, to the holders of the Class B Common Stock relative to the holders of the Class A Common Stock than those contained in this Amended and Restated Certificate of Incorporation.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21" w:lineRule="exact"/>
        <w:rPr>
          <w:sz w:val="20"/>
          <w:szCs w:val="20"/>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Optional Conversion of Class B Common Stock</w:t>
      </w:r>
      <w:r>
        <w:rPr>
          <w:rFonts w:ascii="Times New Roman" w:cs="Times New Roman" w:eastAsia="Times New Roman" w:hAnsi="Times New Roman"/>
          <w:sz w:val="18"/>
          <w:szCs w:val="18"/>
          <w:color w:val="auto"/>
        </w:rPr>
        <w:t>. Each share of Class B Common Stock shall be convertible into one (1) fully paid and nonassessable share of Class A Common Stock at the option of the holder thereof at any time upon written notice to the Corporation (an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B Conversion Event</w:t>
      </w:r>
      <w:r>
        <w:rPr>
          <w:rFonts w:ascii="Times New Roman" w:cs="Times New Roman" w:eastAsia="Times New Roman" w:hAnsi="Times New Roman"/>
          <w:sz w:val="18"/>
          <w:szCs w:val="18"/>
          <w:color w:val="auto"/>
        </w:rPr>
        <w:t>”). Before any holder of Class B Common Stock shall be entitled to convert any shares of Class B Common Stock into shares of Class A Common Stock,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Subsection 7.1,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 Notwithstanding anything herein to the contrary, shares of Class B Common Stock represented by a lost, stolen or destroyed stock certificate may be converted pursuant to an Optional Class B Conversion Event if the holder thereof notifies the Corporation or its transfer agent that such certificate has been lost, stolen or destroyed and makes an affidavit of that fact acceptable to the Corporation and executes an agreement acceptable to the Corporation to indemnify the Corporation from any loss incurred by it in connection with such certificate.</w:t>
      </w:r>
    </w:p>
    <w:p>
      <w:pPr>
        <w:spacing w:after="0" w:line="20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Automatic Conversion of Class B Common Stock</w:t>
      </w:r>
      <w:r>
        <w:rPr>
          <w:rFonts w:ascii="Times New Roman" w:cs="Times New Roman" w:eastAsia="Times New Roman" w:hAnsi="Times New Roman"/>
          <w:sz w:val="18"/>
          <w:szCs w:val="18"/>
          <w:color w:val="auto"/>
        </w:rPr>
        <w:t>. To the extent set forth below, each applicable share of Class B Common Stock shall automatically convert into one (1) fully paid and nonassessable share of Class A Common Stock upon the occurrence of an event described below (a “</w:t>
      </w:r>
      <w:r>
        <w:rPr>
          <w:rFonts w:ascii="Times New Roman" w:cs="Times New Roman" w:eastAsia="Times New Roman" w:hAnsi="Times New Roman"/>
          <w:sz w:val="18"/>
          <w:szCs w:val="18"/>
          <w:u w:val="single" w:color="auto"/>
          <w:color w:val="auto"/>
        </w:rPr>
        <w:t>Mandatory Class B Conversion Event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300" w:firstLine="652"/>
        <w:spacing w:after="0" w:line="261" w:lineRule="auto"/>
        <w:tabs>
          <w:tab w:leader="none" w:pos="2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Each share of Class B Common Stock that is subject to a Transfer (as defined in Section 11), other than a Permitted Transfer (as defined in Section 11), shall automatically, without further action by the Corporation or the holder thereof, convert into one (1) fully paid and nonassessable share of Class A Common Stock upon the occurrence of such Transfer (other than a Permitted Transfer).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21" w:lineRule="exact"/>
        <w:rPr>
          <w:sz w:val="20"/>
          <w:szCs w:val="20"/>
          <w:color w:val="auto"/>
        </w:rPr>
      </w:pPr>
    </w:p>
    <w:p>
      <w:pPr>
        <w:jc w:val="both"/>
        <w:ind w:left="1300" w:firstLine="652"/>
        <w:spacing w:after="0" w:line="256" w:lineRule="auto"/>
        <w:tabs>
          <w:tab w:leader="none" w:pos="22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in Voting Power</w:t>
      </w:r>
      <w:r>
        <w:rPr>
          <w:rFonts w:ascii="Times New Roman" w:cs="Times New Roman" w:eastAsia="Times New Roman" w:hAnsi="Times New Roman"/>
          <w:sz w:val="18"/>
          <w:szCs w:val="18"/>
          <w:color w:val="auto"/>
        </w:rPr>
        <w:t>. Each outstanding share of Class B Common Stock shall automatically, without further action by the Corporation or the holder thereof, convert into one (1) fully paid and nonassessable share of Class A Common Stock upon the first date on which the Founder, together with all other Qualified Stockholders, collectively cease to beneficially own at least 20% of the number of shares of Class B Common Stock (as such number of shares is equitably adjusted in respect of any reclassification, stock dividend, subdivision, combination or recapitalization of the Class B Common Stock) collectively held by the Founder and his Permitted Transferees as of the Effective Date.</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Vote</w:t>
      </w:r>
      <w:r>
        <w:rPr>
          <w:rFonts w:ascii="Times New Roman" w:cs="Times New Roman" w:eastAsia="Times New Roman" w:hAnsi="Times New Roman"/>
          <w:sz w:val="18"/>
          <w:szCs w:val="18"/>
          <w:color w:val="auto"/>
        </w:rPr>
        <w:t>. Each outstanding share of Class B Common Stock shall automatically, without further action by the Corporation or the holder thereof, convert into one (1) fully paid and nonassessable share of Class A Common Stock upon the date specified by the affirmative vote of the holders of at least two-thirds (2/3) of the then outstanding shares of Class B Common Stock, voting as a separate class.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Each outstanding stock certificate (if shares are in certificated form) that, immediately prior to the occurrence of a Mandatory Class B Conversion Event, represented one or more shares of Class B Common Stock subject to such Mandatory Class B Conversion Event shall, upon such Mandatory Class B Conversion Event, be deemed to represent an equal number of shares of Class A Common Stock, without the need for surrender or exchange thereof. The Corporation shall, upon the request of any holder whose shares of Class B Common Stock have been converted into shares of Class A Common Stock as a result of an Optional Class B Conversion Event or a Mandatory Class B Conversion Event (either of the foregoing, a “</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and upon surrender by such holder to the Corporation of the outstanding certificate(s) formerly representing such holder’s shares of Class B Common Stock, if any (or, in the case of any lost, stolen or destroyed certificate, upon such holder providing an affidavit of that fact acceptable to the Corporation and executing an agreement acceptable to the Corporation to indemnify the Corporation from any loss incurred by it in connection with such certificate), issue and deliver to such holder (or such other Person specified pursuant to Subsection 7.1) certificate(s) representing the shares of Class A Common Stock into which such holder’s shares of Class B Common Stock were converted as a result of such Conversion Event (if such shares are certificated) or, if such shares are uncertificated, register such shares in book-entry form. Each share of Class B Common Stock that is converted pursuant to Subsection 7.1 or 7.2 shall thereupon automatically be retired and shall not be available for reissuance.</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The Corporation may, from time to time, establish such administrative policies and procedures, not in violation of applicable law or the other provisions of this Amended and Restated Certificate of Incorporation or Bylaws of the Corporation, relating to the conversion of the Class B Common Stock into Class A Common Stock, as it may deem necessary or advisable in connection therewith (it being understood, for the avoidance of doubt, that this sentence shall not authorize or empower the Corporation to expand upon the events that constitute a Mandatory Class B Conversion Event).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64" w:lineRule="exact"/>
        <w:rPr>
          <w:sz w:val="20"/>
          <w:szCs w:val="20"/>
          <w:color w:val="auto"/>
        </w:rPr>
      </w:pPr>
    </w:p>
    <w:p>
      <w:pPr>
        <w:jc w:val="both"/>
        <w:ind w:left="-656" w:firstLine="656"/>
        <w:spacing w:after="0" w:line="261" w:lineRule="auto"/>
        <w:tabs>
          <w:tab w:leader="none" w:pos="1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1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 Unless such action is first approved by the affirmative vote (or written consent) of the holders of two-thirds (2/3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of the then-outstanding shares of Class B Common Stock, voting as a separate class, in addition to any other vote required by applicable law, this Amended and Restated Certificate of Incorporation or the Bylaws, prior to the Final Conversion Date, the Corporation shall not, whether by merger, consolidation, certificate of designation or otherwise (i) amend, alter, repeal or waive any provision of Part A of this Article IV (or adopt any provision inconsistent therewith), or (ii) except for the shares of Class B Common Stock issued pursuant to the Merger and as provided in Section 10 below, authorize, or issue any shares of, any class or series of capital stock of the Corporation entitling the holder thereof to more than (1) vote for each share thereof or entitling any class or series of securities to designate or elect directors as a class or series separate from the Class A Common Stock and Class B Common Stock.</w:t>
      </w:r>
    </w:p>
    <w:p>
      <w:pPr>
        <w:spacing w:after="0" w:line="188" w:lineRule="exact"/>
        <w:rPr>
          <w:rFonts w:ascii="Times New Roman" w:cs="Times New Roman" w:eastAsia="Times New Roman" w:hAnsi="Times New Roman"/>
          <w:sz w:val="18"/>
          <w:szCs w:val="18"/>
          <w:color w:val="auto"/>
        </w:rPr>
      </w:pPr>
    </w:p>
    <w:p>
      <w:pPr>
        <w:ind w:left="-656" w:firstLine="656"/>
        <w:spacing w:after="0" w:line="282"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Additional Shares</w:t>
      </w:r>
      <w:r>
        <w:rPr>
          <w:rFonts w:ascii="Times New Roman" w:cs="Times New Roman" w:eastAsia="Times New Roman" w:hAnsi="Times New Roman"/>
          <w:sz w:val="18"/>
          <w:szCs w:val="18"/>
          <w:color w:val="auto"/>
        </w:rPr>
        <w:t>. From and after the Effective Date, additional shares of Class B Common Stock may be issued only to a Qualified Stockholder.</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Amended and Restated Certificate of Incorporation:</w:t>
      </w:r>
    </w:p>
    <w:p>
      <w:pPr>
        <w:spacing w:after="0" w:line="225"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xml:space="preserve">” means (i) the sale, lease,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sale, lease, exchange or other disposition of property or assets exclusively between or among the Corporation and any direct or indirect subsidiary or subsidiaries of the Corporation shall not be deemed a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and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continuing to own voting securities of the Corporation, the surviving entity or its parent immediately following the merger, consolidation, business combination, or other similar transaction in substantially the same proportions (vis a vis each other) as such stockholders owned of the voting securities of the Corporation immediately prior to the transaction; and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and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continuing to own voting securities of the Corporation, the surviving entity or its parent immediately following the recapitalization, liquidation,</w:t>
      </w:r>
    </w:p>
    <w:p>
      <w:pPr>
        <w:sectPr>
          <w:pgSz w:w="11900" w:h="16838" w:orient="portrait"/>
          <w:cols w:equalWidth="0" w:num="1">
            <w:col w:w="10584"/>
          </w:cols>
          <w:pgMar w:left="976" w:top="1440"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dissolution or other similar transaction in substantially the same proportions (vis a vis each other) as such stockholders owned of the voting securities of the Corporation immediately prior to the transaction.</w:t>
      </w:r>
    </w:p>
    <w:p>
      <w:pPr>
        <w:spacing w:after="0" w:line="1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580"/>
          </w:cols>
          <w:pgMar w:left="980" w:top="1417" w:right="339" w:bottom="1440" w:gutter="0" w:footer="0" w:header="0"/>
        </w:sectPr>
      </w:pPr>
    </w:p>
    <w:bookmarkStart w:id="44" w:name="page45"/>
    <w:bookmarkEnd w:id="44"/>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this Amended and Restated Certificate of Incorporation is first effective.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natural person who is a Qualified Stockholder (a) the spouse of such Qualified Stockholder, (b) the parents, grandparents, lineal descendants, siblings or lineal descendants of siblings of such Qualified Stockholder or (c) the parents, grandparents, lineal descendants, siblings or lineal descendants of siblings of the spouse of such Qualified Stockholder. Lineal descendants shall include adopted persons, but only so long as they are adopted during minority.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Fiduciary</w:t>
      </w:r>
      <w:r>
        <w:rPr>
          <w:rFonts w:ascii="Times New Roman" w:cs="Times New Roman" w:eastAsia="Times New Roman" w:hAnsi="Times New Roman"/>
          <w:sz w:val="18"/>
          <w:szCs w:val="18"/>
          <w:color w:val="auto"/>
        </w:rPr>
        <w:t>” means a Person who (a) is an executor, personal representative, administrator, trustee, manager, managing member, general partner, director, officer or any other agent of a Person and (b) manages, controls or otherwise has decision-making authority with respect to such Person, but, in each case, only to the extent that such Person may be removed, directly or indirectly, by one or more Qualified Stockholders and replaced with another Fiduciary selected, directly or indirectly, by one or more Qualified Stockholders.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Conversion Date</w:t>
      </w:r>
      <w:r>
        <w:rPr>
          <w:rFonts w:ascii="Times New Roman" w:cs="Times New Roman" w:eastAsia="Times New Roman" w:hAnsi="Times New Roman"/>
          <w:sz w:val="18"/>
          <w:szCs w:val="18"/>
          <w:color w:val="auto"/>
        </w:rPr>
        <w:t>” means the date on which no shares of Class B Common Stock shall remain outstanding.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means Dr. Jonathan M. Rothberg.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Change of Control Transaction.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means the merger of Tenet Merger Sub, Inc. with and into Quantum-Si Incorporated pursuant to that certain Business Combination Agreement, dated as of February 18, 2021, by and among the Corporation, Tenet Merger Sub, Inc., a Delaware corporation, and Quantum-Si Incorporated.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4"/>
        <w:spacing w:after="0" w:line="312" w:lineRule="auto"/>
        <w:tabs>
          <w:tab w:leader="none" w:pos="155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Permitted Trust for so long as such Permitted Trust is solely for the current benefit of a Qualified Beneficiary (and, for the avoidance of doubt, notwithstanding that a remainder interest in such Permitted Trust is for the benefit of any Person other than a Qualified Beneficiary);</w:t>
      </w:r>
    </w:p>
    <w:p>
      <w:pPr>
        <w:spacing w:after="0" w:line="139" w:lineRule="exact"/>
        <w:rPr>
          <w:rFonts w:ascii="Times New Roman" w:cs="Times New Roman" w:eastAsia="Times New Roman" w:hAnsi="Times New Roman"/>
          <w:sz w:val="17"/>
          <w:szCs w:val="17"/>
          <w:color w:val="auto"/>
        </w:rPr>
      </w:pPr>
    </w:p>
    <w:p>
      <w:pPr>
        <w:jc w:val="both"/>
        <w:ind w:left="660" w:firstLine="644"/>
        <w:spacing w:after="0" w:line="266" w:lineRule="auto"/>
        <w:tabs>
          <w:tab w:leader="none" w:pos="15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partnership, limited partnership, limited liability company, corporation, public benefit corporation or other entity, in each case, for so long as such entity is exclusively owned, by (1) one or more Qualified Stockholders, (2) one or more Family Members of such Qualified Stockholders and/or (3) any other Permitted Entity of such Qualified Stockholders;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foundation or similar entity or any Qualified Charity for so long as (i) one or more Qualified Stockholders continues to, directly or indirectly, exercise Voting Control over any shares of Class B Common Stock from time to time Transferred to such foundation or similar entity or Qualified Charity, and/or (ii) a Fiduciary of such foundation or similar entity or Qualified Charity exercises Voting Control over such shares of Class B Common Stock;</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for so long as such Qualified Stockholder has sole dispositive power and exclusive Voting Control with respect to the shares of Class B Common Stock held in such account, plan or trust;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executor or personal representative of the estate of a Qualified Stockholder upon the death of such Qualified Stockholder solely to the extent the executor or personal representative is acting in the capacity of executor or personal representative of such estate;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revocable living trust, which revocable living trust is itself both a Permitted Trust and a Qualified Stockholder, during the lifetime of the natural person grantor of such trust;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revocable living trust (including any irrevocable administrative trust resulting from the death of the natural person grantor of such trust) which trust is itself both a Permitted Trust and a Qualified Stockholder, following the death of the natural person grantor of such trust, solely to the extent that such shares are held in such trust pending distribution to the beneficiaries designated in such trust.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explicitly provided for herein, a Permitted Entity of a Qualified Stockholder shall not cease to be a Permitted Entity solely by reason of the death of that Qualified Stockholder.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225" w:lineRule="exact"/>
        <w:rPr>
          <w:sz w:val="20"/>
          <w:szCs w:val="20"/>
          <w:color w:val="auto"/>
        </w:rPr>
      </w:pPr>
    </w:p>
    <w:p>
      <w:pPr>
        <w:ind w:left="660" w:right="20" w:firstLine="644"/>
        <w:spacing w:after="0" w:line="282" w:lineRule="auto"/>
        <w:tabs>
          <w:tab w:leader="none" w:pos="15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Qualified Stockholder that is not a Permitted Entity to (i) one or more Family Members of such Qualified Stockholder, (ii) any Permitted Entity of such Qualified Stockholder, or (iii) any Permitted Entity of one or more Family Members of such Qualified Stockholder;</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Permitted Entity of a Qualified Stockholder to (i) such Qualified Stockholder or one or more Family Members of such Qualified Stockholder, (ii) any other Permitted Entity of such Qualified Stockholder, or (iii) any Permitted Entity of one or more Family Members of such Qualified Stockholder;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approved in advance by the Board, or a duly authorized committee of the Board, upon a determination that such Transfer is not inconsistent with the purposes of the foregoing provisions of this definition of “Permitted Transfer.”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avoidance of doubt, the direct Transfer of any share or shares of Class B Common Stock by a holder thereof to any other Person shall qualify as a “Permitted Transfer” within the meaning of this Section, if such Transfer could have been completed indirectly through one or more transactions involving more than one Transfer, so long as each Transfer in such transaction or transactions would otherwise have qualified as a “Permitted Transfer” within the meaning of this Section. For the further avoidance of doubt, a Transfer may qualify as a “Permitted Transfer” within the meaning of this Section under any one or more than one of the clauses of this Section as may be applicable to such Transfer, without regard to any proviso in, or requirement of, any other clause(s) of this Section.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as of any date of determination, a Person that is entitled to be a transferee of shares of Class B Common Stock in a Transfer that, as of such date, would constitute a Permitted Transfer.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Trust</w:t>
      </w:r>
      <w:r>
        <w:rPr>
          <w:rFonts w:ascii="Times New Roman" w:cs="Times New Roman" w:eastAsia="Times New Roman" w:hAnsi="Times New Roman"/>
          <w:sz w:val="18"/>
          <w:szCs w:val="18"/>
          <w:color w:val="auto"/>
        </w:rPr>
        <w:t>” means a bona fide trust where each trustee is (a) a Qualified Stockholder; (b) a Family Member of a Qualified Stockholder; or</w:t>
      </w:r>
    </w:p>
    <w:p>
      <w:pPr>
        <w:spacing w:after="0" w:line="27" w:lineRule="exact"/>
        <w:rPr>
          <w:sz w:val="20"/>
          <w:szCs w:val="20"/>
          <w:color w:val="auto"/>
        </w:rPr>
      </w:pPr>
    </w:p>
    <w:p>
      <w:pPr>
        <w:ind w:right="20" w:firstLine="8"/>
        <w:spacing w:after="0" w:line="260"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 the business of providing trustee services, including private professional fiduciaries, trust companies, accounting, legal or financial advisor, or bank trust departments.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limited or general partnership, joint venture, association, joint-stock company, trust, unincorporated organization or other entity, whether domestic or foreign.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Beneficiary</w:t>
      </w:r>
      <w:r>
        <w:rPr>
          <w:rFonts w:ascii="Times New Roman" w:cs="Times New Roman" w:eastAsia="Times New Roman" w:hAnsi="Times New Roman"/>
          <w:sz w:val="18"/>
          <w:szCs w:val="18"/>
          <w:color w:val="auto"/>
        </w:rPr>
        <w:t>” means (i) one or more Qualified Stockholders, (ii) one or more Family Members of a Qualified Stockholder and/or (iii) any other Permitted Entities of one or more Qualified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Charity</w:t>
      </w:r>
      <w:r>
        <w:rPr>
          <w:rFonts w:ascii="Times New Roman" w:cs="Times New Roman" w:eastAsia="Times New Roman" w:hAnsi="Times New Roman"/>
          <w:sz w:val="18"/>
          <w:szCs w:val="18"/>
          <w:color w:val="auto"/>
        </w:rPr>
        <w:t>” means a domestic U.S. charitable organization, contributions to which are deductible for federal income, estate, gift and generation skipping transfer tax purposes.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Stockholder</w:t>
      </w:r>
      <w:r>
        <w:rPr>
          <w:rFonts w:ascii="Times New Roman" w:cs="Times New Roman" w:eastAsia="Times New Roman" w:hAnsi="Times New Roman"/>
          <w:sz w:val="18"/>
          <w:szCs w:val="18"/>
          <w:color w:val="auto"/>
        </w:rPr>
        <w:t>” means (i) the Founder, (ii) any Person that receives Class B Common Stock in the Merger, and (iii) any Person that is a Permitted Transferee.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Consent</w:t>
      </w:r>
      <w:r>
        <w:rPr>
          <w:rFonts w:ascii="Times New Roman" w:cs="Times New Roman" w:eastAsia="Times New Roman" w:hAnsi="Times New Roman"/>
          <w:sz w:val="18"/>
          <w:szCs w:val="18"/>
          <w:color w:val="auto"/>
        </w:rPr>
        <w:t>” means (i) prior to the Voting Threshold Date, the action at a meeting or by written consent (to the extent permitted under this Amended and Restated Certificate of Incorporation) of the holders of a majority in voting power of the shares of capital stock of the Corporation that would then be entitled to vote in the election of directors at an annual meeting of stockholders, and (ii) on and after the Voting Threshold Date, the action at a meeting or by written consent (to the extent permitted under this Amended and Restated Certificate of Incorporation) of the holders of two-thirds (2/3rds) of the voting power of the shares of capital stock of the Corporation that would then be entitled to vote in the election of directors at an annual meeting of stockholders.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the transfer of a share of Class B Common Stock to a broker or other nominee or the transfer of, or entering into a binding agreement with respect to, Voting Control over such share by proxy or otherwise. A Transfer shall also be deemed to have occurred with respect to a share of Class B Common Stock beneficially held by a Person that received shares in a Permitted Transfer if there occurs any act or circumstance that causes such Person to no longer be a Permitted Transferee. In addition, for the avoidance of doubt, a Transfer shall be deemed to have occurred if a holder that is a partnership, limited partnership, limited liability company or corporation distributes or otherwise transfers its shares of Class B Common Stock to its partners, stockholders, members or other equity owners. Notwithstanding the foregoing, the following shall not be considered a Transfer:</w:t>
      </w:r>
    </w:p>
    <w:p>
      <w:pPr>
        <w:spacing w:after="0" w:line="188" w:lineRule="exact"/>
        <w:rPr>
          <w:sz w:val="20"/>
          <w:szCs w:val="20"/>
          <w:color w:val="auto"/>
        </w:rPr>
      </w:pPr>
    </w:p>
    <w:p>
      <w:pPr>
        <w:jc w:val="both"/>
        <w:ind w:left="660" w:firstLine="644"/>
        <w:spacing w:after="0" w:line="266" w:lineRule="auto"/>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officers or directors of the Corporation at the request of the Board in connection with (i) actions to be taken at an annual or special meeting of stockholders, or (ii) any other action of the stockholders permitted by this Amended and Restated Certificate of Incorporation;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which voting trust, agreement or arrangement does not involve any payment of cash, securities or other property to the holder of the shares subject thereto other than the mutual promise to vote shares in a designated manner; for the avoidance of doubt, any voting trust, agreement or arrangement entered into prior to the Effective Date shall not constitute a Transfer;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21" w:lineRule="exact"/>
        <w:rPr>
          <w:sz w:val="20"/>
          <w:szCs w:val="20"/>
          <w:color w:val="auto"/>
        </w:rPr>
      </w:pPr>
    </w:p>
    <w:p>
      <w:pPr>
        <w:jc w:val="both"/>
        <w:ind w:left="660" w:firstLine="644"/>
        <w:spacing w:after="0" w:line="261" w:lineRule="auto"/>
        <w:tabs>
          <w:tab w:leader="none" w:pos="15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foreclosure on such shares or other similar action by the pledgee shall constitute a Transfer unless such foreclosure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qualifies as a Permitted Transfer at such time;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trustee(s) or the Person(s) and/or entity(ies) having or exercising Voting Control over shares of Class B Common Stock held by a Permitted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such change such Permitted Entity continues to be a Permitted Entity;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assignment, transfer, conveyance, hypothecation or other transfer or disposition of shares of Class B Common Stock by a Qualified Stockholder to a grantor retained annuity trust (a “</w:t>
      </w:r>
      <w:r>
        <w:rPr>
          <w:rFonts w:ascii="Times New Roman" w:cs="Times New Roman" w:eastAsia="Times New Roman" w:hAnsi="Times New Roman"/>
          <w:sz w:val="18"/>
          <w:szCs w:val="18"/>
          <w:u w:val="single" w:color="auto"/>
          <w:color w:val="auto"/>
        </w:rPr>
        <w:t>GRAT</w:t>
      </w:r>
      <w:r>
        <w:rPr>
          <w:rFonts w:ascii="Times New Roman" w:cs="Times New Roman" w:eastAsia="Times New Roman" w:hAnsi="Times New Roman"/>
          <w:sz w:val="18"/>
          <w:szCs w:val="18"/>
          <w:color w:val="auto"/>
        </w:rPr>
        <w:t>”) for which the trustee is (A) such Qualified Stockholder, (B) a Family Member of such Qualified Stockholder, (C) a professional in the business of providing trustee services, including private professional fiduciaries, trust companies, accounting, legal or financial advisors, or bank trust departments, (D) an employee of the Corporation or a member of the Board or (E) solely in the case of any such trust established by a natural Person grantor, any other bona fide trustee; (2) the change in trustee for such a GRAT from one of the Persons identified in the foregoing subclauses (A) through (E) to another Person identified in the foregoing subclauses (A) through (E); and (3) the distribution of such shares of Class B Common Stock from such GRAT to such Qualified Stockholder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distribution of shares of Class B Common Stock to any beneficiary of such GRAT except such Qualified Stockholder shall constitute a Transfer unless such distribution qualifies as a Permitted Transfer at such time);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Class B Common Stock, whether by a Qualified Stockholder or a Permitted Entity, to a broker or other nominee for so long as the transferor retains (i) Voting Control, (ii) sole dispositive power over such shares of Class B Common Stock, and (iii) the economic consequences of ownership of such shares of Class B Common Stock;</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trading plan pursuant to Rule 10b5-1 under the Securities Exchange Act of 1934, as amended, with a broker or other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of such shares of Class B Common Stock pursuant to such plan shall constitute a “Transfer” at the time of such sale;</w:t>
      </w:r>
    </w:p>
    <w:p>
      <w:pPr>
        <w:spacing w:after="0" w:line="227" w:lineRule="exact"/>
        <w:rPr>
          <w:sz w:val="20"/>
          <w:szCs w:val="20"/>
          <w:color w:val="auto"/>
        </w:rPr>
      </w:pPr>
    </w:p>
    <w:p>
      <w:pPr>
        <w:jc w:val="both"/>
        <w:ind w:left="660" w:firstLine="644"/>
        <w:spacing w:after="0" w:line="266" w:lineRule="auto"/>
        <w:tabs>
          <w:tab w:leader="none" w:pos="1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 Transaction (1) the entering into a support, voting, tender or similar agreement or arrangement, (2) the granting of any proxy and/or (3) the tendering of any shares in any tender or exchange offer for all of the outstanding shares of Class A Common Stock and Class B Common Stock;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21" w:lineRule="exact"/>
        <w:rPr>
          <w:sz w:val="20"/>
          <w:szCs w:val="20"/>
          <w:color w:val="auto"/>
        </w:rPr>
      </w:pPr>
    </w:p>
    <w:p>
      <w:pPr>
        <w:jc w:val="both"/>
        <w:ind w:left="660" w:firstLine="644"/>
        <w:spacing w:after="0" w:line="254"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due to the fact that the spouse of any holder of shares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(1) otherwise exempt from the definition of Transfer, or (2) in connection with such divorce proceeding, domestic relations order or similar legal requirement, a Qualified Stockholder is entitled to retain (and for so long as a Qualified Stockholder does actually retain) either (x) the exclusive right to exercise the power to vote or direct the voting of such shares of Class B Common Stock, or (y) sole dispositive power over such shares of Class B Common Stock;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entering into a support, voting, tender or similar agreement, arrangement or understanding (with or without granting a proxy) in connection with a Liquidation Event or consummating the actions or transactions contemplated therein (including, without limitation, tendering shares of Class B Common Stock in connection with a Liquidation Event, the consummation of a Liquidation Event or the sale, assignment, transfer, conveyance, hypothecation or other transfer or disposition of shares of Class B Common Stock or any legal or beneficial interest in shares of Class B Common Stock in connection with a Liquidation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Liquidation Event was approved by the Board.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of such share by proxy, voting agreement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Threshold Date</w:t>
      </w:r>
      <w:r>
        <w:rPr>
          <w:rFonts w:ascii="Times New Roman" w:cs="Times New Roman" w:eastAsia="Times New Roman" w:hAnsi="Times New Roman"/>
          <w:sz w:val="18"/>
          <w:szCs w:val="18"/>
          <w:color w:val="auto"/>
        </w:rPr>
        <w:t>” means the first date on which the issued and outstanding shares of Class B Common Stock represents less than 50% of the total voting power of the then outstanding shares of capital stock of the Corporation that would then be entitled to vote in the election of directors at an annual meeting of stockholders.</w:t>
      </w:r>
    </w:p>
    <w:p>
      <w:pPr>
        <w:spacing w:after="0" w:line="216" w:lineRule="exact"/>
        <w:rPr>
          <w:sz w:val="20"/>
          <w:szCs w:val="20"/>
          <w:color w:val="auto"/>
        </w:rPr>
      </w:pPr>
    </w:p>
    <w:p>
      <w:pPr>
        <w:ind w:left="1060" w:hanging="103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3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Part A Section 9, Preferred Stock may be issued from time to time in one or more series, each of such series to have such terms as stated or expressed herein and in the resolution or resolutions providing for the issue of such series adopted by the Board as hereinafter provided. Any shares of Preferred Stock which may be redeemed, purchased or acquired by the Corporation may be reissued except as otherwise provided by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Part A Section 9, 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(a “</w:t>
      </w:r>
      <w:r>
        <w:rPr>
          <w:rFonts w:ascii="Times New Roman" w:cs="Times New Roman" w:eastAsia="Times New Roman" w:hAnsi="Times New Roman"/>
          <w:sz w:val="18"/>
          <w:szCs w:val="18"/>
          <w:u w:val="single" w:color="auto"/>
          <w:color w:val="auto"/>
        </w:rPr>
        <w:t>Preferred Stock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CERTIFICATE OF INCORPORATION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adopt or repeal any provision contained in this Amended and Restated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 other provision of this Amended and Restated Certificate of Incorporation or any provision of law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permit a lesser vote or no vote, but in addition to any vote of the holders of shares of any class or series of capital stock of the Corporation required by law or by this Amended and Restated Certificate of Incorporation, the affirmative vote of the holders of a majority of the voting power of the then-outstanding shares of capital stock of the Corporation entitled to vote generally in the election of directors, voting together as a single class, shall be required to amend or repeal any provision of this Amended and Restated Certificate of Incorporation, or adopt any provision of this Amended and Restated Certificate of Incorporation inconsistent therewith;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so long as any shares of Class B Common Stock remain outstanding, the Corporation shall not, without the prior affirmative vote of the holders of two-thirds (2/3rds) of the outstanding shares of Class B Common Stock, voting as a separate class, in addition to any other vote required by applicable law or this Amended and Restated Certificate of Incorporation, directly or indirectly, whether by amendment, or through merger, recapitalization, consolidation or otherwise amend, alter, change, repeal or adopt any provision of this Amended and Restated Certificate of Incorporation (1) in a manner that is inconsistent with, or that otherwise alters or changes, any of the voting, conversion, dividend or liquidation provisions of the shares of Class B Common Stock or other rights, powers, preferences or privileges of the shares of Class B Common Stock;</w:t>
      </w:r>
    </w:p>
    <w:p>
      <w:pPr>
        <w:spacing w:after="0" w:line="1" w:lineRule="exact"/>
        <w:rPr>
          <w:sz w:val="20"/>
          <w:szCs w:val="20"/>
          <w:color w:val="auto"/>
        </w:rPr>
      </w:pPr>
    </w:p>
    <w:p>
      <w:pPr>
        <w:jc w:val="both"/>
        <w:ind w:firstLine="8"/>
        <w:spacing w:after="0" w:line="251" w:lineRule="auto"/>
        <w:tabs>
          <w:tab w:leader="none" w:pos="2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each share of Class A Common Stock or Preferred Stock to have more than one (1) vote per share or any rights to a separate class vote of the holders of shares of Class A Common Stock other than as provided by this Amended and Restated Certificate of Incorporation or required by the DGCL; or (3) to otherwise adversely impact or affect the rights, powers, preferences or privileges of the shares of Class B Common Stock in a manner that is disparate from the manner in which it affects the rights, powers, preferences or privileges of the shares of Class A Common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Amended and Restated Certificate of Incorporation, directly or indirectly, whether by amendment, or through merger, recapitalization, consolidation or otherwise amend, alter, change, repeal or adopt any provision of this Amended and Restated Certificate of Incorporation (1) in a manner that is inconsistent with, or that otherwise alters or changes the powers, preferences, or special rights of the shares of Class A Common Stock so as to affect them adversely; or (2) to provide for each share of Class B Common Stock to have more than twenty (20) votes per share or any rights to a separate class vote of the holders of shares of Class B Common Stock other than as provided by this Amended and Restated Certificate of Incorporation or required by the DGCL. For the avoidance of doubt, (i) nothing in the immediately preceding provisos shall limit the rights of the Board as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Part B (as qualified by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Part A, Section 9)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Amended and Restated Certificate of Incorporation, and (ii) notwithstanding anything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the contrary, any amendment to a provision that contemplates a specific approval requirement by the stockholders (or any class of capital stock of the Corporation) in this Amended and Restated</w:t>
      </w:r>
    </w:p>
    <w:p>
      <w:pPr>
        <w:sectPr>
          <w:pgSz w:w="11900" w:h="16838" w:orient="portrait"/>
          <w:cols w:equalWidth="0" w:num="1">
            <w:col w:w="11240"/>
          </w:cols>
          <w:pgMar w:left="320" w:top="1440"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Certificate of Incorporation (including the definition of Requisite Stockholder Consent and Voting Threshold Date) shall require the greater of (x) the specific approval requirement by the stockholders (or any class of capital stock of the Corporation) contemplated in such provision, and (y) the approval requirements contemplated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20" w:top="1417" w:right="339" w:bottom="1440" w:gutter="0" w:footer="0" w:header="0"/>
        </w:sectPr>
      </w:pPr>
    </w:p>
    <w:bookmarkStart w:id="52" w:name="page53"/>
    <w:bookmarkEnd w:id="5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DGCL, and subject to the terms of any series of Preferred Stock, the Board shall have the power to adopt, amend, alter or repeal the Bylaws of the Corporation by the affirmative vote of a majority of the directors present at any regular or special meeting of the Board at which a quorum is present in any manner not inconsistent with the laws of the State of Delaware or this Amended and Restated Certificate of Incorporation. The stockholders may not adopt, amend, alter or repeal the Bylaws of the Corporation, or adopt any provision inconsistent therewith, unless such action is approved, in addition to any other vote required by this Amended and Restated Certificate of Incorporation, by the Requisite Stockholder Consent.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renounces any interest or expectancy of the Corporation in, or in being offered an opportunity to participate in, any Excluded Opportunity. An “</w:t>
      </w: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is any matter, transaction or interest that is presented to, or acquired, created or developed by, or which otherwise comes into the possession of, any director of the Corporation who is not an employee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660" w:firstLine="644"/>
        <w:spacing w:after="0" w:line="282" w:lineRule="auto"/>
        <w:tabs>
          <w:tab w:leader="none" w:pos="16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except as otherwise provided by law.</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xml:space="preserve">. Subject to the rights of holders of any series of Preferred Stock to elect directors, the number of the directors of the Corporation shall be fixed from time to time solely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the Voting Threshold Date, unless otherwise approved by the Requisite Stockholder Consent, the number of the directors shall not exceed nine (9). For the avoidance of doubt, no decrease in the number of directors constituting the Board shall shorten the term of any incumbent director.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The directors shall be elected or appointed for a term of office continuing until the next annual meeting of stockholders of the Corporation. Each director shall hold office until such director’s successor is elected and qualified, or until such director’s earlier death, resignation, disqualification or removal from office. Any director may resign at any time upon notice to the Corporation given in writing by any electronic transmission permitted in the Corporation’s Bylaws or in accordance with applicable law.</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Newly Created Directorships</w:t>
      </w:r>
      <w:r>
        <w:rPr>
          <w:rFonts w:ascii="Times New Roman" w:cs="Times New Roman" w:eastAsia="Times New Roman" w:hAnsi="Times New Roman"/>
          <w:sz w:val="18"/>
          <w:szCs w:val="18"/>
          <w:color w:val="auto"/>
        </w:rPr>
        <w:t xml:space="preserve">. Subject to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(i) prior to the Voting Threshold Date, (x) if the number of directors fixed pursuant to Section B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does not exceed nine (9), by the affirmative vote of a majority of the total number of directors then in office, even if less than a quorum, or by a sole remaining director, or by the stockholders of the Corporation with the Requisite Stockholder Consent, and (y) if the number of directors fixed pursuant to Section B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exceeds nine (9), solely by the stockholders of the Corporation with the Requisite Stockholder Consent; or (ii) on or after the Voting Threshold Date solely by the affirmative vote of a majority of the total number of directors then in office, even if less than a quorum, or by a sole remaining director.</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the holders of any series of Preferred Stock expressly set forth in a Preferred Stock Designation adopted in compliance with this Amended and Restated Certification of Incorporation, any director or the entire Board may be removed from office at any time with or without cause and for any or no reason only with and immediately upon the Requisite Stockholder Consent.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21" w:lineRule="exact"/>
        <w:rPr>
          <w:sz w:val="20"/>
          <w:szCs w:val="20"/>
          <w:color w:val="auto"/>
        </w:rPr>
      </w:pPr>
    </w:p>
    <w:p>
      <w:pPr>
        <w:ind w:left="660" w:firstLine="644"/>
        <w:spacing w:after="0" w:line="282" w:lineRule="auto"/>
        <w:tabs>
          <w:tab w:leader="none" w:pos="15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Pursuant to the Bylaws of the Corporation, the Board may establish one or more committees to which may be delegated any or all of the powers and duties of the Board to the full extent permitted by law.</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Nominations and Introduction of Business</w:t>
      </w:r>
      <w:r>
        <w:rPr>
          <w:rFonts w:ascii="Times New Roman" w:cs="Times New Roman" w:eastAsia="Times New Roman" w:hAnsi="Times New Roman"/>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xml:space="preserve">. During any period when the holders of any series of Preferred Stock have the right to elect additional directors as provided for or fixed pursuant to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or any Preferred Stock Designation,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or any Preferred Stock Designation,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terms of office of all such directors shall forthwith terminate and the total authorized number of directors of the Corporation shall be reduced accordingly.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and except to the extent that the Bylaws shall so require, the election of directors of the Corporation need not be by written ballot. The vote required for election of a director by the stockholders at a meeting of stockholders shall, except in a contested election, be the affirmative vote of a majority of the votes cast in favor or against the election of a nominee at a meeting of stockholders. In a contested election, (i) the directors shall be elected by a plurality of the votes cast at a meeting of stockholders by the holders of stock entitled to vote in such election, and (ii) stockholders shall not be permitted to vote against a nominee. An election shall be considered contested if, as of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preceding the date the Corporation first mails its notice of meeting for such meeting to the stockholders of the Corporation, there are more nominees for election than directorships on the Board to be filled by election at the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DIRECTOR LIABILITY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No repeal or modification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apply to or have any adverse effect on any right or protection of, or any limitation of the liability of, a director of the Corporation existing at the time of such repeal or modification with respect to acts or omissions occurring prior to such repeal or modification.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STOCKHOLDERS IN LIEU OF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to the terms of any series of Preferred Stock, any action required or permitted to be taken by the stockholders of the Corporation must be effected at an annual or special meeting of the stockholders and may not be effected by written consent in lieu of a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the Voting Threshold Date,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the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Special meetings of stockholders for any purpose or purposes may be called at any time by the Board, the Chairperson of the Board or the Chief Executive Officer of the Corporation, and may not be called by another other Person or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Final Conversion Date, special meetings of stockholders for any purpose or purposes may also be called by or at the request of stockholders of the Corporation collectively holding shares of capital stock of the Corporation with voting power sufficient to provide the Requisite Stockholder Consent. Business transacted at any special meeting of stockholders shall be limited to matters relating to the purpose or purposes stated in the notice of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(i)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the Corporation, (2) any action asserting a claim of breach of a fiduciary duty owed by, or any other wrongdoing by, any current or former director, officer, other employee or stockholder of the Corporation, (3) any action asserting a claim against the Corporation arising pursuant to any provision of the DGCL, this Amended and Restated Certificate of Incorporation or the Bylaws or as to which the DGCL confers jurisdiction on the Court of Chancery, (4) any action to interpret, apply, enforce or determine the validity of any provisions of this Amended and Restated Certificate of Incorporation or the Bylaws, or (5) any other action asserting a claim governed by the internal affairs doctrine and (ii) notwithstanding anything to the contrary herein, but subject to the foregoing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the federal district courts of the United States shall be the exclusive forum for the resolution of any action, suit or proceeding asserting a cause of action arising under the Securities Act of 1933, as amended. If any action the subject matter of which is within the scope of the preceding sentence is filed in a court other than the applicable courts specified in the immediately preceding sentence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xml:space="preserve">”) in the name of any stockholder, such stockholder shall, to the fullest extent permitted by applicable law,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 This provision will not apply to claims arising under the Securities Exchange Act of 1934, as amended, or other federal securities laws for which there is exclusive federal jurisdiction. Any Person or entity purchasing or otherwise acquiring or holding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Amended and Restated Certificate of Incorporation (or any other provision of the Bylaws or any agreement entered into by the Corporation),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each and every Person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this Amended and Restated Certificate of Incorporation, (b) the Bylaws and (c) any amendment to this Amended and Restated Certificate of Incorporation or the Bylaws enacted or adopted in accordance with this Amended and Restated Certificate of Incorporation, the Bylaws and applicable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WITNESS WHEREOF, the undersigned has executed this Second Amended and Restated Certificate of Incorporation on June 10,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25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17145</wp:posOffset>
            </wp:positionV>
            <wp:extent cx="63093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Name: Kevin Rakin</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4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520"/>
          </w:cols>
          <w:pgMar w:left="520" w:top="1440" w:right="859" w:bottom="1440" w:gutter="0" w:footer="0" w:header="0"/>
        </w:sectPr>
      </w:pPr>
    </w:p>
    <w:bookmarkStart w:id="59" w:name="page60"/>
    <w:bookmarkEnd w:id="59"/>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certified that:</w:t>
      </w:r>
    </w:p>
    <w:p>
      <w:pPr>
        <w:spacing w:after="0" w:line="266"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name of the corporation is Quantum-Si Incorporated (the “Corporation”).</w:t>
      </w:r>
    </w:p>
    <w:p>
      <w:pPr>
        <w:spacing w:after="0" w:line="200" w:lineRule="exact"/>
        <w:rPr>
          <w:sz w:val="20"/>
          <w:szCs w:val="20"/>
          <w:color w:val="auto"/>
        </w:rPr>
      </w:pPr>
    </w:p>
    <w:p>
      <w:pPr>
        <w:spacing w:after="0" w:line="201" w:lineRule="exact"/>
        <w:rPr>
          <w:sz w:val="20"/>
          <w:szCs w:val="20"/>
          <w:color w:val="auto"/>
        </w:rPr>
      </w:pPr>
    </w:p>
    <w:p>
      <w:pPr>
        <w:ind w:left="1220" w:right="20" w:hanging="1200"/>
        <w:spacing w:after="0" w:line="23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Second Amended and Restated Certificate of Incorporation of the Corporation (the “Certificate of Incorporation”), is hereby further amended by striking out Article X in its entirety and by substituting in lieu of the following: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DIRECTOR AND OFFICER LIABILITY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the fullest extent permitted by the DGCL as the same exists or as may hereafter be amended, a director or officer of the Corporation shall not be personally liable to the Corporation or its stockholders for monetary damages for breach of fiduciary duty as a director or an officer;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eliminate or limit the liability of a director or an officer (i) for any breach of the director’s or officer’s duty of loyalty to the Corporation or its stockholders, (ii) for acts or omissions not in good faith or which involve intentional misconduct or a knowing violation of law, (iii) pursuant to the provisions of Section 174 of the DGCL, (iv) for any transaction from which the director or officer derived an improper personal benefit, or (v) with respect to an officer, in any action by or in the right of the Corporation. No repeal or modification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 All references in this paragraph to an officer shall mean only a person who at the time of an act or omission as to which liability is asserted is deemed to have consented to service by the delivery of process to the registered agent of the Corporation pursuant to § 3114(b) of Title 10 (for purposes of this sentence only, treating residents of the State of Delaware as if they were nonresidents to apply of § 3114(b) of Title 10 to this sentence).</w:t>
      </w:r>
    </w:p>
    <w:p>
      <w:pPr>
        <w:spacing w:after="0" w:line="232" w:lineRule="exact"/>
        <w:rPr>
          <w:sz w:val="20"/>
          <w:szCs w:val="20"/>
          <w:color w:val="auto"/>
        </w:rPr>
      </w:pPr>
    </w:p>
    <w:p>
      <w:pPr>
        <w:ind w:left="960" w:right="20" w:hanging="930"/>
        <w:spacing w:after="0" w:line="250"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amendment of the Certificate of Incorporation herein certified has been duly adopted in accordance with the provisions of Section 242 of the General Corporation Law of the State of Delaware.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effective as of this 12th day of May, 2023.</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56" w:lineRule="exact"/>
        <w:rPr>
          <w:sz w:val="20"/>
          <w:szCs w:val="20"/>
          <w:color w:val="auto"/>
        </w:rPr>
      </w:pPr>
    </w:p>
    <w:p>
      <w:pPr>
        <w:ind w:left="260"/>
        <w:spacing w:after="0"/>
        <w:tabs>
          <w:tab w:leader="none" w:pos="1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61290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pacing w:after="0" w:line="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Jeffrey Hawkins</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hereby certified that:</w:t>
      </w:r>
    </w:p>
    <w:p>
      <w:pPr>
        <w:spacing w:after="0" w:line="293"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name of the corporation is Quantum-Si Incorporated (the “Corporation”).</w:t>
      </w:r>
    </w:p>
    <w:p>
      <w:pPr>
        <w:spacing w:after="0" w:line="200" w:lineRule="exact"/>
        <w:rPr>
          <w:sz w:val="20"/>
          <w:szCs w:val="20"/>
          <w:color w:val="auto"/>
        </w:rPr>
      </w:pPr>
    </w:p>
    <w:p>
      <w:pPr>
        <w:spacing w:after="0" w:line="228" w:lineRule="exact"/>
        <w:rPr>
          <w:sz w:val="20"/>
          <w:szCs w:val="20"/>
          <w:color w:val="auto"/>
        </w:rPr>
      </w:pPr>
    </w:p>
    <w:p>
      <w:pPr>
        <w:ind w:left="1220" w:right="100" w:hanging="1200"/>
        <w:spacing w:after="0" w:line="23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Certificate of Incorporation is hereby further amended by striking out Article VIII, Part B in its entirety and by substituting in lieu of the following:</w:t>
      </w:r>
    </w:p>
    <w:p>
      <w:pPr>
        <w:spacing w:after="0" w:line="77" w:lineRule="exact"/>
        <w:rPr>
          <w:sz w:val="20"/>
          <w:szCs w:val="20"/>
          <w:color w:val="auto"/>
        </w:rPr>
      </w:pPr>
    </w:p>
    <w:p>
      <w:pPr>
        <w:jc w:val="both"/>
        <w:ind w:firstLine="8"/>
        <w:spacing w:after="0" w:line="266" w:lineRule="auto"/>
        <w:tabs>
          <w:tab w:leader="none" w:pos="8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Subject to the rights of holders of any series of Preferred Stock to elect directors, the number of the directors of the Corporation shall be fixed from time to time solely by the Board. For the avoidance of doubt, no decrease in the number of directors constituting the Board shall shorten the term of any incumbent director.</w:t>
      </w:r>
    </w:p>
    <w:p>
      <w:pPr>
        <w:ind w:left="960" w:right="40" w:hanging="930"/>
        <w:spacing w:after="0" w:line="250"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Certificate of Incorporation is hereby further amended by striking out Article VIII, Part D in its entirety and by substituting in lieu of the following:</w:t>
      </w:r>
    </w:p>
    <w:p>
      <w:pPr>
        <w:spacing w:after="0" w:line="68" w:lineRule="exact"/>
        <w:rPr>
          <w:sz w:val="20"/>
          <w:szCs w:val="20"/>
          <w:color w:val="auto"/>
        </w:rPr>
      </w:pPr>
    </w:p>
    <w:p>
      <w:pPr>
        <w:jc w:val="both"/>
        <w:ind w:firstLine="8"/>
        <w:spacing w:after="0" w:line="256" w:lineRule="auto"/>
        <w:tabs>
          <w:tab w:leader="none" w:pos="8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Newly Created Directorships</w:t>
      </w:r>
      <w:r>
        <w:rPr>
          <w:rFonts w:ascii="Times New Roman" w:cs="Times New Roman" w:eastAsia="Times New Roman" w:hAnsi="Times New Roman"/>
          <w:sz w:val="18"/>
          <w:szCs w:val="18"/>
          <w:color w:val="auto"/>
        </w:rPr>
        <w:t>. Subject to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(i) prior to the Voting Threshold Date, by the affirmative vote of a majority of the total number of directors then in office, even if less than a quorum, or by a sole remaining director, or by the stockholders of the Corporation with the Requisite Stockholder Consent, or (ii) on or after the Voting Threshold Date solely by the affirmative vote of a majority of the total number of directors then in office, even if less than a quorum, or by a sole remaining director.</w:t>
      </w:r>
    </w:p>
    <w:p>
      <w:pPr>
        <w:spacing w:after="0" w:line="255" w:lineRule="exact"/>
        <w:rPr>
          <w:sz w:val="20"/>
          <w:szCs w:val="20"/>
          <w:color w:val="auto"/>
        </w:rPr>
      </w:pPr>
    </w:p>
    <w:p>
      <w:pPr>
        <w:ind w:left="1220" w:right="240" w:hanging="1200"/>
        <w:spacing w:after="0" w:line="23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Second Amended and Restated Certificate of Incorporation of the Corporation, as amended (the “Certificate of Incorporation”), is hereby further amended by amending Article IV, Part A, Section 7.2 to add the following subsection (d):</w:t>
      </w:r>
    </w:p>
    <w:p>
      <w:pPr>
        <w:spacing w:after="0" w:line="388" w:lineRule="exact"/>
        <w:rPr>
          <w:sz w:val="20"/>
          <w:szCs w:val="20"/>
          <w:color w:val="auto"/>
        </w:rPr>
      </w:pPr>
    </w:p>
    <w:p>
      <w:pPr>
        <w:ind w:left="620" w:right="20" w:hanging="408"/>
        <w:spacing w:after="0" w:line="282" w:lineRule="auto"/>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Sunset Provision. Each outstanding share of Class B Common Stock shall automatically, without further action by the Corporation or the holder thereof, convert into one (1) fully paid and nonassessable share of Class A Common Stock on June 10, 2028.</w:t>
      </w:r>
    </w:p>
    <w:p>
      <w:pPr>
        <w:spacing w:after="0" w:line="391" w:lineRule="exact"/>
        <w:rPr>
          <w:sz w:val="20"/>
          <w:szCs w:val="20"/>
          <w:color w:val="auto"/>
        </w:rPr>
      </w:pPr>
    </w:p>
    <w:p>
      <w:pPr>
        <w:ind w:left="900" w:right="60" w:hanging="876"/>
        <w:spacing w:after="0" w:line="250"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amendment of the Certificate of Incorporation herein certified has been duly adopted in accordance with the provisions of Section 242 of the General Corporation Law of the State of Delaware.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effective as of this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May, 2024.</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ind w:left="220"/>
        <w:spacing w:after="0"/>
        <w:tabs>
          <w:tab w:leader="none" w:pos="1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wp:posOffset>
            </wp:positionV>
            <wp:extent cx="645477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54775" cy="1714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Jeffrey Hawkins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Hawkins,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257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Jeffry Keyes,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7089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Jeffry Keyes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22802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26060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Jeffry Keyes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Letter"/>
      <w:start w:val="25"/>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upperLetter"/>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3"/>
    </w:lvl>
  </w:abstractNum>
  <w:abstractNum w:abstractNumId="14">
    <w:nsid w:val="79838CB2"/>
    <w:multiLevelType w:val="hybridMultilevel"/>
    <w:lvl w:ilvl="0">
      <w:lvlJc w:val="left"/>
      <w:lvlText w:val="%1."/>
      <w:numFmt w:val="decimal"/>
      <w:start w:val="6"/>
    </w:lvl>
  </w:abstractNum>
  <w:abstractNum w:abstractNumId="15">
    <w:nsid w:val="4353D0CD"/>
    <w:multiLevelType w:val="hybridMultilevel"/>
    <w:lvl w:ilvl="0">
      <w:lvlJc w:val="left"/>
      <w:lvlText w:val="%1."/>
      <w:numFmt w:val="decimal"/>
      <w:start w:val="7"/>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2"/>
    </w:lvl>
  </w:abstractNum>
  <w:abstractNum w:abstractNumId="18">
    <w:nsid w:val="54E49EB4"/>
    <w:multiLevelType w:val="hybridMultilevel"/>
    <w:lvl w:ilvl="0">
      <w:lvlJc w:val="left"/>
      <w:lvlText w:val="%1."/>
      <w:numFmt w:val="decimal"/>
      <w:start w:val="8"/>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3"/>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3"/>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upperLetter"/>
      <w:start w:val="2"/>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upperLetter"/>
      <w:start w:val="1"/>
    </w:lvl>
  </w:abstractNum>
  <w:abstractNum w:abstractNumId="29">
    <w:nsid w:val="22221A70"/>
    <w:multiLevelType w:val="hybridMultilevel"/>
    <w:lvl w:ilvl="0">
      <w:lvlJc w:val="left"/>
      <w:lvlText w:val="(%1)"/>
      <w:numFmt w:val="upperLetter"/>
      <w:start w:val="6"/>
    </w:lvl>
  </w:abstractNum>
  <w:abstractNum w:abstractNumId="30">
    <w:nsid w:val="4516DDE9"/>
    <w:multiLevelType w:val="hybridMultilevel"/>
    <w:lvl w:ilvl="0">
      <w:lvlJc w:val="left"/>
      <w:lvlText w:val="(%1)"/>
      <w:numFmt w:val="upperLetter"/>
      <w:start w:val="2"/>
    </w:lvl>
  </w:abstractNum>
  <w:abstractNum w:abstractNumId="31">
    <w:nsid w:val="3006C83E"/>
    <w:multiLevelType w:val="hybridMultilevel"/>
    <w:lvl w:ilvl="0">
      <w:lvlJc w:val="left"/>
      <w:lvlText w:val="(%1)"/>
      <w:numFmt w:val="upperLetter"/>
      <w:start w:val="4"/>
    </w:lvl>
  </w:abstractNum>
  <w:abstractNum w:abstractNumId="32">
    <w:nsid w:val="614FD4A1"/>
    <w:multiLevelType w:val="hybridMultilevel"/>
    <w:lvl w:ilvl="0">
      <w:lvlJc w:val="left"/>
      <w:lvlText w:val="(%1)"/>
      <w:numFmt w:val="lowerLetter"/>
      <w:start w:val="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2024-08-07T15:40:25Z</dcterms:created>
  <dcterms:modified xsi:type="dcterms:W3CDTF">2024-08-07T15:40:25Z</dcterms:modified>
</cp:coreProperties>
</file>