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10-K</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shd w:fill="FFFFFF" w:val="clear"/>
        </w:rPr>
        <w:t xml:space="preserve">For the fiscal year ended </w:t>
      </w:r>
      <w:r>
        <w:rPr>
          <w:rFonts w:ascii="Times New Roman;serif" w:hAnsi="Times New Roman;serif"/>
          <w:b/>
          <w:color w:val="000000"/>
          <w:sz w:val="20"/>
        </w:rPr>
        <w:t>December 31, 2025</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from______to______</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001-39486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w:t>
      </w:r>
      <w:r>
        <w:rPr>
          <w:rFonts w:ascii="Times New Roman;serif" w:hAnsi="Times New Roman;serif"/>
          <w:b/>
          <w:color w:val="000000"/>
          <w:sz w:val="20"/>
        </w:rPr>
        <w:t>866</w:t>
      </w:r>
      <w:r>
        <w:rPr>
          <w:rFonts w:ascii="Times New Roman;serif" w:hAnsi="Times New Roman;serif"/>
          <w:b/>
          <w:color w:val="000000"/>
          <w:sz w:val="20"/>
          <w:shd w:fill="FFFFFF" w:val="clear"/>
        </w:rPr>
        <w:t xml:space="preserve">) </w:t>
      </w:r>
      <w:r>
        <w:rPr>
          <w:rFonts w:ascii="Times New Roman;serif" w:hAnsi="Times New Roman;serif"/>
          <w:b/>
          <w:color w:val="000000"/>
          <w:sz w:val="20"/>
        </w:rPr>
        <w:t>688-7374</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339"/>
        <w:gridCol w:w="1776"/>
        <w:gridCol w:w="1797"/>
        <w:gridCol w:w="109"/>
        <w:gridCol w:w="109"/>
        <w:gridCol w:w="109"/>
        <w:gridCol w:w="433"/>
        <w:gridCol w:w="433"/>
        <w:gridCol w:w="435"/>
        <w:gridCol w:w="109"/>
        <w:gridCol w:w="109"/>
        <w:gridCol w:w="109"/>
        <w:gridCol w:w="682"/>
        <w:gridCol w:w="682"/>
        <w:gridCol w:w="974"/>
      </w:tblGrid>
      <w:tr>
        <w:trPr/>
        <w:tc>
          <w:tcPr>
            <w:tcW w:w="233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5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Class A common stock, each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QSIAW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Indicate by check mark if the registrant is a well-known seasoned issuer, as defined in Rule 405 of the Securities Act.     Yes  </w:t>
      </w:r>
      <w:r>
        <w:rPr>
          <w:rFonts w:ascii="Wingdings;sans-serif" w:hAnsi="Wingdings;sans-serif"/>
          <w:b w:val="false"/>
          <w:color w:val="000000"/>
          <w:sz w:val="20"/>
          <w:shd w:fill="FFFFFF" w:val="clear"/>
        </w:rPr>
        <w:t>o</w:t>
      </w:r>
      <w:r>
        <w:rPr>
          <w:color w:val="000000"/>
          <w:shd w:fill="FFFFFF" w:val="clear"/>
        </w:rPr>
        <w:t>     </w:t>
      </w:r>
      <w:r>
        <w:rPr>
          <w:rFonts w:ascii="Times New Roman;serif" w:hAnsi="Times New Roman;serif"/>
          <w:b w:val="false"/>
          <w:color w:val="000000"/>
          <w:sz w:val="20"/>
          <w:shd w:fill="FFFFFF" w:val="clear"/>
        </w:rPr>
        <w:t>No   </w:t>
      </w:r>
      <w:r>
        <w:rPr>
          <w:rFonts w:ascii="Wingdings;sans-serif" w:hAnsi="Wingdings;sans-serif"/>
          <w:b w:val="false"/>
          <w:color w:val="000000"/>
          <w:sz w:val="20"/>
          <w:shd w:fill="FFFFFF" w:val="clear"/>
        </w:rPr>
        <w:t>x</w:t>
      </w:r>
    </w:p>
    <w:p>
      <w:pPr>
        <w:pStyle w:val="TextBody"/>
        <w:bidi w:val="0"/>
        <w:spacing w:lineRule="auto" w:line="288" w:before="240" w:after="283"/>
        <w:jc w:val="both"/>
        <w:rPr/>
      </w:pPr>
      <w:r>
        <w:rPr>
          <w:rFonts w:ascii="Times New Roman;serif" w:hAnsi="Times New Roman;serif"/>
          <w:b w:val="false"/>
          <w:color w:val="000000"/>
          <w:sz w:val="20"/>
          <w:shd w:fill="FFFFFF" w:val="clear"/>
        </w:rPr>
        <w:t>Indicate by check mark if the registrant is not required to file reports pursuant to Section 13 or Section 15(d)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No   </w:t>
      </w:r>
      <w:r>
        <w:rPr>
          <w:rFonts w:ascii="Wingdings;sans-serif" w:hAnsi="Wingdings;sans-serif"/>
          <w:b w:val="false"/>
          <w:color w:val="000000"/>
          <w:sz w:val="20"/>
          <w:shd w:fill="FFFFFF" w:val="clear"/>
        </w:rPr>
        <w:t>x</w:t>
      </w:r>
    </w:p>
    <w:p>
      <w:pPr>
        <w:pStyle w:val="TextBody"/>
        <w:bidi w:val="0"/>
        <w:spacing w:lineRule="auto" w:line="288" w:before="240" w:after="283"/>
        <w:jc w:val="both"/>
        <w:rPr/>
      </w:pPr>
      <w:r>
        <w:rPr>
          <w:rFonts w:ascii="Times New Roman;serif" w:hAnsi="Times New Roman;serif"/>
          <w:b w:val="false"/>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val="false"/>
          <w:color w:val="000000"/>
          <w:sz w:val="20"/>
          <w:shd w:fill="FFFFFF" w:val="clear"/>
        </w:rPr>
        <w:t>No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aggregate market value of the registrant’s voting and non-voting equity held by non-affiliates of the registrant (without admitting that any person whose securities are not included in such calculation is an affiliate) computed by reference to the price at which the Class A common stock was last sold as of June 30, 2025, the last business day of the registrant’s most recently completed second fiscal quarter, was approximately </w:t>
      </w:r>
      <w:r>
        <w:rPr>
          <w:rFonts w:ascii="Times New Roman;serif" w:hAnsi="Times New Roman;serif"/>
          <w:b w:val="false"/>
          <w:color w:val="000000"/>
          <w:sz w:val="20"/>
        </w:rPr>
        <w:t>$286.3 million</w:t>
      </w:r>
      <w:r>
        <w:rPr>
          <w:rFonts w:ascii="Times New Roman;serif" w:hAnsi="Times New Roman;serif"/>
          <w:b w:val="false"/>
          <w:color w:val="000000"/>
          <w:sz w:val="20"/>
          <w:shd w:fill="FFFFFF" w:val="clear"/>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February 25, 2026</w:t>
      </w:r>
      <w:r>
        <w:rPr>
          <w:rFonts w:ascii="Times New Roman;serif" w:hAnsi="Times New Roman;serif"/>
          <w:b w:val="false"/>
          <w:color w:val="000000"/>
          <w:sz w:val="20"/>
          <w:shd w:fill="FFFFFF" w:val="clear"/>
        </w:rPr>
        <w:t xml:space="preserve">, the registrant had </w:t>
      </w:r>
      <w:r>
        <w:rPr>
          <w:rFonts w:ascii="Times New Roman;serif" w:hAnsi="Times New Roman;serif"/>
          <w:b w:val="false"/>
          <w:color w:val="000000"/>
          <w:sz w:val="20"/>
        </w:rPr>
        <w:t>196,431,273</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outstanding and </w:t>
      </w:r>
      <w:r>
        <w:rPr>
          <w:rFonts w:ascii="Times New Roman;serif" w:hAnsi="Times New Roman;serif"/>
          <w:b w:val="false"/>
          <w:color w:val="000000"/>
          <w:sz w:val="20"/>
        </w:rPr>
        <w:t>19,937,500</w:t>
      </w:r>
      <w:r>
        <w:rPr>
          <w:color w:val="000000"/>
          <w:shd w:fill="FFFFFF" w:val="clear"/>
        </w:rPr>
        <w:t xml:space="preserve"> </w:t>
      </w:r>
      <w:r>
        <w:rPr>
          <w:rFonts w:ascii="Times New Roman;serif" w:hAnsi="Times New Roman;serif"/>
          <w:b w:val="false"/>
          <w:color w:val="000000"/>
          <w:sz w:val="20"/>
          <w:shd w:fill="FFFFFF" w:val="clear"/>
        </w:rPr>
        <w:t>shares of Class B common stock outstanding.</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DOCUMENTS INCORPORATED BY REFERENCE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documents (or parts thereof) are incorporated by reference into the following parts of this Form 10-K: Certain information required in Part III of this Annual Report on Form 10-K is incorporated by reference from the Registrant’s Proxy Statement for the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Annual Meeting of Stockholders to be filed with the Securities and Exchange Commission.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 10-K</w:t>
      </w:r>
    </w:p>
    <w:p>
      <w:pPr>
        <w:pStyle w:val="TextBody"/>
        <w:bidi w:val="0"/>
        <w:spacing w:lineRule="auto" w:line="288" w:before="0" w:after="0"/>
        <w:jc w:val="center"/>
        <w:rPr/>
      </w:pPr>
      <w:r>
        <w:rPr>
          <w:rFonts w:ascii="Times New Roman;serif" w:hAnsi="Times New Roman;serif"/>
          <w:b w:val="false"/>
          <w:color w:val="000000"/>
          <w:sz w:val="20"/>
          <w:shd w:fill="FFFFFF" w:val="clear"/>
        </w:rPr>
        <w:t xml:space="preserve">For the fiscal year ended </w:t>
      </w:r>
      <w:r>
        <w:rPr>
          <w:rFonts w:ascii="Times New Roman;serif" w:hAnsi="Times New Roman;serif"/>
          <w:b w:val="false"/>
          <w:color w:val="000000"/>
          <w:sz w:val="20"/>
        </w:rPr>
        <w:t>December 31, 2025</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263"/>
        <w:gridCol w:w="232"/>
        <w:gridCol w:w="233"/>
        <w:gridCol w:w="249"/>
        <w:gridCol w:w="249"/>
        <w:gridCol w:w="251"/>
        <w:gridCol w:w="2715"/>
        <w:gridCol w:w="2715"/>
        <w:gridCol w:w="2720"/>
        <w:gridCol w:w="167"/>
        <w:gridCol w:w="167"/>
        <w:gridCol w:w="244"/>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0">
              <w:r>
                <w:rPr>
                  <w:rStyle w:val="InternetLink"/>
                  <w:rFonts w:ascii="Times New Roman;serif" w:hAnsi="Times New Roman;serif"/>
                  <w:b w:val="false"/>
                  <w:color w:val="0000FF"/>
                  <w:sz w:val="20"/>
                  <w:u w:val="single"/>
                </w:rPr>
                <w:t>Cautionary Note Regarding Forward-Looking Statements</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0">
              <w:r>
                <w:rPr>
                  <w:rStyle w:val="InternetLink"/>
                  <w:rFonts w:ascii="Times New Roman;serif" w:hAnsi="Times New Roman;serif"/>
                  <w:b w:val="false"/>
                  <w:strike w:val="false"/>
                  <w:dstrike w:val="false"/>
                  <w:color w:val="000000"/>
                  <w:sz w:val="20"/>
                  <w:u w:val="none"/>
                  <w:effect w:val="none"/>
                </w:rPr>
                <w:t>3</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3">
              <w:r>
                <w:rPr>
                  <w:rStyle w:val="InternetLink"/>
                  <w:rFonts w:ascii="Times New Roman;serif" w:hAnsi="Times New Roman;serif"/>
                  <w:b/>
                  <w:color w:val="0000FF"/>
                  <w:sz w:val="20"/>
                  <w:u w:val="single"/>
                </w:rPr>
                <w:t>Part I</w:t>
              </w:r>
            </w:hyperlink>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3">
              <w:r>
                <w:rPr>
                  <w:rStyle w:val="InternetLink"/>
                  <w:rFonts w:ascii="Times New Roman;serif" w:hAnsi="Times New Roman;serif"/>
                  <w:b w:val="false"/>
                  <w:strike w:val="false"/>
                  <w:dstrike w:val="false"/>
                  <w:color w:val="000000"/>
                  <w:sz w:val="20"/>
                  <w:u w:val="none"/>
                  <w:effect w:val="none"/>
                </w:rPr>
                <w:t>8</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6">
              <w:r>
                <w:rPr>
                  <w:rStyle w:val="InternetLink"/>
                  <w:rFonts w:ascii="Times New Roman;serif" w:hAnsi="Times New Roman;serif"/>
                  <w:b w:val="false"/>
                  <w:strike w:val="false"/>
                  <w:dstrike w:val="false"/>
                  <w:color w:val="000000"/>
                  <w:sz w:val="20"/>
                  <w:u w:val="none"/>
                  <w:effect w:val="none"/>
                </w:rPr>
                <w:t>Item 1.</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6">
              <w:r>
                <w:rPr>
                  <w:rStyle w:val="InternetLink"/>
                  <w:rFonts w:ascii="Times New Roman;serif" w:hAnsi="Times New Roman;serif"/>
                  <w:b w:val="false"/>
                  <w:color w:val="0000FF"/>
                  <w:sz w:val="20"/>
                  <w:u w:val="single"/>
                </w:rPr>
                <w:t>Business</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6">
              <w:r>
                <w:rPr>
                  <w:rStyle w:val="InternetLink"/>
                  <w:rFonts w:ascii="Times New Roman;serif" w:hAnsi="Times New Roman;serif"/>
                  <w:b w:val="false"/>
                  <w:strike w:val="false"/>
                  <w:dstrike w:val="false"/>
                  <w:color w:val="000000"/>
                  <w:sz w:val="20"/>
                  <w:u w:val="none"/>
                  <w:effect w:val="none"/>
                </w:rPr>
                <w:t>8</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
              <w:r>
                <w:rPr>
                  <w:rStyle w:val="InternetLink"/>
                  <w:rFonts w:ascii="Times New Roman;serif" w:hAnsi="Times New Roman;serif"/>
                  <w:b w:val="false"/>
                  <w:strike w:val="false"/>
                  <w:dstrike w:val="false"/>
                  <w:color w:val="000000"/>
                  <w:sz w:val="20"/>
                  <w:u w:val="none"/>
                  <w:effect w:val="none"/>
                </w:rPr>
                <w:t>Item 1A.</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
              <w:r>
                <w:rPr>
                  <w:rStyle w:val="InternetLink"/>
                  <w:rFonts w:ascii="Times New Roman;serif" w:hAnsi="Times New Roman;serif"/>
                  <w:b w:val="false"/>
                  <w:color w:val="0000FF"/>
                  <w:sz w:val="20"/>
                  <w:u w:val="single"/>
                </w:rPr>
                <w:t>Risk Factors</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9">
              <w:r>
                <w:rPr>
                  <w:rStyle w:val="InternetLink"/>
                  <w:rFonts w:ascii="Times New Roman;serif" w:hAnsi="Times New Roman;serif"/>
                  <w:b w:val="false"/>
                  <w:strike w:val="false"/>
                  <w:dstrike w:val="false"/>
                  <w:color w:val="000000"/>
                  <w:sz w:val="20"/>
                  <w:u w:val="none"/>
                  <w:effect w:val="none"/>
                </w:rPr>
                <w:t>27</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2">
              <w:r>
                <w:rPr>
                  <w:rStyle w:val="InternetLink"/>
                  <w:rFonts w:ascii="Times New Roman;serif" w:hAnsi="Times New Roman;serif"/>
                  <w:b w:val="false"/>
                  <w:strike w:val="false"/>
                  <w:dstrike w:val="false"/>
                  <w:color w:val="000000"/>
                  <w:sz w:val="20"/>
                  <w:u w:val="none"/>
                  <w:effect w:val="none"/>
                </w:rPr>
                <w:t>Item 1B.</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2">
              <w:r>
                <w:rPr>
                  <w:rStyle w:val="InternetLink"/>
                  <w:rFonts w:ascii="Times New Roman;serif" w:hAnsi="Times New Roman;serif"/>
                  <w:b w:val="false"/>
                  <w:color w:val="0000FF"/>
                  <w:sz w:val="20"/>
                  <w:u w:val="single"/>
                </w:rPr>
                <w:t>Unresolved Staff Comments</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22">
              <w:r>
                <w:rPr>
                  <w:rStyle w:val="InternetLink"/>
                  <w:rFonts w:ascii="Times New Roman;serif" w:hAnsi="Times New Roman;serif"/>
                  <w:b w:val="false"/>
                  <w:strike w:val="false"/>
                  <w:dstrike w:val="false"/>
                  <w:color w:val="000000"/>
                  <w:sz w:val="20"/>
                  <w:u w:val="none"/>
                  <w:effect w:val="none"/>
                </w:rPr>
                <w:t>62</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5">
              <w:r>
                <w:rPr>
                  <w:rStyle w:val="InternetLink"/>
                  <w:rFonts w:ascii="Times New Roman;serif" w:hAnsi="Times New Roman;serif"/>
                  <w:b w:val="false"/>
                  <w:strike w:val="false"/>
                  <w:dstrike w:val="false"/>
                  <w:color w:val="000000"/>
                  <w:sz w:val="20"/>
                  <w:u w:val="none"/>
                  <w:effect w:val="none"/>
                </w:rPr>
                <w:t>Item 1C.</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5">
              <w:r>
                <w:rPr>
                  <w:rStyle w:val="InternetLink"/>
                  <w:rFonts w:ascii="Times New Roman;serif" w:hAnsi="Times New Roman;serif"/>
                  <w:b w:val="false"/>
                  <w:color w:val="0000FF"/>
                  <w:sz w:val="20"/>
                  <w:u w:val="single"/>
                </w:rPr>
                <w:t>Cybersecurity</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25">
              <w:r>
                <w:rPr>
                  <w:rStyle w:val="InternetLink"/>
                  <w:rFonts w:ascii="Times New Roman;serif" w:hAnsi="Times New Roman;serif"/>
                  <w:b w:val="false"/>
                  <w:strike w:val="false"/>
                  <w:dstrike w:val="false"/>
                  <w:color w:val="000000"/>
                  <w:sz w:val="20"/>
                  <w:u w:val="none"/>
                  <w:effect w:val="none"/>
                </w:rPr>
                <w:t>62</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8">
              <w:r>
                <w:rPr>
                  <w:rStyle w:val="InternetLink"/>
                  <w:rFonts w:ascii="Times New Roman;serif" w:hAnsi="Times New Roman;serif"/>
                  <w:b w:val="false"/>
                  <w:strike w:val="false"/>
                  <w:dstrike w:val="false"/>
                  <w:color w:val="000000"/>
                  <w:sz w:val="20"/>
                  <w:u w:val="none"/>
                  <w:effect w:val="none"/>
                </w:rPr>
                <w:t>Item 2.</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8">
              <w:r>
                <w:rPr>
                  <w:rStyle w:val="InternetLink"/>
                  <w:rFonts w:ascii="Times New Roman;serif" w:hAnsi="Times New Roman;serif"/>
                  <w:b w:val="false"/>
                  <w:color w:val="0000FF"/>
                  <w:sz w:val="20"/>
                  <w:u w:val="single"/>
                </w:rPr>
                <w:t>Properties</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28">
              <w:r>
                <w:rPr>
                  <w:rStyle w:val="InternetLink"/>
                  <w:rFonts w:ascii="Times New Roman;serif" w:hAnsi="Times New Roman;serif"/>
                  <w:b w:val="false"/>
                  <w:strike w:val="false"/>
                  <w:dstrike w:val="false"/>
                  <w:color w:val="000000"/>
                  <w:sz w:val="20"/>
                  <w:u w:val="none"/>
                  <w:effect w:val="none"/>
                </w:rPr>
                <w:t>63</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31">
              <w:r>
                <w:rPr>
                  <w:rStyle w:val="InternetLink"/>
                  <w:rFonts w:ascii="Times New Roman;serif" w:hAnsi="Times New Roman;serif"/>
                  <w:b w:val="false"/>
                  <w:strike w:val="false"/>
                  <w:dstrike w:val="false"/>
                  <w:color w:val="000000"/>
                  <w:sz w:val="20"/>
                  <w:u w:val="none"/>
                  <w:effect w:val="none"/>
                </w:rPr>
                <w:t>Item 3.</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31">
              <w:r>
                <w:rPr>
                  <w:rStyle w:val="InternetLink"/>
                  <w:rFonts w:ascii="Times New Roman;serif" w:hAnsi="Times New Roman;serif"/>
                  <w:b w:val="false"/>
                  <w:color w:val="0000FF"/>
                  <w:sz w:val="20"/>
                  <w:u w:val="single"/>
                </w:rPr>
                <w:t>Legal Proceedings</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31">
              <w:r>
                <w:rPr>
                  <w:rStyle w:val="InternetLink"/>
                  <w:rFonts w:ascii="Times New Roman;serif" w:hAnsi="Times New Roman;serif"/>
                  <w:b w:val="false"/>
                  <w:strike w:val="false"/>
                  <w:dstrike w:val="false"/>
                  <w:color w:val="000000"/>
                  <w:sz w:val="20"/>
                  <w:u w:val="none"/>
                  <w:effect w:val="none"/>
                </w:rPr>
                <w:t>63</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34">
              <w:r>
                <w:rPr>
                  <w:rStyle w:val="InternetLink"/>
                  <w:rFonts w:ascii="Times New Roman;serif" w:hAnsi="Times New Roman;serif"/>
                  <w:b w:val="false"/>
                  <w:strike w:val="false"/>
                  <w:dstrike w:val="false"/>
                  <w:color w:val="000000"/>
                  <w:sz w:val="20"/>
                  <w:u w:val="none"/>
                  <w:effect w:val="none"/>
                </w:rPr>
                <w:t>Item 4.</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34">
              <w:r>
                <w:rPr>
                  <w:rStyle w:val="InternetLink"/>
                  <w:rFonts w:ascii="Times New Roman;serif" w:hAnsi="Times New Roman;serif"/>
                  <w:b w:val="false"/>
                  <w:color w:val="0000FF"/>
                  <w:sz w:val="20"/>
                  <w:u w:val="single"/>
                </w:rPr>
                <w:t>Mine Safety Disclosures</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34">
              <w:r>
                <w:rPr>
                  <w:rStyle w:val="InternetLink"/>
                  <w:rFonts w:ascii="Times New Roman;serif" w:hAnsi="Times New Roman;serif"/>
                  <w:b w:val="false"/>
                  <w:strike w:val="false"/>
                  <w:dstrike w:val="false"/>
                  <w:color w:val="000000"/>
                  <w:sz w:val="20"/>
                  <w:u w:val="none"/>
                  <w:effect w:val="none"/>
                </w:rPr>
                <w:t>64</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37">
              <w:r>
                <w:rPr>
                  <w:rStyle w:val="InternetLink"/>
                  <w:rFonts w:ascii="Times New Roman;serif" w:hAnsi="Times New Roman;serif"/>
                  <w:b/>
                  <w:color w:val="0000FF"/>
                  <w:sz w:val="20"/>
                  <w:u w:val="single"/>
                </w:rPr>
                <w:t>Part II</w:t>
              </w:r>
            </w:hyperlink>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37">
              <w:r>
                <w:rPr>
                  <w:rStyle w:val="InternetLink"/>
                  <w:rFonts w:ascii="Times New Roman;serif" w:hAnsi="Times New Roman;serif"/>
                  <w:b w:val="false"/>
                  <w:strike w:val="false"/>
                  <w:dstrike w:val="false"/>
                  <w:color w:val="000000"/>
                  <w:sz w:val="20"/>
                  <w:u w:val="none"/>
                  <w:effect w:val="none"/>
                </w:rPr>
                <w:t>65</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40">
              <w:r>
                <w:rPr>
                  <w:rStyle w:val="InternetLink"/>
                  <w:rFonts w:ascii="Times New Roman;serif" w:hAnsi="Times New Roman;serif"/>
                  <w:b w:val="false"/>
                  <w:strike w:val="false"/>
                  <w:dstrike w:val="false"/>
                  <w:color w:val="000000"/>
                  <w:sz w:val="20"/>
                  <w:u w:val="none"/>
                  <w:effect w:val="none"/>
                </w:rPr>
                <w:t>Item 5.</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40">
              <w:r>
                <w:rPr>
                  <w:rStyle w:val="InternetLink"/>
                  <w:rFonts w:ascii="Times New Roman;serif" w:hAnsi="Times New Roman;serif"/>
                  <w:b w:val="false"/>
                  <w:strike w:val="false"/>
                  <w:dstrike w:val="false"/>
                  <w:color w:val="000000"/>
                  <w:sz w:val="20"/>
                  <w:u w:val="none"/>
                  <w:effect w:val="none"/>
                </w:rPr>
                <w:t>65</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43">
              <w:r>
                <w:rPr>
                  <w:rStyle w:val="InternetLink"/>
                  <w:rFonts w:ascii="Times New Roman;serif" w:hAnsi="Times New Roman;serif"/>
                  <w:b w:val="false"/>
                  <w:strike w:val="false"/>
                  <w:dstrike w:val="false"/>
                  <w:color w:val="000000"/>
                  <w:sz w:val="20"/>
                  <w:u w:val="none"/>
                  <w:effect w:val="none"/>
                </w:rPr>
                <w:t>Item 6.</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43">
              <w:r>
                <w:rPr>
                  <w:rStyle w:val="InternetLink"/>
                  <w:rFonts w:ascii="Times New Roman;serif" w:hAnsi="Times New Roman;serif"/>
                  <w:b w:val="false"/>
                  <w:color w:val="0000FF"/>
                  <w:sz w:val="20"/>
                  <w:u w:val="single"/>
                </w:rPr>
                <w:t>[Reserved]</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43">
              <w:r>
                <w:rPr>
                  <w:rStyle w:val="InternetLink"/>
                  <w:rFonts w:ascii="Times New Roman;serif" w:hAnsi="Times New Roman;serif"/>
                  <w:b w:val="false"/>
                  <w:strike w:val="false"/>
                  <w:dstrike w:val="false"/>
                  <w:color w:val="000000"/>
                  <w:sz w:val="20"/>
                  <w:u w:val="none"/>
                  <w:effect w:val="none"/>
                </w:rPr>
                <w:t>65</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46">
              <w:r>
                <w:rPr>
                  <w:rStyle w:val="InternetLink"/>
                  <w:rFonts w:ascii="Times New Roman;serif" w:hAnsi="Times New Roman;serif"/>
                  <w:b w:val="false"/>
                  <w:strike w:val="false"/>
                  <w:dstrike w:val="false"/>
                  <w:color w:val="000000"/>
                  <w:sz w:val="20"/>
                  <w:u w:val="none"/>
                  <w:effect w:val="none"/>
                </w:rPr>
                <w:t>Item 7.</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46">
              <w:r>
                <w:rPr>
                  <w:rStyle w:val="InternetLink"/>
                  <w:rFonts w:ascii="Times New Roman;serif" w:hAnsi="Times New Roman;serif"/>
                  <w:b w:val="false"/>
                  <w:strike w:val="false"/>
                  <w:dstrike w:val="false"/>
                  <w:color w:val="000000"/>
                  <w:sz w:val="20"/>
                  <w:u w:val="none"/>
                  <w:effect w:val="none"/>
                </w:rPr>
                <w:t>66</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76">
              <w:r>
                <w:rPr>
                  <w:rStyle w:val="InternetLink"/>
                  <w:rFonts w:ascii="Times New Roman;serif" w:hAnsi="Times New Roman;serif"/>
                  <w:b w:val="false"/>
                  <w:strike w:val="false"/>
                  <w:dstrike w:val="false"/>
                  <w:color w:val="000000"/>
                  <w:sz w:val="20"/>
                  <w:u w:val="none"/>
                  <w:effect w:val="none"/>
                </w:rPr>
                <w:t>Item 7A.</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76">
              <w:r>
                <w:rPr>
                  <w:rStyle w:val="InternetLink"/>
                  <w:rFonts w:ascii="Times New Roman;serif" w:hAnsi="Times New Roman;serif"/>
                  <w:b w:val="false"/>
                  <w:color w:val="0000FF"/>
                  <w:sz w:val="20"/>
                  <w:u w:val="single"/>
                </w:rPr>
                <w:t>Quantitative and Qualitative Disclosures About Market Risk</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76">
              <w:r>
                <w:rPr>
                  <w:rStyle w:val="InternetLink"/>
                  <w:rFonts w:ascii="Times New Roman;serif" w:hAnsi="Times New Roman;serif"/>
                  <w:b w:val="false"/>
                  <w:strike w:val="false"/>
                  <w:dstrike w:val="false"/>
                  <w:color w:val="000000"/>
                  <w:sz w:val="20"/>
                  <w:u w:val="none"/>
                  <w:effect w:val="none"/>
                </w:rPr>
                <w:t>77</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79">
              <w:r>
                <w:rPr>
                  <w:rStyle w:val="InternetLink"/>
                  <w:rFonts w:ascii="Times New Roman;serif" w:hAnsi="Times New Roman;serif"/>
                  <w:b w:val="false"/>
                  <w:strike w:val="false"/>
                  <w:dstrike w:val="false"/>
                  <w:color w:val="000000"/>
                  <w:sz w:val="20"/>
                  <w:u w:val="none"/>
                  <w:effect w:val="none"/>
                </w:rPr>
                <w:t>Item 8.</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79">
              <w:r>
                <w:rPr>
                  <w:rStyle w:val="InternetLink"/>
                  <w:rFonts w:ascii="Times New Roman;serif" w:hAnsi="Times New Roman;serif"/>
                  <w:b w:val="false"/>
                  <w:color w:val="0000FF"/>
                  <w:sz w:val="20"/>
                  <w:u w:val="single"/>
                </w:rPr>
                <w:t>Financial Statements and Supplementary Data</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79">
              <w:r>
                <w:rPr>
                  <w:rStyle w:val="InternetLink"/>
                  <w:rFonts w:ascii="Times New Roman;serif" w:hAnsi="Times New Roman;serif"/>
                  <w:b w:val="false"/>
                  <w:strike w:val="false"/>
                  <w:dstrike w:val="false"/>
                  <w:color w:val="000000"/>
                  <w:sz w:val="20"/>
                  <w:u w:val="none"/>
                  <w:effect w:val="none"/>
                </w:rPr>
                <w:t>78</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72">
              <w:r>
                <w:rPr>
                  <w:rStyle w:val="InternetLink"/>
                  <w:rFonts w:ascii="Times New Roman;serif" w:hAnsi="Times New Roman;serif"/>
                  <w:b w:val="false"/>
                  <w:strike w:val="false"/>
                  <w:dstrike w:val="false"/>
                  <w:color w:val="000000"/>
                  <w:sz w:val="20"/>
                  <w:u w:val="none"/>
                  <w:effect w:val="none"/>
                </w:rPr>
                <w:t>Item 9.</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7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72">
              <w:r>
                <w:rPr>
                  <w:rStyle w:val="InternetLink"/>
                  <w:rFonts w:ascii="Times New Roman;serif" w:hAnsi="Times New Roman;serif"/>
                  <w:b w:val="false"/>
                  <w:strike w:val="false"/>
                  <w:dstrike w:val="false"/>
                  <w:color w:val="000000"/>
                  <w:sz w:val="20"/>
                  <w:u w:val="none"/>
                  <w:effect w:val="none"/>
                </w:rPr>
                <w:t>114</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75">
              <w:r>
                <w:rPr>
                  <w:rStyle w:val="InternetLink"/>
                  <w:rFonts w:ascii="Times New Roman;serif" w:hAnsi="Times New Roman;serif"/>
                  <w:b w:val="false"/>
                  <w:strike w:val="false"/>
                  <w:dstrike w:val="false"/>
                  <w:color w:val="000000"/>
                  <w:sz w:val="20"/>
                  <w:u w:val="none"/>
                  <w:effect w:val="none"/>
                </w:rPr>
                <w:t>Item 9A.</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75">
              <w:r>
                <w:rPr>
                  <w:rStyle w:val="InternetLink"/>
                  <w:rFonts w:ascii="Times New Roman;serif" w:hAnsi="Times New Roman;serif"/>
                  <w:b w:val="false"/>
                  <w:color w:val="0000FF"/>
                  <w:sz w:val="20"/>
                  <w:u w:val="single"/>
                </w:rPr>
                <w:t>Controls and Procedures</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75">
              <w:r>
                <w:rPr>
                  <w:rStyle w:val="InternetLink"/>
                  <w:rFonts w:ascii="Times New Roman;serif" w:hAnsi="Times New Roman;serif"/>
                  <w:b w:val="false"/>
                  <w:strike w:val="false"/>
                  <w:dstrike w:val="false"/>
                  <w:color w:val="000000"/>
                  <w:sz w:val="20"/>
                  <w:u w:val="none"/>
                  <w:effect w:val="none"/>
                </w:rPr>
                <w:t>114</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78">
              <w:r>
                <w:rPr>
                  <w:rStyle w:val="InternetLink"/>
                  <w:rFonts w:ascii="Times New Roman;serif" w:hAnsi="Times New Roman;serif"/>
                  <w:b w:val="false"/>
                  <w:strike w:val="false"/>
                  <w:dstrike w:val="false"/>
                  <w:color w:val="000000"/>
                  <w:sz w:val="20"/>
                  <w:u w:val="none"/>
                  <w:effect w:val="none"/>
                </w:rPr>
                <w:t>Item 9B.</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78">
              <w:r>
                <w:rPr>
                  <w:rStyle w:val="InternetLink"/>
                  <w:rFonts w:ascii="Times New Roman;serif" w:hAnsi="Times New Roman;serif"/>
                  <w:b w:val="false"/>
                  <w:color w:val="0000FF"/>
                  <w:sz w:val="20"/>
                  <w:u w:val="single"/>
                </w:rPr>
                <w:t>Other Information</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78">
              <w:r>
                <w:rPr>
                  <w:rStyle w:val="InternetLink"/>
                  <w:rFonts w:ascii="Times New Roman;serif" w:hAnsi="Times New Roman;serif"/>
                  <w:b w:val="false"/>
                  <w:strike w:val="false"/>
                  <w:dstrike w:val="false"/>
                  <w:color w:val="000000"/>
                  <w:sz w:val="20"/>
                  <w:u w:val="none"/>
                  <w:effect w:val="none"/>
                </w:rPr>
                <w:t>115</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81">
              <w:r>
                <w:rPr>
                  <w:rStyle w:val="InternetLink"/>
                  <w:rFonts w:ascii="Times New Roman;serif" w:hAnsi="Times New Roman;serif"/>
                  <w:b w:val="false"/>
                  <w:strike w:val="false"/>
                  <w:dstrike w:val="false"/>
                  <w:color w:val="000000"/>
                  <w:sz w:val="20"/>
                  <w:u w:val="none"/>
                  <w:effect w:val="none"/>
                </w:rPr>
                <w:t>Item 9C.</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81">
              <w:r>
                <w:rPr>
                  <w:rStyle w:val="InternetLink"/>
                  <w:rFonts w:ascii="Times New Roman;serif" w:hAnsi="Times New Roman;serif"/>
                  <w:b w:val="false"/>
                  <w:color w:val="0000FF"/>
                  <w:sz w:val="20"/>
                  <w:u w:val="single"/>
                </w:rPr>
                <w:t>Disclosure Regarding Foreign Jurisdictions that Prevent Inspections</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81">
              <w:r>
                <w:rPr>
                  <w:rStyle w:val="InternetLink"/>
                  <w:rFonts w:ascii="Times New Roman;serif" w:hAnsi="Times New Roman;serif"/>
                  <w:b w:val="false"/>
                  <w:strike w:val="false"/>
                  <w:dstrike w:val="false"/>
                  <w:color w:val="000000"/>
                  <w:sz w:val="20"/>
                  <w:u w:val="none"/>
                  <w:effect w:val="none"/>
                </w:rPr>
                <w:t>115</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84">
              <w:r>
                <w:rPr>
                  <w:rStyle w:val="InternetLink"/>
                  <w:rFonts w:ascii="Times New Roman;serif" w:hAnsi="Times New Roman;serif"/>
                  <w:b/>
                  <w:color w:val="0000FF"/>
                  <w:sz w:val="20"/>
                  <w:u w:val="single"/>
                </w:rPr>
                <w:t>Part III</w:t>
              </w:r>
            </w:hyperlink>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84">
              <w:r>
                <w:rPr>
                  <w:rStyle w:val="InternetLink"/>
                  <w:rFonts w:ascii="Times New Roman;serif" w:hAnsi="Times New Roman;serif"/>
                  <w:b w:val="false"/>
                  <w:strike w:val="false"/>
                  <w:dstrike w:val="false"/>
                  <w:color w:val="000000"/>
                  <w:sz w:val="20"/>
                  <w:u w:val="none"/>
                  <w:effect w:val="none"/>
                </w:rPr>
                <w:t>115</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87">
              <w:r>
                <w:rPr>
                  <w:rStyle w:val="InternetLink"/>
                  <w:rFonts w:ascii="Times New Roman;serif" w:hAnsi="Times New Roman;serif"/>
                  <w:b w:val="false"/>
                  <w:strike w:val="false"/>
                  <w:dstrike w:val="false"/>
                  <w:color w:val="000000"/>
                  <w:sz w:val="20"/>
                  <w:u w:val="none"/>
                  <w:effect w:val="none"/>
                </w:rPr>
                <w:t>Item 10.</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87">
              <w:r>
                <w:rPr>
                  <w:rStyle w:val="InternetLink"/>
                  <w:rFonts w:ascii="Times New Roman;serif" w:hAnsi="Times New Roman;serif"/>
                  <w:b w:val="false"/>
                  <w:color w:val="0000FF"/>
                  <w:sz w:val="20"/>
                  <w:u w:val="single"/>
                </w:rPr>
                <w:t>Directors, Executive Officers and Corporate Governance</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87">
              <w:r>
                <w:rPr>
                  <w:rStyle w:val="InternetLink"/>
                  <w:rFonts w:ascii="Times New Roman;serif" w:hAnsi="Times New Roman;serif"/>
                  <w:b w:val="false"/>
                  <w:strike w:val="false"/>
                  <w:dstrike w:val="false"/>
                  <w:color w:val="000000"/>
                  <w:sz w:val="20"/>
                  <w:u w:val="none"/>
                  <w:effect w:val="none"/>
                </w:rPr>
                <w:t>115</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0">
              <w:r>
                <w:rPr>
                  <w:rStyle w:val="InternetLink"/>
                  <w:rFonts w:ascii="Times New Roman;serif" w:hAnsi="Times New Roman;serif"/>
                  <w:b w:val="false"/>
                  <w:strike w:val="false"/>
                  <w:dstrike w:val="false"/>
                  <w:color w:val="000000"/>
                  <w:sz w:val="20"/>
                  <w:u w:val="none"/>
                  <w:effect w:val="none"/>
                </w:rPr>
                <w:t>Item 11.</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0">
              <w:r>
                <w:rPr>
                  <w:rStyle w:val="InternetLink"/>
                  <w:rFonts w:ascii="Times New Roman;serif" w:hAnsi="Times New Roman;serif"/>
                  <w:b w:val="false"/>
                  <w:color w:val="0000FF"/>
                  <w:sz w:val="20"/>
                  <w:u w:val="single"/>
                </w:rPr>
                <w:t>Executive Compensation</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90">
              <w:r>
                <w:rPr>
                  <w:rStyle w:val="InternetLink"/>
                  <w:rFonts w:ascii="Times New Roman;serif" w:hAnsi="Times New Roman;serif"/>
                  <w:b w:val="false"/>
                  <w:strike w:val="false"/>
                  <w:dstrike w:val="false"/>
                  <w:color w:val="000000"/>
                  <w:sz w:val="20"/>
                  <w:u w:val="none"/>
                  <w:effect w:val="none"/>
                </w:rPr>
                <w:t>115</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3">
              <w:r>
                <w:rPr>
                  <w:rStyle w:val="InternetLink"/>
                  <w:rFonts w:ascii="Times New Roman;serif" w:hAnsi="Times New Roman;serif"/>
                  <w:b w:val="false"/>
                  <w:strike w:val="false"/>
                  <w:dstrike w:val="false"/>
                  <w:color w:val="000000"/>
                  <w:sz w:val="20"/>
                  <w:u w:val="none"/>
                  <w:effect w:val="none"/>
                </w:rPr>
                <w:t>Item 12.</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3">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93">
              <w:r>
                <w:rPr>
                  <w:rStyle w:val="InternetLink"/>
                  <w:rFonts w:ascii="Times New Roman;serif" w:hAnsi="Times New Roman;serif"/>
                  <w:b w:val="false"/>
                  <w:strike w:val="false"/>
                  <w:dstrike w:val="false"/>
                  <w:color w:val="000000"/>
                  <w:sz w:val="20"/>
                  <w:u w:val="none"/>
                  <w:effect w:val="none"/>
                </w:rPr>
                <w:t>115</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6">
              <w:r>
                <w:rPr>
                  <w:rStyle w:val="InternetLink"/>
                  <w:rFonts w:ascii="Times New Roman;serif" w:hAnsi="Times New Roman;serif"/>
                  <w:b w:val="false"/>
                  <w:strike w:val="false"/>
                  <w:dstrike w:val="false"/>
                  <w:color w:val="000000"/>
                  <w:sz w:val="20"/>
                  <w:u w:val="none"/>
                  <w:effect w:val="none"/>
                </w:rPr>
                <w:t>Item 13.</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6">
              <w:r>
                <w:rPr>
                  <w:rStyle w:val="InternetLink"/>
                  <w:rFonts w:ascii="Times New Roman;serif" w:hAnsi="Times New Roman;serif"/>
                  <w:b w:val="false"/>
                  <w:color w:val="0000FF"/>
                  <w:sz w:val="20"/>
                  <w:u w:val="single"/>
                </w:rPr>
                <w:t>Certain Relationships and Related Transactions, and Director Independence</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96">
              <w:r>
                <w:rPr>
                  <w:rStyle w:val="InternetLink"/>
                  <w:rFonts w:ascii="Times New Roman;serif" w:hAnsi="Times New Roman;serif"/>
                  <w:b w:val="false"/>
                  <w:strike w:val="false"/>
                  <w:dstrike w:val="false"/>
                  <w:color w:val="000000"/>
                  <w:sz w:val="20"/>
                  <w:u w:val="none"/>
                  <w:effect w:val="none"/>
                </w:rPr>
                <w:t>115</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9">
              <w:r>
                <w:rPr>
                  <w:rStyle w:val="InternetLink"/>
                  <w:rFonts w:ascii="Times New Roman;serif" w:hAnsi="Times New Roman;serif"/>
                  <w:b w:val="false"/>
                  <w:strike w:val="false"/>
                  <w:dstrike w:val="false"/>
                  <w:color w:val="000000"/>
                  <w:sz w:val="20"/>
                  <w:u w:val="none"/>
                  <w:effect w:val="none"/>
                </w:rPr>
                <w:t>Item 14.</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99">
              <w:r>
                <w:rPr>
                  <w:rStyle w:val="InternetLink"/>
                  <w:rFonts w:ascii="Times New Roman;serif" w:hAnsi="Times New Roman;serif"/>
                  <w:b w:val="false"/>
                  <w:color w:val="0000FF"/>
                  <w:sz w:val="20"/>
                  <w:u w:val="single"/>
                </w:rPr>
                <w:t>Principal Accountant Fees and Services</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99">
              <w:r>
                <w:rPr>
                  <w:rStyle w:val="InternetLink"/>
                  <w:rFonts w:ascii="Times New Roman;serif" w:hAnsi="Times New Roman;serif"/>
                  <w:b w:val="false"/>
                  <w:strike w:val="false"/>
                  <w:dstrike w:val="false"/>
                  <w:color w:val="000000"/>
                  <w:sz w:val="20"/>
                  <w:u w:val="none"/>
                  <w:effect w:val="none"/>
                </w:rPr>
                <w:t>115</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02">
              <w:r>
                <w:rPr>
                  <w:rStyle w:val="InternetLink"/>
                  <w:rFonts w:ascii="Times New Roman;serif" w:hAnsi="Times New Roman;serif"/>
                  <w:b/>
                  <w:color w:val="0000FF"/>
                  <w:sz w:val="20"/>
                  <w:u w:val="single"/>
                </w:rPr>
                <w:t>Part IV</w:t>
              </w:r>
            </w:hyperlink>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202">
              <w:r>
                <w:rPr>
                  <w:rStyle w:val="InternetLink"/>
                  <w:rFonts w:ascii="Times New Roman;serif" w:hAnsi="Times New Roman;serif"/>
                  <w:b w:val="false"/>
                  <w:strike w:val="false"/>
                  <w:dstrike w:val="false"/>
                  <w:color w:val="000000"/>
                  <w:sz w:val="20"/>
                  <w:u w:val="none"/>
                  <w:effect w:val="none"/>
                </w:rPr>
                <w:t>116</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05">
              <w:r>
                <w:rPr>
                  <w:rStyle w:val="InternetLink"/>
                  <w:rFonts w:ascii="Times New Roman;serif" w:hAnsi="Times New Roman;serif"/>
                  <w:b w:val="false"/>
                  <w:strike w:val="false"/>
                  <w:dstrike w:val="false"/>
                  <w:color w:val="000000"/>
                  <w:sz w:val="20"/>
                  <w:u w:val="none"/>
                  <w:effect w:val="none"/>
                </w:rPr>
                <w:t>Item 15.</w:t>
              </w:r>
            </w:hyperlink>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05">
              <w:r>
                <w:rPr>
                  <w:rStyle w:val="InternetLink"/>
                  <w:rFonts w:ascii="Times New Roman;serif" w:hAnsi="Times New Roman;serif"/>
                  <w:b w:val="false"/>
                  <w:color w:val="0000FF"/>
                  <w:sz w:val="20"/>
                  <w:u w:val="single"/>
                </w:rPr>
                <w:t>Exhibits and Financial Statement Schedules</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205">
              <w:r>
                <w:rPr>
                  <w:rStyle w:val="InternetLink"/>
                  <w:rFonts w:ascii="Times New Roman;serif" w:hAnsi="Times New Roman;serif"/>
                  <w:b w:val="false"/>
                  <w:strike w:val="false"/>
                  <w:dstrike w:val="false"/>
                  <w:color w:val="000000"/>
                  <w:sz w:val="20"/>
                  <w:u w:val="none"/>
                  <w:effect w:val="none"/>
                </w:rPr>
                <w:t>116</w:t>
              </w:r>
            </w:hyperlink>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08">
              <w:r>
                <w:rPr>
                  <w:rStyle w:val="InternetLink"/>
                  <w:rFonts w:ascii="Times New Roman;serif" w:hAnsi="Times New Roman;serif"/>
                  <w:b w:val="false"/>
                  <w:strike w:val="false"/>
                  <w:dstrike w:val="false"/>
                  <w:color w:val="000000"/>
                  <w:sz w:val="20"/>
                  <w:u w:val="none"/>
                  <w:effect w:val="none"/>
                </w:rPr>
                <w:t>Item 16.</w:t>
              </w:r>
            </w:hyperlink>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08">
              <w:r>
                <w:rPr>
                  <w:rStyle w:val="InternetLink"/>
                  <w:rFonts w:ascii="Times New Roman;serif" w:hAnsi="Times New Roman;serif"/>
                  <w:b w:val="false"/>
                  <w:color w:val="0000FF"/>
                  <w:sz w:val="20"/>
                  <w:u w:val="single"/>
                </w:rPr>
                <w:t>Form 10-K Summary</w:t>
              </w:r>
            </w:hyperlink>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208">
              <w:r>
                <w:rPr>
                  <w:rStyle w:val="InternetLink"/>
                  <w:rFonts w:ascii="Times New Roman;serif" w:hAnsi="Times New Roman;serif"/>
                  <w:b w:val="false"/>
                  <w:strike w:val="false"/>
                  <w:dstrike w:val="false"/>
                  <w:color w:val="000000"/>
                  <w:sz w:val="20"/>
                  <w:u w:val="none"/>
                  <w:effect w:val="none"/>
                </w:rPr>
                <w:t>119</w:t>
              </w:r>
            </w:hyperlink>
          </w:p>
        </w:tc>
      </w:tr>
      <w:tr>
        <w:trPr/>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211">
              <w:r>
                <w:rPr>
                  <w:rStyle w:val="InternetLink"/>
                  <w:rFonts w:ascii="Times New Roman;serif" w:hAnsi="Times New Roman;serif"/>
                  <w:b w:val="false"/>
                  <w:color w:val="0000FF"/>
                  <w:sz w:val="20"/>
                  <w:u w:val="single"/>
                </w:rPr>
                <w:t>Signatures</w:t>
              </w:r>
            </w:hyperlink>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211">
              <w:r>
                <w:rPr>
                  <w:rStyle w:val="InternetLink"/>
                  <w:rFonts w:ascii="Times New Roman;serif" w:hAnsi="Times New Roman;serif"/>
                  <w:b w:val="false"/>
                  <w:strike w:val="false"/>
                  <w:dstrike w:val="false"/>
                  <w:color w:val="000000"/>
                  <w:sz w:val="20"/>
                  <w:u w:val="none"/>
                  <w:effect w:val="none"/>
                </w:rPr>
                <w:t>120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69240"/>
                <wp:effectExtent l="0" t="0" r="0" b="0"/>
                <wp:wrapNone/>
                <wp:docPr id="2" name="Frame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Annual Report on Form 10-K includes forward-looking statements within the meaning of Section 27A of the Securities Act of 1933, as amended (the “Securities Act”), and Section 21E of the Securities Exchange Act of 1934, as amended (the “Exchange Act”) and subject to the safe harbor created by the Private Securities Litigation Reform Act of 1995,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Annual Report on Form 10-K include, but are not limited to, statements about: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international conflicts, pandemics or epidemics on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general conditions in the global economy and in the global financial markets, including changes in inflation, interest rates, tariffs, retaliatory trade policies including limitations of shipments of products, and overall economic conditions and uncertainties;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maintaining the listing of our Class A common stock on The Nasdaq Stock Market LLC;</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success, cost and timing of our product development and commercialization activities;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commercialization and adoption of our existing products, including our Platinum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instruments and our consumable kits, and the success of any product we may offer in the future;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for our products, and any related restrictions and limitations of any approved product;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identify, in-license or acquire additional technology;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maintain our existing lease, license, manufacture and supply agreements;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size and growth potential of the markets for our products and services, and our ability to serve those markets once commercialized, either alone or in partnership with others;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estimates regarding future expenses, future revenue, capital requirements and needs for additional financing;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in this Annual Report on Form 10-K as filed with the Securities and Exchange Commissions (the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69240"/>
                <wp:effectExtent l="0" t="0" r="0" b="0"/>
                <wp:wrapNone/>
                <wp:docPr id="3" name="Frame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their entirety by the foregoing cautionary statements. We undertake no obligation to update or revise publicly any forward-looking statements, whether as a result of new information, future events or otherwise,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69240"/>
                <wp:effectExtent l="0" t="0" r="0" b="0"/>
                <wp:wrapNone/>
                <wp:docPr id="4" name="Frame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SUMMARY OF RISK FACTORS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References in the summary below to “we”, “us”, “our” the “Company” and “Quantum-Si” refer to Quantum-Si Incorporated and its subsidiaries.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risks and uncertainties include, but are not limited to, the following:</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Financial Condition and Capital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are an early-stage life sciences technology company with a history of net losses and negative cash flow, which we expect to continue, and we may not be able to generate meaningful revenues or achieve and sustain profitability or positive cash flow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have a limited operating history, which may make it difficult to evaluate the prospects for our future viability and predict our future performance. As such, you cannot rely upon our historical operating performance to make an investment or voting decision regarding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may need to raise additional capital to fund ongoing research and development, operating activities, and commercialization activities.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Business and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may not gain commercial traction for our current products, and we may not be able to successfully commercially launch other future products.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development and launch of new products may slow or stop existing product revenue in anticipation of superior technology that is pending launch.</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Proteus</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platform (“Proteus”) is anticipated to be commercially available by the end of 2026, with an expectation of customer-focused applications and capabilities. If Proteus is not launched within our communicated time frame, or is delivered without the customer-focused applications and capabilities, it could materially impact any potential of long-term financial success and our market credibility.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If we are unable to establish superior sales and marketing capabilities, we may not be successful in commercializing our products.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size of the markets for our products may be smaller than estimated, and new market opportunities may not develop as quickly as we expect, or at all, limiting our ability to successfully sell our products.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Our use of artificial intelligence and machine learning is subject to evolving laws and regulations and risks associated with unauthorized use, and may not result in the competitive advantages desired, all of which could expose us to competitive risk and legal liability.</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Unfavorable global economic conditions, retaliatory economic policies, or other geopolitical conditions associated with intra-country economics and policies could adversely affect our business, financial condition or results of operations.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If we do not sustain or successfully manage our anticipated growth, our business and prospects will be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Recently and in the past, we have undergone leadership transitions and an internal restructuring, and we depend on our key personnel and other highly qualified personnel, and if we are unable to recruit, train and retain our personnel in the future, we may not achieve our goals.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business will depend significantly on research and development spending by academic institutions and other research institutions, and any reduction in spending, driven by these customers or other third-party funding sources such as the National Institutes of Health, could limit demand for our products and adversely affect our business, results of operations, financial condition and prospects.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rely on certain contract manufacturers to manufacture and supply our instruments, components of our instruments, and certain components of our consumable offerings. If these manufacturers should fail or not perform satisfactorily, or for economic or other reasons choose to end business with us, our ability to commercialize and supply our instruments and consumable offerings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69240"/>
                <wp:effectExtent l="0" t="0" r="0" b="0"/>
                <wp:wrapNone/>
                <wp:docPr id="5" name="Frame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internal manufacturing equipment is specialized with limited vendor options and long lead times. If these pieces of equipment were to stop working and be unable to be repaired in a timely manner or at all, our ability to manufacturer our semiconductor chips would be adversely affected.</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 portion of our revenue is generated through a number of key channel partners, and the loss of any such channel partner could adversely impact our business and our results of operations could suffer.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If we do not successfully develop and maintain our Platinum Analysis Software service, our commercialization efforts and therefore business and results of operations could suffer.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Commercializing our products outside of the United States could expose us to business, regulatory, political, operational, financial, and economic risks associated with doing business outside of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rely on third-party foundries to produce silicon wafers, which when packaged and tested internally, lead to our supply of semiconductor chips. If these third-party foundries should fail or not perform satisfactorily, our ability to supply semiconductor chips would be negatively and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life sciences technology market is highly competitive. If we fail to compete effectively, our business and results of operations will suffer.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may acquire other companies or technologies which could divert our management’s attention, result in additional dilution to our stockholders and otherwise disrupt our operations and harm our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If we experience a significant disruption in our information technology systems, including our Platinum Analysis Software services, or cybersecurity incidents, our business could be adversely affected.</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Government Regulation</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research use only (“RUO”) products could become subject to government regulation as medical devices by the U.S. Food and Drug Administration (“FDA”) and other regulatory agencies even if we do not elect to seek regulatory authorization to market our products for diagnostic purposes, which would adversely impact our ability to market and sell our products and harm our business.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reagents may be used by clinical laboratories to create Laboratory-Developed Tests (“LDTs”), which could, in the future, become subject to some form of FDA or other regulatory requirements, which could materially and adversely affect our business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are currently subject to, and may in the future become subject to, both U.S. federal and state laws and regulations as well as international laws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Intellectual Property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If we are unable to protect the confidentiality of our trade secrets, the value of our technology could be materially adversely affected, and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69240"/>
                <wp:effectExtent l="0" t="0" r="0" b="0"/>
                <wp:wrapNone/>
                <wp:docPr id="6" name="Frame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Patent terms may be inadequate to protect our competitive position on our products for an adequate amount of time.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Securities and to Being a Public Company</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shd w:fill="FFFFFF" w:val="clear"/>
        </w:rPr>
        <w:t>Our outstanding warrants became exercisable for our Class A common stock in September 2021, which increased the number of shares eligible for future resale in the public market and could result in dilution to our stockholders if exercised.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We have in the past experienced material weaknesses in our internal control over financial reporting, and if we experience such material weaknesses in our internal control over financial reporting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Our disclosure controls and procedures may not prevent or detect all errors or acts of fraud.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Because we are a “controlled company” within the meaning of the Nasdaq rules, our stockholders may not have certain corporate governance protections that are available to stockholders of companies that are not controlled companies.</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We could fail to maintain the listing of our Class A common stock on the Nasdaq Stock Market LLC, which could seriously harm the liquidity of our shares and our ability to raise capital or complete a strategic transaction.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The dual class structure of our common stock has the effect of concentrating voting power with our Founder, who is also on our Board of Directors, which will limit an investor’s ability to influence the outcome of important transactions, including a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69240"/>
                <wp:effectExtent l="0" t="0" r="0" b="0"/>
                <wp:wrapNone/>
                <wp:docPr id="7" name="Frame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ind w:left="0" w:right="0" w:hanging="10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40" w:after="283"/>
        <w:jc w:val="both"/>
        <w:rPr/>
      </w:pPr>
      <w:r>
        <w:rPr>
          <w:rFonts w:ascii="Times New Roman;serif" w:hAnsi="Times New Roman;serif"/>
          <w:b w:val="false"/>
          <w:color w:val="000000"/>
          <w:sz w:val="20"/>
        </w:rPr>
        <w:t xml:space="preserve">Quantum-Si Incorporated </w:t>
      </w:r>
      <w:r>
        <w:rPr>
          <w:rFonts w:ascii="Times New Roman;serif" w:hAnsi="Times New Roman;serif"/>
          <w:b w:val="false"/>
          <w:color w:val="000000"/>
          <w:sz w:val="20"/>
          <w:shd w:fill="FFFFFF" w:val="clear"/>
        </w:rPr>
        <w:t>(including its subsidiaries, “Quantum-Si”, “QSI”, or the “Company”)</w:t>
      </w:r>
      <w:r>
        <w:rPr>
          <w:color w:val="000000"/>
        </w:rPr>
        <w:t xml:space="preserve"> </w:t>
      </w:r>
      <w:r>
        <w:rPr>
          <w:rFonts w:ascii="Times New Roman;serif" w:hAnsi="Times New Roman;serif"/>
          <w:b w:val="false"/>
          <w:color w:val="000000"/>
          <w:sz w:val="20"/>
        </w:rPr>
        <w:t>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pStyle w:val="TextBody"/>
        <w:bidi w:val="0"/>
        <w:spacing w:lineRule="auto" w:line="288" w:before="240" w:after="283"/>
        <w:jc w:val="both"/>
        <w:rPr/>
      </w:pPr>
      <w:r>
        <w:rPr>
          <w:rFonts w:ascii="Times New Roman;serif" w:hAnsi="Times New Roman;serif"/>
          <w:b w:val="false"/>
          <w:color w:val="000000"/>
          <w:sz w:val="20"/>
        </w:rPr>
        <w:t>We are a life sciences company focused on proteomics research, with the mission of transforming single-molecule analysis and democratizing its use by providing researchers and clinicians access to the proteome, the set of proteins expressed within a cell. We have developed a proprietary, universal, single-molecule detection platform that we are applying to proteomics to enable next-gen protein sequencing (“NGPS”) to sequence proteins in a massively parallel fashion (rather than sequentially, one at a time), which can also be used for the study of nucleic acids. We believe in the ability to sequence proteins in a massively parallel fashion and offer a fast analysis time which provides NGPS with the potential to unlock significant biological information through improved resolution and unbiased access to the proteome at a speed and scale not available today. Traditionally, proteomic workflows to sequence proteins required days or weeks to complete. Our current platform includes our Platinum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NGPS line of instruments, Platinum Analysis Software and consumable kits for use with our Platinum line of instruments. 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began a controlled launch of the Platinum instrument and started to take orders in December 2022, subsequently began a controlled commercial launch of Platinum in January 2023 and then moved to a full commercial launch of Platinum beginning in the second quarter of 2024. In January 2025, we announced the launch of our Platinum Pro benchtop sequencer. First shipments of Platinum Pro occurred in March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our platform offers a differentiated solution in a rapidly evolving proteomics tools market. Within our initial focus market of proteomics, our platform is designed to provide users a seamless opportunity to gain key insights into the immediate state of biological pathways and cell state. Our platform aims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is designed to streamline sequencing and data analysis at a lower instrument cost and with greater automation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team has decades of cumulative experience in developing, commercializing and scaling tools in the life sciences industry. Our management team has previously employed similar approaches at other companies to launch other disruptive technologies, including market leading next-generation DNA sequencing technologies. We believe this experience will allow us to introduce our platform in a structured manner to demonstrate its use, value and practicality, while working directly with our customers, to help ensure a positive experience.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2025, we presented an updated technology and product roadmap that we believe positions us to be a leader in proteomics, including instrumentation, consumable kits and software tools. We intend to continue to execute on this roadmap through a combination of internal development programs and external partnerships to bring to market the most comprehensive proteomics platform in our industry.</w:t>
      </w:r>
    </w:p>
    <w:p>
      <w:pPr>
        <w:pStyle w:val="TextBody"/>
        <w:bidi w:val="0"/>
        <w:spacing w:lineRule="auto" w:line="288" w:before="240" w:after="283"/>
        <w:jc w:val="both"/>
        <w:rPr/>
      </w:pPr>
      <w:r>
        <w:rPr>
          <w:rFonts w:ascii="Times New Roman;serif" w:hAnsi="Times New Roman;serif"/>
          <w:b w:val="false"/>
          <w:color w:val="000000"/>
          <w:sz w:val="20"/>
        </w:rPr>
        <w:t>Most importantly, this roadmap includes the development of Proteus</w:t>
      </w:r>
      <w:r>
        <w:rPr>
          <w:rFonts w:ascii="Times New Roman;serif" w:hAnsi="Times New Roman;serif"/>
          <w:b w:val="false"/>
          <w:color w:val="000000"/>
          <w:sz w:val="13"/>
        </w:rPr>
        <w:t>TM</w:t>
      </w:r>
      <w:r>
        <w:rPr>
          <w:rFonts w:ascii="Times New Roman;serif" w:hAnsi="Times New Roman;serif"/>
          <w:b w:val="false"/>
          <w:color w:val="000000"/>
          <w:sz w:val="20"/>
        </w:rPr>
        <w:t xml:space="preserve">, our next-generation platform, which was announced in November 2024, and that we anticipate launching by the end of 2026. Proteus aims to provide single-molecule, amino acid level resolution while also providing significantly higher sequencing output per sample, increased sample throughout per run, automation of the sequencing workflow and automated data analysis as compared to Platinum Pro. The Proteus platform is being developed to be a modular, scalable system that allows for expansion in the overall platform, the number of consumables that can be processed concurrently and the overall output of sample data from the platform. The first generation of Proteus and associated sequencing consumables are anticipated to include motion control, liquid handling, and a new on-board single optical system with the ability to accept a new consumable chip that has approximately 80 million features. We believe this new platform will provide much deeper insights while simplifying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69240"/>
                <wp:effectExtent l="0" t="0" r="0" b="0"/>
                <wp:wrapNone/>
                <wp:docPr id="8" name="Frame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significantly reducing the cost of the underlying consumable. In addition, during our presentation in November 2025, we provided data demonstrating the wide range of potential proteomics applications that are addressable with our proprietary, single-molecule, kinetic detection technology.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Once launched, we believe that Proteus will be the most comprehensive proteomics platform in our industry.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Importance of Proteomics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human proteome is diverse, complex and dynamic, with multiple protein variants derived from each gene due to multiple biological steps required to generate the functional proteome, including transcription, translation and post-translational modifications (“PTMs”). While our genomes contain approximately 20,000 genes, current estimates are that these genes ultimately code for more than 1,000,000 different protein variants called proteoforms. Thus, most of the diversity that exists in our cells comes from proteins, which are organic compounds made up of amino acids. Aside from water, the majority of the molecules in our bodies are comprised of proteins, which play a central role in the body’s biological processes, from the immune system response, signaling pathways to transporting oxygen molecules and providing our cells with structure. Proteins or a group of interacting proteins are responsible for virtually every biological function within a living organism. Unlike the genome, the proteome is in constant flux depending on the state of the cell. However, even with the knowledge of the proteome’s influence, the proteome remains largely unexplored relative to the genome. Over the past decades, genomics has ushered in a greater understanding of human biology and disease through the decoding of the human genome, providing a greater understanding of the genes that lay out the instructions for the function, development and reproduction of organisms. While genomics has allowed the interrogation of genetic variation, protein variants hold information yet to be explored or connected to the network of genomic knowledge to better understand cellular function and disease. The protein’s elaborate structure, complicated composition, and vast number of variants, provide a dynamic look into the functions they provide. For example, proteins function as antibodies that bind to specific particles like viruses to protect the body; they act as enzymes to carry out chemical reactions in cells; they act as messengers like hormones to transmit signals; they exist as structural components; and form the basis for storage to carry additional molecules throughout the body.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Proteomic discovery provides insight into what is immediately happening biologically. This insight may be based on both genetic and environmental factors that influence protein structure and function. Given their dynamic nature, proteins, while complex structures, are an excellent indicator that we believe can be used to track therapeutic response, disease progression and a person’s overall health. In a sense, DNA tells us “what could happen” and proteins tell us “what is happening.”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our products are limited to RUO applications, we note that proteomics tools have been broadly used across a wide range of applications,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Systems biology</w:t>
      </w:r>
      <w:r>
        <w:rPr>
          <w:rFonts w:ascii="Times New Roman;serif" w:hAnsi="Times New Roman;serif"/>
          <w:b w:val="false"/>
          <w:color w:val="000000"/>
          <w:sz w:val="20"/>
        </w:rPr>
        <w:t>: system-wide investigations of disease pathways to identify biomarkers, drug action, toxicity, efficacy and resistance;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Drug discovery and development</w:t>
      </w:r>
      <w:r>
        <w:rPr>
          <w:rFonts w:ascii="Times New Roman;serif" w:hAnsi="Times New Roman;serif"/>
          <w:b w:val="false"/>
          <w:color w:val="000000"/>
          <w:sz w:val="20"/>
        </w:rPr>
        <w:t>: identification of drug candidates, novel drug delivery systems, and aid in drug development including potential clinical applications;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Biomarker discovery</w:t>
      </w:r>
      <w:r>
        <w:rPr>
          <w:rFonts w:ascii="Times New Roman;serif" w:hAnsi="Times New Roman;serif"/>
          <w:b w:val="false"/>
          <w:color w:val="000000"/>
          <w:sz w:val="20"/>
        </w:rPr>
        <w:t>: identification of protein markers for disease identification and management;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Personalized medicine</w:t>
      </w:r>
      <w:r>
        <w:rPr>
          <w:rFonts w:ascii="Times New Roman;serif" w:hAnsi="Times New Roman;serif"/>
          <w:b w:val="false"/>
          <w:color w:val="000000"/>
          <w:sz w:val="20"/>
        </w:rPr>
        <w:t>: tailoring of disease treatment based real-time proteomic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Industry / agriculture</w:t>
      </w:r>
      <w:r>
        <w:rPr>
          <w:rFonts w:ascii="Times New Roman;serif" w:hAnsi="Times New Roman;serif"/>
          <w:b w:val="false"/>
          <w:color w:val="000000"/>
          <w:sz w:val="20"/>
        </w:rPr>
        <w:t>: bioproduction and study of plant-pathogen interaction (e.g. crop engineering for drought resistance);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Food science</w:t>
      </w:r>
      <w:r>
        <w:rPr>
          <w:rFonts w:ascii="Times New Roman;serif" w:hAnsi="Times New Roman;serif"/>
          <w:b w:val="false"/>
          <w:color w:val="000000"/>
          <w:sz w:val="20"/>
        </w:rPr>
        <w:t>: identification of allergies, understanding an improvement of nutritional values and food quality and safety control;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Defense</w:t>
      </w:r>
      <w:r>
        <w:rPr>
          <w:rFonts w:ascii="Times New Roman;serif" w:hAnsi="Times New Roman;serif"/>
          <w:b w:val="false"/>
          <w:color w:val="000000"/>
          <w:sz w:val="20"/>
        </w:rPr>
        <w:t>: screening of potential harmful substances and compounds, including potential early detection applications.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Limitations of Legacy Proteomic Technologies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is higher diversity and level of complexity related to proteins than genes. Depending on the combination of genes, specific proteins are built to perform specialized functions in the body. A single gene can encode multiple proteoforms depending on the role the protein will ultimately play in the cell. Protein synthesis happens in two stages. First is transcription, where DNA is converted into messenger RNA (“RNA”). Second is translation, where a cell’s ribosomes read the RNA instructions to assemble the protein. An increase in the complexity of the proteome is facilitated by post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69240"/>
                <wp:effectExtent l="0" t="0" r="0" b="0"/>
                <wp:wrapNone/>
                <wp:docPr id="9" name="Frame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translational modifications (“PTMs”) where pieces of the protein are modified to either activate or inactivate the protein as part of a signaling pathway to localize the protein to a certain cellular compartment. Legacy proteomic techniques can be grouped into three general categories: Mass Spectrometry, Affinity-based Methods and Sequencing via Edman Degradation.</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Mass Spectrometry.</w:t>
      </w:r>
      <w:r>
        <w:rPr>
          <w:color w:val="000000"/>
        </w:rPr>
        <w:t xml:space="preserve"> </w:t>
      </w:r>
      <w:r>
        <w:rPr>
          <w:rFonts w:ascii="Times New Roman;serif" w:hAnsi="Times New Roman;serif"/>
          <w:b w:val="false"/>
          <w:color w:val="000000"/>
          <w:sz w:val="20"/>
        </w:rPr>
        <w:t>MS is a method for the mass determination and characterization of proteins and, for more than a decade, has been the dominant tool for unbiased protein analysis. MS workflows allow for the interrogation of individual peptides and protein sequences; however, these techniques are generally complex, lengthy, utilize expensive equipment, and require extensive data analysis by specially trained staff. MS instruments can cost $1,000,000 or more per new instrument and given the technical staff required for performing the process and analyzing the resulting data, the use of MS is often constrained to large, centralized core laboratories. In addition, current sensitivity and dynamic range restrictions of MS also make it difficult to use with liquid samples and restrict the ability to analyze at single-molecule resolution or the ability to deeply integrate a protein. Taken together, these factors limit the broad scale adoption of MS in the market.</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Affinity-Based Methods</w:t>
      </w:r>
      <w:r>
        <w:rPr>
          <w:rFonts w:ascii="Times New Roman;serif" w:hAnsi="Times New Roman;serif"/>
          <w:b w:val="false"/>
          <w:color w:val="000000"/>
          <w:sz w:val="20"/>
        </w:rPr>
        <w:t>. Affinity-based methods are effective when specific proteins or epitopes of interest are known. Affinity-based methods use a variety of molecules, such as antibodies or aptamers, which bind to specific regions, rather than individual amino acids, and therefore may not detect the presence of a protein variant. For instance, the average binding site of an affinity reagent is an epitope with a length of 5 to 8 amino acids, whereas the average length of a human protein is approximately 470 amino acids. Changes or modifications to the protein may prevent the affinity reagent from binding, resulting in missed identification or false negative results. In addition, affinity reagents do not recognize differences in protein structure outside of the targeted binding site making them ineffective at differentiating protein variants. These fundamental challenges limit the ability of affinity-based methods to accurately survey the full complexity of the proteome. Furthermore, affinity-based methods when applied to highly multiplexed analysis of proteins, requires the use of expensive DNA sequencing instrumentation and reagents to resolve barcodes necessary to complete the analysis process. This additional step and instrumentation requirement often limits the use of these high-plex methods to large, core laboratories that have the required infrastructure and data analysis capabilities in their laboratories.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Sequencing via Edman Degradation. </w:t>
      </w:r>
      <w:r>
        <w:rPr>
          <w:rFonts w:ascii="Times New Roman;serif" w:hAnsi="Times New Roman;serif"/>
          <w:b w:val="false"/>
          <w:color w:val="000000"/>
          <w:sz w:val="20"/>
        </w:rPr>
        <w:t>Edman degradation is a method for sequencing of single amino acids from a peptide by alternating acidic and alkaline conditions to cleave the N terminal amino acid from a peptide with the resulting cleaved amino acid being detected using chromatography or electrophoresis. Edman degradation requires the use of hazardous chemicals, is labor and time intensive, and is subject to failures due to naturally occurring chemical modifications of amino acids such as acetylation. While Edman Degradation offers single amino acid level resolution, the technical challenges and limitations of the procedure limit its usefulness outside of a select number of research laboratories.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Market Opportunity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Proteomics represents a large and growing market opportunity. According to a 2021 SVB Leerink research report, proteomics represented a $75 billion market opportunity spanning from life science research through diagnostics. Within this, the proteomics research market represents a $20 billion addressable market, and we are focused on an initial target market of approximately $8 billion that includes protein identification (approximately $3 billion), protein expression and quantification (approximately $3 billion) and proteoforms and post translational modifications (approximately $1.5 billion).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Proteomics Landscape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Given the complexity of analyzing the proteome, the market today, is highly fragmented with a mix of legacy and new technologies that address specific requirements of proteomic researchers with no single solution addressing the full range of requirements. When evaluating and purchasing new proteomics research instrumentation, customers must make tradeoffs across a range of product attributes and capabilities including the breadth of coverage (proteins) versus depth of resolution (amino acid, PTM), sample throughput versus instrument costs, biased (affinity-based methods) versus unbiased (protein sequencing, mass spectrometry) amongst others. In addition, many of the legacy technologies also involve a complex, manual workflow and specialized staff to perform data analysis. The combination of these factors means that proteomics research tool adoption remains constrained to specialty facilities, often called core laboratories. For researchers outside of these core laboratories, they must send out their proteomics analysis work increasing the cost and extending the time to complete their research studies. Additionally, in many countries outside of the United States or Western Europe, there are few to no core laboratories to send work to, so the availability of advanced proteomics tools is extremely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69240"/>
                <wp:effectExtent l="0" t="0" r="0" b="0"/>
                <wp:wrapNone/>
                <wp:docPr id="10" name="Frame1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Today, our protein sequencing platforms, Platinum and Platinum Pro, address these market challenges in two distinct ways. First, our single-molecule, amino acid level resolution capability allows researchers to deeply characterize proteins including protein isoforms, variants and PTMs, types of analysis that are either very difficult to perform or not feasible at all using affinity-based methods or MS. This makes Platinum and Platinum Pro a valuable complement to current technologies used in proteomics core laboratories. Second, our instrument has a low capital cost and includes automated data analysis, easing adoption in both core laboratories and smaller research laboratories looking to insource their proteomics work saving time and budget compared to sending samples to core laboratories. For countries with limited or no core laboratory infrastructure, our platform, in some cases, represents the only advanced proteomics instrument local researchers can implement.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Looking to the future, we believe our Proteus instrument and core technology will be able to address a broad range of proteomics analysis methods, thereby limiting the need for a laboratory to own multiple, specialized platforms. Proteus will provide single-molecule, amino acid level resolution, as Platinum and Platinum Pro currently do, while also offering significantly higher sequencing output per sample, increased sample throughput per run, automation of the sequencing workflow and automated data analysis. We believe the Proteus platform will enable laboratories to perform a broad range of proteomics analysis methods on a single instrument, potentially displacing key instruments found in a core lab today.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protein sequencing platforms are currently intended for research use only or “RUO”. In the future, it is possible that our products may be used for clinical purposes. If our products are used for clinical purposes, they may require regulatory authorization.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include instruments, consumables and software used together as a platform for protein analysis. Our customers use commercially available products to prepare their proteins which is the starting material for the protein sequencing process as depicted below.</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 of the Protein Sequencing Process</w:t>
      </w:r>
    </w:p>
    <w:p>
      <w:pPr>
        <w:pStyle w:val="TextBody"/>
        <w:bidi w:val="0"/>
        <w:spacing w:before="240" w:after="283"/>
        <w:jc w:val="center"/>
        <w:rPr/>
      </w:pPr>
      <w:r>
        <w:rPr/>
        <w:drawing>
          <wp:inline distT="0" distB="0" distL="0" distR="0">
            <wp:extent cx="6286500" cy="13049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6286500" cy="1304925"/>
                    </a:xfrm>
                    <a:prstGeom prst="rect">
                      <a:avLst/>
                    </a:prstGeom>
                  </pic:spPr>
                </pic:pic>
              </a:graphicData>
            </a:graphic>
          </wp:inline>
        </w:drawing>
      </w:r>
      <w:bookmarkStart w:id="0" w:name="i-1"/>
      <w:bookmarkEnd w:id="0"/>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protein sequencing process starts with a step called library prep. The first step in library prep is to digest the proteins into smaller fragments called peptides. In the second part of the library prep process, a linker is attached to the end of the peptide. This linker is designed to attach to the bottom of the reaction well in our sequencing consumable. Once the library prep process is complete, the user then sets up the sequencing step. In this step, the prepared library is combined with sequencing reagents and introduced into a chamber in our sequencing consumable. The sequencing consumable contains millions of features, each capable of performing a single-molecule sequencing reaction. The sequencing reagents contain amino acid recognizers, enzymes that remove terminal amino acids and other buffers. A single recognizer is capable of uniquely identifying more than one amino acid. Our technology is designed to accurately determine the recognizer by its unique kinetic signature. After removing the terminal amino acid, the recognition process repeats until the full peptide chain is sequenced. While traditional single-molecule platforms rely on a single measurement for the detection of an event, the advantage of our approach is that our technology can obtain tens to hundreds of data points for each amino acid. Cumulatively, we expect the multiple measurements to deliver high amino acid call accuracy. We believe we are the first company to have successfully commercialized a NGPS product.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Common biological questions researchers use NGPS to answer include the following: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69240"/>
                <wp:effectExtent l="0" t="0" r="0" b="0"/>
                <wp:wrapNone/>
                <wp:docPr id="12" name="Frame1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What protein is present? </w:t>
      </w:r>
      <w:r>
        <w:rPr>
          <w:rFonts w:ascii="Times New Roman;serif" w:hAnsi="Times New Roman;serif"/>
          <w:b w:val="false"/>
          <w:color w:val="000000"/>
          <w:sz w:val="20"/>
        </w:rPr>
        <w:t>Amino acid resolution can provide insight into more than just whether a protein is present or absent. The sequence information could also indicate what version of the protein is present and how it has been changed from the normal version.</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How much of the protein is present? </w:t>
      </w:r>
      <w:r>
        <w:rPr>
          <w:rFonts w:ascii="Times New Roman;serif" w:hAnsi="Times New Roman;serif"/>
          <w:b w:val="false"/>
          <w:color w:val="000000"/>
          <w:sz w:val="20"/>
        </w:rPr>
        <w:t>Relative quantification provides information about protein abundance relative to other proteins or protein variants present in the sample.</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How has the protein been modified? </w:t>
      </w:r>
      <w:r>
        <w:rPr>
          <w:rFonts w:ascii="Times New Roman;serif" w:hAnsi="Times New Roman;serif"/>
          <w:b w:val="false"/>
          <w:color w:val="000000"/>
          <w:sz w:val="20"/>
        </w:rPr>
        <w:t>Single-molecule sensitivity could show how the protein has been post-translationally modified thus providing greater insights to its role in the context of biological processes within the cell.</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Our Current Product Offering Consists of the Platinum and Platinum Pro Instruments, Library Preparation and Barcoding Kits, Sequencing Kit and Platinum Analysis Software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Platinum - NGPS Instrument</w:t>
      </w:r>
    </w:p>
    <w:p>
      <w:pPr>
        <w:pStyle w:val="TextBody"/>
        <w:bidi w:val="0"/>
        <w:spacing w:before="0" w:after="0"/>
        <w:jc w:val="both"/>
        <w:rPr/>
      </w:pPr>
      <w:r>
        <w:rPr/>
      </w:r>
    </w:p>
    <w:p>
      <w:pPr>
        <w:pStyle w:val="TextBody"/>
        <w:bidi w:val="0"/>
        <w:spacing w:before="0" w:after="0"/>
        <w:jc w:val="center"/>
        <w:rPr/>
      </w:pPr>
      <w:r>
        <w:rPr/>
        <w:drawing>
          <wp:inline distT="0" distB="0" distL="0" distR="0">
            <wp:extent cx="1371600" cy="1647825"/>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1371600" cy="1647825"/>
                    </a:xfrm>
                    <a:prstGeom prst="rect">
                      <a:avLst/>
                    </a:prstGeom>
                  </pic:spPr>
                </pic:pic>
              </a:graphicData>
            </a:graphic>
          </wp:inline>
        </w:drawing>
      </w:r>
      <w:bookmarkStart w:id="1" w:name="i-2"/>
      <w:bookmarkEnd w:id="1"/>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Platinum was the first-to-market NGPS instrument. While traditional instruments like MS can cost up to $1,000,000 or more per new instrument, our Platinum device is currently priced at approximately $85,000. Platinum is designed to provide single-molecule, amino acid level resolution with a streamlined workflow, including automated data analysis, making it accessible to researchers in all laboratory types.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Platinum Pro - NGPS Instrument</w:t>
      </w:r>
    </w:p>
    <w:p>
      <w:pPr>
        <w:pStyle w:val="TextBody"/>
        <w:bidi w:val="0"/>
        <w:spacing w:before="0" w:after="0"/>
        <w:jc w:val="both"/>
        <w:rPr/>
      </w:pPr>
      <w:r>
        <w:rPr/>
      </w:r>
    </w:p>
    <w:p>
      <w:pPr>
        <w:pStyle w:val="TextBody"/>
        <w:bidi w:val="0"/>
        <w:spacing w:before="0" w:after="0"/>
        <w:jc w:val="center"/>
        <w:rPr/>
      </w:pPr>
      <w:r>
        <w:rPr/>
        <w:drawing>
          <wp:inline distT="0" distB="0" distL="0" distR="0">
            <wp:extent cx="1371600" cy="153352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1371600" cy="1533525"/>
                    </a:xfrm>
                    <a:prstGeom prst="rect">
                      <a:avLst/>
                    </a:prstGeom>
                  </pic:spPr>
                </pic:pic>
              </a:graphicData>
            </a:graphic>
          </wp:inline>
        </w:drawing>
      </w:r>
      <w:bookmarkStart w:id="2" w:name="i-3"/>
      <w:bookmarkEnd w:id="2"/>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2025, we announced the launch of Platinum Pro with first shipments occurring in March 2025. Platinum Pro provides the same technology capabilities of Platinum (single-molecule, amino acid resolution) and includes an enhanced user interface, cloud or on-instrument data analysis and an available “Pro Mode”, an option for customers who want to build custom analysis methods utilizing the power of our single-molecule, kinetic detection technology. Platinum Pro is currently priced at approximately $120,000.</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Consumables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69240"/>
                <wp:effectExtent l="0" t="0" r="0" b="0"/>
                <wp:wrapNone/>
                <wp:docPr id="15" name="Frame1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derive recurring revenue from the sale of consumables that are required to run samples on the Platinum and Platinum Pro instruments or future generations of sequencing platforms that we may launch. Current consumable kits consist of Library Preparation Kits and Sequencing Kits. These kits are designed for use only with our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Library Preparation</w:t>
      </w:r>
    </w:p>
    <w:p>
      <w:pPr>
        <w:pStyle w:val="TextBody"/>
        <w:bidi w:val="0"/>
        <w:spacing w:before="0" w:after="0"/>
        <w:jc w:val="both"/>
        <w:rPr/>
      </w:pPr>
      <w:r>
        <w:rPr/>
      </w:r>
    </w:p>
    <w:p>
      <w:pPr>
        <w:pStyle w:val="TextBody"/>
        <w:bidi w:val="0"/>
        <w:spacing w:before="0" w:after="0"/>
        <w:jc w:val="center"/>
        <w:rPr/>
      </w:pPr>
      <w:r>
        <w:rPr/>
        <w:drawing>
          <wp:inline distT="0" distB="0" distL="0" distR="0">
            <wp:extent cx="1828800" cy="92392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828800" cy="923925"/>
                    </a:xfrm>
                    <a:prstGeom prst="rect">
                      <a:avLst/>
                    </a:prstGeom>
                  </pic:spPr>
                </pic:pic>
              </a:graphicData>
            </a:graphic>
          </wp:inline>
        </w:drawing>
      </w:r>
      <w:bookmarkStart w:id="3" w:name="i-4"/>
      <w:bookmarkEnd w:id="3"/>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Library Preparation Kit is designed to prepare a customer’s protein sample for sequencing. This kit includes the reagents required to digest the protein(s) into peptides and attach a linker that allows the peptide to bind to the bottom of the reaction features on our sequencing consumable.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Barcoding Kit</w:t>
      </w:r>
    </w:p>
    <w:p>
      <w:pPr>
        <w:pStyle w:val="TextBody"/>
        <w:bidi w:val="0"/>
        <w:spacing w:before="0" w:after="0"/>
        <w:jc w:val="both"/>
        <w:rPr/>
      </w:pPr>
      <w:r>
        <w:rPr/>
      </w:r>
    </w:p>
    <w:p>
      <w:pPr>
        <w:pStyle w:val="TextBody"/>
        <w:bidi w:val="0"/>
        <w:spacing w:before="0" w:after="0"/>
        <w:jc w:val="center"/>
        <w:rPr/>
      </w:pPr>
      <w:r>
        <w:rPr/>
        <w:drawing>
          <wp:inline distT="0" distB="0" distL="0" distR="0">
            <wp:extent cx="1371600" cy="115252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1371600" cy="1152525"/>
                    </a:xfrm>
                    <a:prstGeom prst="rect">
                      <a:avLst/>
                    </a:prstGeom>
                  </pic:spPr>
                </pic:pic>
              </a:graphicData>
            </a:graphic>
          </wp:inline>
        </w:drawing>
      </w:r>
      <w:bookmarkStart w:id="4" w:name="i-5"/>
      <w:bookmarkEnd w:id="4"/>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Barcoding Kit is a type of Library Preparation Kit, that is specifically designed to optimize the workflow and performance of our technology when applied to protein barcoding applications. This kit includes the reagents required to prepare the barcodes for sequencing and the associated protocol provides information about barcode sequence design and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Sequencing Kit</w:t>
      </w:r>
    </w:p>
    <w:p>
      <w:pPr>
        <w:pStyle w:val="TextBody"/>
        <w:bidi w:val="0"/>
        <w:spacing w:before="0" w:after="0"/>
        <w:jc w:val="center"/>
        <w:rPr/>
      </w:pPr>
      <w:r>
        <w:rPr/>
        <w:drawing>
          <wp:inline distT="0" distB="0" distL="0" distR="0">
            <wp:extent cx="1828800" cy="89535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1828800" cy="895350"/>
                    </a:xfrm>
                    <a:prstGeom prst="rect">
                      <a:avLst/>
                    </a:prstGeom>
                  </pic:spPr>
                </pic:pic>
              </a:graphicData>
            </a:graphic>
          </wp:inline>
        </w:drawing>
      </w:r>
      <w:bookmarkStart w:id="5" w:name="i-6"/>
      <w:bookmarkEnd w:id="5"/>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Sequencing Kit contains the reagents and consumables used to perform NGPS on the Platinum or Platinum Pro instrument. In the currently marketed kit, the consumable is a semiconductor chip with two million features.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Platinum Analysis Software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Platinum Analysis Software is a cloud-based solution that automates data analysis workflows and provides a user-friendly interface and visualization of the sequencing results. Our software suite includes tools to map peptides and visualize the amino acid coverage, align peptides to proteins, including a protein inference workflow and a variant caller workflow that is specifically designed to aid users in the identification and relative quantification of variants including single amino acid changes or PTMs.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Platinum Pro instrument offers a combination of cloud-based and on-instrument software and data analysis tools to address situations where customers have limited or no ability to access to the cloud environment.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69240"/>
                <wp:effectExtent l="0" t="0" r="0" b="0"/>
                <wp:wrapNone/>
                <wp:docPr id="19" name="Frame1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competitive strengths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Differentiated technology with broad applicability across a range of proteomics analysis methods. </w:t>
      </w:r>
      <w:r>
        <w:rPr>
          <w:rFonts w:ascii="Times New Roman;serif" w:hAnsi="Times New Roman;serif"/>
          <w:b w:val="false"/>
          <w:color w:val="000000"/>
          <w:sz w:val="20"/>
        </w:rPr>
        <w:t>At the core, our technology provides single-molecule, kinetic detection of individual amino acids. By enabling single-molecule detection, we are not reliant on ensemble measurements, which can often vary from sample to sample and even run to run. Amino acid level resolution allows researchers to deeply characterize proteins including protein isoforms, variants and PTMs, all types of analysis that are either very difficult to perform or not feasible at all using affinity-based methods or MS. Finally, our ability to detect the kinetic signatures of amino acid recognizers can be extended to other detection molecules including engineered proteins, nanobodies or antibodies. Looking to the future, we believe that our core technology will be able to address a broad range of proteomics analysis methods, thereby limiting the need for a laboratory to own multiple, specialized platforms.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Platinum Analysis Software provides automated, user-friendly data analysis and visualization workflows.</w:t>
      </w:r>
      <w:r>
        <w:rPr>
          <w:color w:val="000000"/>
        </w:rPr>
        <w:t xml:space="preserve"> </w:t>
      </w:r>
      <w:r>
        <w:rPr>
          <w:rFonts w:ascii="Times New Roman;serif" w:hAnsi="Times New Roman;serif"/>
          <w:b w:val="false"/>
          <w:color w:val="000000"/>
          <w:sz w:val="20"/>
        </w:rPr>
        <w:t>Our Platinum Analysis Software is a suite of tools that can map peptides and visualize the amino acid coverage, align peptides to proteins, including a protein inference workflow and a variant caller workflow that is specifically designed to aid users in the identification and relative quantification of variants including single amino acid changes or PTMs. These automated tools allow researchers, regardless of their laboratory infrastructure or staff specialization, to perform NGPS.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Business model that leverages growing installed base of instruments each utilizing an increasing number of consumables over time.</w:t>
      </w:r>
      <w:r>
        <w:rPr>
          <w:color w:val="000000"/>
        </w:rPr>
        <w:t xml:space="preserve"> </w:t>
      </w:r>
      <w:r>
        <w:rPr>
          <w:rFonts w:ascii="Times New Roman;serif" w:hAnsi="Times New Roman;serif"/>
          <w:b w:val="false"/>
          <w:color w:val="000000"/>
          <w:sz w:val="20"/>
        </w:rPr>
        <w:t>As part of our commercialization efforts, we aim to grow our installed base of instruments globally while in parallel, expanding the range of applications that customers can perform with our technology through continued launch of new instruments, consumable kits and software workflows. From this process and the increase of the installed base over time, we expect to grow a substantial base of recurring revenues from our customers purchasing a greater number of consumables per instrument over time.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Platform to enable expanded access to proteomics tools. </w:t>
      </w:r>
      <w:r>
        <w:rPr>
          <w:rFonts w:ascii="Times New Roman;serif" w:hAnsi="Times New Roman;serif"/>
          <w:b w:val="false"/>
          <w:color w:val="000000"/>
          <w:sz w:val="20"/>
        </w:rPr>
        <w:t>Our instrument has a low capital cost and includes automated data analysis, easing adoption in both core laboratories and smaller research laboratories looking to insource their proteomics work saving time and budget compared to sending samples to core laboratories. For countries with limited core laboratory infrastructure, our platform in some cases represents the only advanced proteomics instrument local researchers can implement.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Robust patent protection. </w:t>
      </w:r>
      <w:r>
        <w:rPr>
          <w:rFonts w:ascii="Times New Roman;serif" w:hAnsi="Times New Roman;serif"/>
          <w:b w:val="false"/>
          <w:color w:val="000000"/>
          <w:sz w:val="20"/>
        </w:rPr>
        <w:t>We have a strong intellectual property strategy in which we have 402 issued patents and 348 pending applications as of December 31, 2025. In addition, we believe many of our pending and issued patents include foundational technology in the proteomics field.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Experienced Life Science Management team and Board of Directors with significant experience in healthcare. </w:t>
      </w:r>
      <w:r>
        <w:rPr>
          <w:rFonts w:ascii="Times New Roman;serif" w:hAnsi="Times New Roman;serif"/>
          <w:b w:val="false"/>
          <w:color w:val="000000"/>
          <w:sz w:val="20"/>
        </w:rPr>
        <w:t>We have a world-class management team and Board of Directors, including our chairman, executive officers, and other senior management with decades of cumulative experience in the healthcare and life sciences end-markets. We believe this leadership team positions us as a potentially disruptive force in creating a new market of next-generation protein sequencing.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Strategies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strategies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First-to-market using a phased approach to broad commercialization and adoption of our Proteomics solutions. </w:t>
      </w:r>
      <w:r>
        <w:rPr>
          <w:rFonts w:ascii="Times New Roman;serif" w:hAnsi="Times New Roman;serif"/>
          <w:b w:val="false"/>
          <w:color w:val="000000"/>
          <w:sz w:val="20"/>
        </w:rPr>
        <w:t xml:space="preserve">In December 2022, we initiated a controlled launch of Platinum for RUO, subsequently began a controlled commercial launch of Platinum in January 2023, and then moved to a full commercial launch of Platinum beginning in the second quarter of 2024. In January 2025, we announced the launch of our Platinum Pro benchtop sequencer. First shipments of Platinum Pro occurred in March 2025. Members of our team have previously utilized a similar phased launch approach to successfully launch and drive long-term adoption of other disruptive technologies. We believe this approach has allowed us to introduce our platform in a structured manner to demonstrate its use and practicality, while working directly with our key potential customers and industry thought leaders to help ensure a positive experience. Our leadership team has decades of cumulative experience working directly in the life sciences industry with many of the companies and research centers that have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69240"/>
                <wp:effectExtent l="0" t="0" r="0" b="0"/>
                <wp:wrapNone/>
                <wp:docPr id="20" name="Frame1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potential to become customers. With this first-to-market approach, we believe we are creating market awareness for amino acid resolution of protein sequencing, allowing us to grow our user base and awareness with our Platinum and Platinum Pro line of instruments, which will allow us to leverage this robust awareness for our Proteus launch, which is anticipated to launch by the end of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Build our commercial infrastructure globally. </w:t>
      </w:r>
      <w:r>
        <w:rPr>
          <w:rFonts w:ascii="Times New Roman;serif" w:hAnsi="Times New Roman;serif"/>
          <w:b w:val="false"/>
          <w:color w:val="000000"/>
          <w:sz w:val="20"/>
        </w:rPr>
        <w:t>We are continuing to build our commercial and operational infrastructure to sell and support our platform as we gain traction throughout the world. Presently, we have a direct sales force in the United States, with a combined direct and distributor approach in Europe, and distributor relationships in certain key markets in the rest of the world.</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Invest in scientific affairs and market development activities to drive evidence generation and increase the awareness of the importance NGPS. </w:t>
      </w:r>
      <w:r>
        <w:rPr>
          <w:rFonts w:ascii="Times New Roman;serif" w:hAnsi="Times New Roman;serif"/>
          <w:b w:val="false"/>
          <w:color w:val="000000"/>
          <w:sz w:val="20"/>
        </w:rPr>
        <w:t>We believe that our platform has the capability to enable users to generate a depth of proteomic information that until our launch, was not available. We believe the utility of our platform spans basic research, drug discovery and development, translational research and quality control testing across multiple market segments including academic research, biopharma, contract development and manufacturing organization (“CDMOs”), government and industrial. We plan to invest in scientific affairs and market development activities and partnerships to generate the scientific evidence of the importance and utility of NGPS and to expand the awareness and demand for our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Continued technical innovation to drive product enhancements, new products, and additional applications. </w:t>
      </w:r>
      <w:r>
        <w:rPr>
          <w:rFonts w:ascii="Times New Roman;serif" w:hAnsi="Times New Roman;serif"/>
          <w:b w:val="false"/>
          <w:color w:val="000000"/>
          <w:sz w:val="20"/>
        </w:rPr>
        <w:t>Our leadership team has deep expertise in technology development and commercialization in the life sciences and diagnostics markets. Since the launch of our Platinum instrument, we have delivered a steady cadence of new products including Library Prep Kits, a Barcoding Kit, Sequencing Kits and software workflows including protein inference and variant caller. In January 2025, we announced the launch of Platinum Pro with first shipments occurring in March 2025. We aim to continually innovate and deliver new products, product enhancements, applications, workflows, and other tools to enable our customers to leverage the power of NGPS at scale. See “Product Roadmap” below for further information.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Lead with accessibility. </w:t>
      </w:r>
      <w:r>
        <w:rPr>
          <w:rFonts w:ascii="Times New Roman;serif" w:hAnsi="Times New Roman;serif"/>
          <w:b w:val="false"/>
          <w:color w:val="000000"/>
          <w:sz w:val="20"/>
        </w:rPr>
        <w:t>Our mission is to bring NGPS to every lab, everywhere. Our instrument has a low capital cost and includes automated data analysis, easing adoption in both core laboratories and smaller research laboratories looking to insource their proteomics work saving time and budget compared to sending samples to core laboratories. For countries with limited core laboratory infrastructure, our platform in some cases represents the only advanced proteomics instrument local researchers can implement. As we develop new platforms, we aim to expand the capability of our core technology and further increase the level of workflow automation while continuing to offer our platform at a price point that is advantageous to our customers compared to the capabilities and cost of many legacy proteomics technologies. Our ability to develop our platforms in such a way may allow proteomic analysis to reach new markets and new users, potentially enabling and accelerating innovative discoveries.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Build an ecosystem that delivers platform consolidation and a streamlined customer experience. </w:t>
      </w:r>
      <w:r>
        <w:rPr>
          <w:rFonts w:ascii="Times New Roman;serif" w:hAnsi="Times New Roman;serif"/>
          <w:b w:val="false"/>
          <w:color w:val="000000"/>
          <w:sz w:val="20"/>
        </w:rPr>
        <w:t>Given the complexity of analyzing the proteome, customers often own and must manage many specialized instruments each addressing a subset of their research needs. Many of the associated laboratory workflows are also highly manual and require specialized facilities and staff. We believe that our core technology can address the broadest range of proteomics analysis methods in the market and through partnerships and internal development programs, including the development of Proteus, we will be able to simplify the customer experience through platform consolidation and greater workflow automation.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Maintain a strong intellectual property portfolio for existing and new technologies. </w:t>
      </w:r>
      <w:r>
        <w:rPr>
          <w:rFonts w:ascii="Times New Roman;serif" w:hAnsi="Times New Roman;serif"/>
          <w:b w:val="false"/>
          <w:color w:val="000000"/>
          <w:sz w:val="20"/>
        </w:rPr>
        <w:t>We have a broad and deep patent protection strategy, which includes 402 issued patents and 348 pending applications as of December 31, 2025, including certain foundational IP around proteomics. Protection of our intellectual property is a strategic priority for the business; we have taken, and will continue to take, steps to protect our current and future intellectual property and proprietary technology. We believe our broad patent portfolio and continued rigorous patent protection strategy will help to allow us to focus on our key priorities of commercializing our platform, continuing to innovate with new technologies, and preventing fast-followers.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Commercial Strategy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69240"/>
                <wp:effectExtent l="0" t="0" r="0" b="0"/>
                <wp:wrapNone/>
                <wp:docPr id="21" name="Frame1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we continue to commercialize our platforms, we plan to build out our commercial infrastructure to sell and support our products, across a growing number of market segments and geographies. Presently, we have a direct sales force in the United States, with a combined direct and distributor approach in Europe, and distributor relationships in certain global, key markets.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leadership team has decades of experience bring new technologies to the market and working directly with many of the companies and research centers that have the potential to become customers. Our commercial strategy includes the following areas of focus.</w:t>
      </w:r>
    </w:p>
    <w:p>
      <w:pPr>
        <w:pStyle w:val="TextBody"/>
        <w:bidi w:val="0"/>
        <w:spacing w:before="0" w:after="0"/>
        <w:jc w:val="both"/>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 xml:space="preserve">Continue to build our direct sales and support infrastructure in the U.S. and Western Europe. </w:t>
      </w:r>
      <w:r>
        <w:rPr>
          <w:rFonts w:ascii="Times New Roman;serif" w:hAnsi="Times New Roman;serif"/>
          <w:b w:val="false"/>
          <w:color w:val="000000"/>
          <w:sz w:val="20"/>
        </w:rPr>
        <w:t>We plan to continue to build our commercial and operational infrastructure to sell and support our platform as we seek to grow market awareness of our Platinum and Platinum Pro platform adoption in these regions. In addition to our direct investments, we will continue to evaluate opportunities to partner with leading companies to augment our commercial footprint while minimizing the level of direct investment required.</w:t>
      </w:r>
    </w:p>
    <w:p>
      <w:pPr>
        <w:pStyle w:val="TextBody"/>
        <w:bidi w:val="0"/>
        <w:spacing w:lineRule="auto" w:line="288" w:before="0" w:after="12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Commercial partnerships.</w:t>
      </w:r>
      <w:r>
        <w:rPr>
          <w:color w:val="000000"/>
        </w:rPr>
        <w:t xml:space="preserve"> </w:t>
      </w:r>
      <w:r>
        <w:rPr>
          <w:rFonts w:ascii="Times New Roman;serif" w:hAnsi="Times New Roman;serif"/>
          <w:b w:val="false"/>
          <w:color w:val="000000"/>
          <w:sz w:val="20"/>
        </w:rPr>
        <w:t>In November 2024, we announced a North American distribution agreement with Avantor to distribute the Platinum Pro and related consumables. Avantor is a leading distributor of life sciences products with established relationships in our target market segments.</w:t>
      </w:r>
    </w:p>
    <w:p>
      <w:pPr>
        <w:pStyle w:val="TextBody"/>
        <w:bidi w:val="0"/>
        <w:spacing w:lineRule="auto" w:line="288" w:before="0" w:after="120"/>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 xml:space="preserve">Geographic partnerships. </w:t>
      </w:r>
      <w:r>
        <w:rPr>
          <w:rFonts w:ascii="Times New Roman;serif" w:hAnsi="Times New Roman;serif"/>
          <w:b w:val="false"/>
          <w:color w:val="000000"/>
          <w:sz w:val="20"/>
        </w:rPr>
        <w:t>We exited 2025 with international distribution partners spanning many countries across Europe, Middle East, Africa, Asia Pacific and South America. Each of our international partners brings a depth of local expertise in the fields of genomics and proteomics and have experience bringing new technologies to market. We expect to continue to expand this international network in 2026 as we continue to grow market awareness for our Proteus platform, which we anticipate launching by the end of 2026.</w:t>
      </w:r>
    </w:p>
    <w:p>
      <w:pPr>
        <w:pStyle w:val="TextBody"/>
        <w:bidi w:val="0"/>
        <w:spacing w:lineRule="auto" w:line="288" w:before="0" w:after="120"/>
        <w:ind w:left="0" w:right="0" w:hanging="360"/>
        <w:jc w:val="both"/>
        <w:rPr/>
      </w:pPr>
      <w:r>
        <w:rPr>
          <w:rFonts w:ascii="Times New Roman;serif" w:hAnsi="Times New Roman;serif"/>
          <w:b w:val="false"/>
          <w:color w:val="000000"/>
          <w:sz w:val="20"/>
        </w:rPr>
        <w:t>4.</w:t>
      </w:r>
      <w:r>
        <w:rPr>
          <w:rFonts w:ascii="Times New Roman;serif" w:hAnsi="Times New Roman;serif"/>
          <w:b/>
          <w:color w:val="000000"/>
          <w:sz w:val="20"/>
        </w:rPr>
        <w:t xml:space="preserve">Technical and scientific support. </w:t>
      </w:r>
      <w:r>
        <w:rPr>
          <w:rFonts w:ascii="Times New Roman;serif" w:hAnsi="Times New Roman;serif"/>
          <w:b w:val="false"/>
          <w:color w:val="000000"/>
          <w:sz w:val="20"/>
        </w:rPr>
        <w:t>We believe that a key to successfully commercializing a new technology like NGPS, is providing high quality technical and scientific support to customers. We use a mix of field-based and in house scientific staff to support our customers through all phases of the commercial process from pre-sales, to training and onboarding and through post-sales support. We will continue to invest in this area in both our direct markets and regionally to support our geographic partners as appropriate.</w:t>
      </w:r>
    </w:p>
    <w:p>
      <w:pPr>
        <w:pStyle w:val="TextBody"/>
        <w:bidi w:val="0"/>
        <w:spacing w:lineRule="auto" w:line="288" w:before="0" w:after="120"/>
        <w:ind w:left="0" w:right="0" w:hanging="360"/>
        <w:jc w:val="both"/>
        <w:rPr/>
      </w:pPr>
      <w:r>
        <w:rPr>
          <w:rFonts w:ascii="Times New Roman;serif" w:hAnsi="Times New Roman;serif"/>
          <w:b w:val="false"/>
          <w:color w:val="000000"/>
          <w:sz w:val="20"/>
        </w:rPr>
        <w:t>5.</w:t>
      </w:r>
      <w:r>
        <w:rPr>
          <w:rFonts w:ascii="Times New Roman;serif" w:hAnsi="Times New Roman;serif"/>
          <w:b/>
          <w:color w:val="000000"/>
          <w:sz w:val="20"/>
        </w:rPr>
        <w:t xml:space="preserve">Key opinion leaders (“KOL”) and evidence generation. </w:t>
      </w:r>
      <w:r>
        <w:rPr>
          <w:rFonts w:ascii="Times New Roman;serif" w:hAnsi="Times New Roman;serif"/>
          <w:b w:val="false"/>
          <w:color w:val="000000"/>
          <w:sz w:val="20"/>
        </w:rPr>
        <w:t>We believe our platform has the capability to enable users to generate a depth of proteomic information that until our launch, was not available. We work closely with KOLs in the development and commercialization of our products, including supporting research studies that lead to the presentation and/or publishing of data using our technology. We plan to continue to invest in research studies and scientific collaborations to generate scientific evidence that supports the importance and utility of NGPS in proteomics research.</w:t>
      </w:r>
    </w:p>
    <w:p>
      <w:pPr>
        <w:pStyle w:val="TextBody"/>
        <w:bidi w:val="0"/>
        <w:spacing w:lineRule="auto" w:line="288" w:before="0" w:after="120"/>
        <w:ind w:left="0" w:right="0" w:hanging="360"/>
        <w:jc w:val="both"/>
        <w:rPr/>
      </w:pPr>
      <w:r>
        <w:rPr>
          <w:rFonts w:ascii="Times New Roman;serif" w:hAnsi="Times New Roman;serif"/>
          <w:b w:val="false"/>
          <w:color w:val="000000"/>
          <w:sz w:val="20"/>
        </w:rPr>
        <w:t>6.</w:t>
      </w:r>
      <w:r>
        <w:rPr>
          <w:rFonts w:ascii="Times New Roman;serif" w:hAnsi="Times New Roman;serif"/>
          <w:b/>
          <w:color w:val="000000"/>
          <w:sz w:val="20"/>
        </w:rPr>
        <w:t xml:space="preserve">Technology access program. </w:t>
      </w:r>
      <w:r>
        <w:rPr>
          <w:rFonts w:ascii="Times New Roman;serif" w:hAnsi="Times New Roman;serif"/>
          <w:b w:val="false"/>
          <w:color w:val="000000"/>
          <w:sz w:val="20"/>
        </w:rPr>
        <w:t>We believe our core technology has broad utility across the field of proteomics research. While our internal R&amp;D focus is on the development and commercialization of NGPS, we believe there would be interests from potential customers and strategic partners, to leverage our single-molecule, kinetic detection capabilities for other proteomics applications. To support that work, we initiated a “Technology Access Program” that allows customers to engage directly with our R&amp;D scientists to explore custom applications of our core technology in support of their on-going research efforts.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Product Roadmap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product and technology roadmap and internal development processes position us as a leader in the proteomics market. Since the launch of Platinum in December 2022, we have executed numerous product launches across instruments, Library Prep Kits, Sequencing Kits and software tools. This steady cadence of technological advancements ensures our customers have a continuous flow of new capabilities that enable them to pursue their research interests to the fullest. The following roadmap includes innovations across all areas of our technology and provides a timeline of actual and anticipated product launches through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69240"/>
                <wp:effectExtent l="0" t="0" r="0" b="0"/>
                <wp:wrapNone/>
                <wp:docPr id="22" name="Frame1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0" w:after="0"/>
        <w:jc w:val="center"/>
        <w:rPr/>
      </w:pPr>
      <w:r>
        <w:rPr/>
        <w:drawing>
          <wp:inline distT="0" distB="0" distL="0" distR="0">
            <wp:extent cx="6286500" cy="24003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6286500" cy="2400300"/>
                    </a:xfrm>
                    <a:prstGeom prst="rect">
                      <a:avLst/>
                    </a:prstGeom>
                  </pic:spPr>
                </pic:pic>
              </a:graphicData>
            </a:graphic>
          </wp:inline>
        </w:drawing>
      </w:r>
      <w:bookmarkStart w:id="6" w:name="i-7"/>
      <w:bookmarkEnd w:id="6"/>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 November 2024, at our investor and analyst day, we laid out a long-term product and technology roadmap, including our Proteus platform and core technology to address the broadest range of proteomics applications in the market today. Subsequently, in November 2025, we provided an update on the development of the Proteus platform, presenting meaningful traction and milestones achieved in relation to the development, as well as outlining our estimated development and commercialization milestones timeline on the path to the anticipated launch of Proteus by the end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Estimated Proteus Development and Commercial Milestones</w:t>
      </w:r>
    </w:p>
    <w:p>
      <w:pPr>
        <w:pStyle w:val="TextBody"/>
        <w:bidi w:val="0"/>
        <w:spacing w:before="0" w:after="0"/>
        <w:jc w:val="both"/>
        <w:rPr/>
      </w:pPr>
      <w:r>
        <w:rPr/>
      </w:r>
    </w:p>
    <w:p>
      <w:pPr>
        <w:pStyle w:val="TextBody"/>
        <w:bidi w:val="0"/>
        <w:spacing w:before="0" w:after="0"/>
        <w:jc w:val="center"/>
        <w:rPr/>
      </w:pPr>
      <w:r>
        <w:rPr/>
        <w:drawing>
          <wp:inline distT="0" distB="0" distL="0" distR="0">
            <wp:extent cx="5019675" cy="191452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5019675" cy="1914525"/>
                    </a:xfrm>
                    <a:prstGeom prst="rect">
                      <a:avLst/>
                    </a:prstGeom>
                  </pic:spPr>
                </pic:pic>
              </a:graphicData>
            </a:graphic>
          </wp:inline>
        </w:drawing>
      </w:r>
      <w:bookmarkStart w:id="7" w:name="i-8"/>
      <w:bookmarkEnd w:id="7"/>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Sequencing Instrumentation and Consumables</w:t>
      </w:r>
      <w:r>
        <w:rPr>
          <w:rFonts w:ascii="Times New Roman;serif" w:hAnsi="Times New Roman;serif"/>
          <w:b w:val="false"/>
          <w:color w:val="000000"/>
          <w:sz w:val="20"/>
        </w:rPr>
        <w:t>. In January 2025, we launched Platinum Pro, a new generation of instrumentation that utilizes our current technology architecture, namely a semiconductor chip. Looking to the future, our Proteus platform will introduce a new instrument and consumable architecture that is being designed to scale the sequencing output per sample from two million features per consumable today, to billions of features per consumable in the future. The first generation of Proteus and associated sequencing consumables, which is anticipated to be ready for launch by the end of 2026, is being designed to have a new on-board single optical system with the ability to accept a new consumable chip having approximately 80 million features.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 xml:space="preserve">Library Preparation. </w:t>
      </w:r>
      <w:r>
        <w:rPr>
          <w:rFonts w:ascii="Times New Roman;serif" w:hAnsi="Times New Roman;serif"/>
          <w:b w:val="false"/>
          <w:color w:val="000000"/>
          <w:sz w:val="20"/>
        </w:rPr>
        <w:t xml:space="preserve">In December 2025, we launched version 3 of our Library Preparation Kit which now requires 200 nanograms or less of total protein input, which is a 100-fold improvement over the prior library preparation kit.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 xml:space="preserve">Sequencing Chemistry. </w:t>
      </w:r>
      <w:r>
        <w:rPr>
          <w:rFonts w:ascii="Times New Roman;serif" w:hAnsi="Times New Roman;serif"/>
          <w:b w:val="false"/>
          <w:color w:val="000000"/>
          <w:sz w:val="20"/>
        </w:rPr>
        <w:t>Our current Sequencing Kit recognizes 15 of the 20 known, naturally occurring, amino acids accounting for up to 75% of amino acids in the proteome. We are continuing to evolve our sequencing chemistry with key areas of focus being amino acid coverage, sequence speed and depth, amongst other parameters that includes use of tools, such as artificial intelligence and our rich database of protein sequencing information to accelerate this process.</w:t>
      </w:r>
      <w:r>
        <w:rPr>
          <w:color w:val="000000"/>
        </w:rPr>
        <w:t xml:space="preserve"> </w:t>
      </w:r>
      <w:r>
        <w:rPr>
          <w:rFonts w:ascii="Times New Roman;serif" w:hAnsi="Times New Roman;serif"/>
          <w:b w:val="false"/>
          <w:color w:val="000000"/>
          <w:sz w:val="20"/>
        </w:rPr>
        <w:t>For example, at our November 2025 Investor &amp; Analyst Day, with the use of these new tools and processes, we showcased a roadmap that includes recognition of all 20 amino acids by the end of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69240"/>
                <wp:effectExtent l="0" t="0" r="0" b="0"/>
                <wp:wrapNone/>
                <wp:docPr id="25" name="Frame1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Times New Roman;serif" w:hAnsi="Times New Roman;serif"/>
          <w:b/>
          <w:color w:val="000000"/>
          <w:sz w:val="20"/>
        </w:rPr>
        <w:t>Software.</w:t>
      </w:r>
      <w:r>
        <w:rPr>
          <w:color w:val="000000"/>
        </w:rPr>
        <w:t xml:space="preserve"> </w:t>
      </w:r>
      <w:r>
        <w:rPr>
          <w:rFonts w:ascii="Times New Roman;serif" w:hAnsi="Times New Roman;serif"/>
          <w:b w:val="false"/>
          <w:color w:val="000000"/>
          <w:sz w:val="20"/>
        </w:rPr>
        <w:t>Our core technology is single-molecule, kinetic detection at the amino acid level. Each of our amino acid recognizers exhibits a unique kinetic signature. Utilizing artificial intelligence, we can continuously train our models and improve the accuracy of the database used to interpret these kinetic signatures, resulting in higher data output and accuracy. We expect to continue to evolve this aspect of our software in addition to continuing to evolve our analysis workflows, data visualizers and other software tools to add value for our customers.</w:t>
      </w:r>
    </w:p>
    <w:p>
      <w:pPr>
        <w:pStyle w:val="TextBody"/>
        <w:bidi w:val="0"/>
        <w:spacing w:before="0" w:after="0"/>
        <w:jc w:val="both"/>
        <w:rPr/>
      </w:pPr>
      <w:r>
        <w:rPr/>
      </w:r>
    </w:p>
    <w:p>
      <w:pPr>
        <w:pStyle w:val="TextBody"/>
        <w:bidi w:val="0"/>
        <w:spacing w:before="0" w:after="0"/>
        <w:jc w:val="center"/>
        <w:rPr/>
      </w:pPr>
      <w:r>
        <w:rPr/>
        <w:drawing>
          <wp:inline distT="0" distB="0" distL="0" distR="0">
            <wp:extent cx="2743200" cy="195262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2743200" cy="1952625"/>
                    </a:xfrm>
                    <a:prstGeom prst="rect">
                      <a:avLst/>
                    </a:prstGeom>
                  </pic:spPr>
                </pic:pic>
              </a:graphicData>
            </a:graphic>
          </wp:inline>
        </w:drawing>
      </w:r>
      <w:bookmarkStart w:id="8" w:name="i-9"/>
      <w:bookmarkEnd w:id="8"/>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Platinum Pro offers a consumable chip with 2 million features. Proteus is anticipated to launch with a new on-board, single-optical system with the ability to accept a new consumable chip having approximately 80 million features. The Proteus Plus and Proteus 2.0 platforms are expected to launch having feature sets of up to an estimated 320 million and 10 billion features, respectively, based on long-term development initiatives.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Suppliers and Manufacturing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are built using both custom-made and off-the-shelf components supplied by outside manufacturers and vendors located in Asia, Europe, and the United States. These products and product components include our custom-made disposable semiconductor chip, our proprietary mode-locked laser as well as proprietary enzymes, recognizers and buffers used for protein sequencing. The majority of other components for our platform are off-the-shelf.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purchase some of our components and materials used in manufacturing, including the underlying wafers for our semiconductor chip as well as other critical manufacturing steps, from single-source suppliers. We believe alternatives would be available; however, it will likely take a significant amount of time to identify and validate replacement components, which could negatively affect our ability to supply our products on a timely basis. To mitigate this future risk, we and our third-party contractors attempt to carry a significant inventory of our critical components. However, any transaction disruptions in these suppliers and potential associated ramp up time of a new supplier would result in a supply disruption that could impact our business. In addition, any strategic decision to slow, pause, or stop the manufacturing of any core supply based on assumptions of adequate safety stock that subsequently proves to be an incorrect estimate of supply needs could result in a supply disruption due to the inability to ramp up or ramp down processes.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instruments are developed and designed by us but have historically been manufactured by a third-party contract manufacturing partner. Overall, we believe our manufacturing strategy is efficient and conserves capital. However, we do not have long-term supply or manufacturing commitments from all our suppliers or manufacturers, and some of our products and components are currently supplied on a purchase order basis. In addition, we expect we will need to increase the supply and manufacturing of our products as we continue to grow. If we are unable to maintain manufacturing at our contract manufacturing partners, it will affect our ability to produce instruments which would harm our research and development efforts and commercial operations. In the event that it becomes necessary to utilize a different contract manufacturer or suppliers for our products, now or in the future, we may experience additional costs, delays and difficulties in doing so, and our business could be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processes related to our semiconductor chip technology are developed by us but manufactured by a third-party partner. Throughout 2024 and 2025 we were in the process of transitioning a portion of key activities to a new partner, resulting in completed wafers with surface coatings usable for commercial purposes, but not fully optimized for long-term production or a fully sustainable process. With the development and anticipated launch of the Proteus platform by the end of 2026, which will introduce a new consumable architecture, we have determined there is not sufficient justification to fully optimize our semiconductor process for long-term manufacturing. If we are unable to consistently manufacture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69240"/>
                <wp:effectExtent l="0" t="0" r="0" b="0"/>
                <wp:wrapNone/>
                <wp:docPr id="27" name="Frame1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less than fully optimized semiconductor chip surface coating process at this new contract manufacturer, it may affect our ability to supply semiconductor chips, affecting the commercial availability of our Sequencing Kit and our ability to complete development activities that allow us to improve the throughput of our platforms, which could ultimately harm our ability to deliver consumable sequencing kits to our customers, both of which would harm our research and development efforts and commercial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42424"/>
          <w:sz w:val="20"/>
        </w:rPr>
        <w:t xml:space="preserve">Our people are a key pillar of our success, and we have structured our organization to maximize productivity and performance. Our future success largely depends upon our continued ability to attract and retain highly-skilled employees. We believe in attracting, developing and retaining diverse talent, and each individual, regardless of their role, impacts our progress. As of </w:t>
      </w:r>
      <w:r>
        <w:rPr>
          <w:rFonts w:ascii="Times New Roman;serif" w:hAnsi="Times New Roman;serif"/>
          <w:b w:val="false"/>
          <w:color w:val="000000"/>
          <w:sz w:val="20"/>
        </w:rPr>
        <w:t>December 31, 2025</w:t>
      </w:r>
      <w:r>
        <w:rPr>
          <w:rFonts w:ascii="Times New Roman;serif" w:hAnsi="Times New Roman;serif"/>
          <w:b w:val="false"/>
          <w:color w:val="242424"/>
          <w:sz w:val="20"/>
        </w:rPr>
        <w:t xml:space="preserve">, we employed </w:t>
      </w:r>
      <w:r>
        <w:rPr>
          <w:rFonts w:ascii="Times New Roman;serif" w:hAnsi="Times New Roman;serif"/>
          <w:b w:val="false"/>
          <w:color w:val="000000"/>
          <w:sz w:val="20"/>
        </w:rPr>
        <w:t>138</w:t>
      </w:r>
      <w:r>
        <w:rPr>
          <w:color w:val="242424"/>
        </w:rPr>
        <w:t xml:space="preserve"> </w:t>
      </w:r>
      <w:r>
        <w:rPr>
          <w:rFonts w:ascii="Times New Roman;serif" w:hAnsi="Times New Roman;serif"/>
          <w:b w:val="false"/>
          <w:color w:val="242424"/>
          <w:sz w:val="20"/>
        </w:rPr>
        <w:t xml:space="preserve">full-time employees in the United States and </w:t>
      </w:r>
      <w:r>
        <w:rPr>
          <w:rFonts w:ascii="Times New Roman;serif" w:hAnsi="Times New Roman;serif"/>
          <w:b w:val="false"/>
          <w:color w:val="000000"/>
          <w:sz w:val="20"/>
        </w:rPr>
        <w:t>7</w:t>
      </w:r>
      <w:r>
        <w:rPr>
          <w:color w:val="242424"/>
        </w:rPr>
        <w:t xml:space="preserve"> </w:t>
      </w:r>
      <w:r>
        <w:rPr>
          <w:rFonts w:ascii="Times New Roman;serif" w:hAnsi="Times New Roman;serif"/>
          <w:b w:val="false"/>
          <w:color w:val="242424"/>
          <w:sz w:val="20"/>
        </w:rPr>
        <w:t>full-time employees internationally. In addition, we utilize Professional Employment Organizations (“PEOs”) to provide labor for certain key activities outside the United States. None of our employees are covered by collective bargaining agreements. We understand our success depends on our highly talented employees, and our human capital management practices focus on attracting and retaining an engaged workforce.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242424"/>
          <w:sz w:val="20"/>
        </w:rPr>
        <w:t>Mission and Core Values</w:t>
      </w:r>
      <w:r>
        <w:rPr>
          <w:rFonts w:ascii="Times New Roman;serif" w:hAnsi="Times New Roman;serif"/>
          <w:b w:val="false"/>
          <w:color w:val="242424"/>
          <w:sz w:val="20"/>
        </w:rPr>
        <w:t>. Our mission is to bring single-molecule proteomics to every lab, everywhere. We are committed to pioneering a new generation of technology to democratize protein sequencing so scientists can generate deeper insights faster. Employees are made aware of our values - Embrace Change, Stand Up, Speak Up, Never Settle, and Succeed Together. These values are the basis of our actions and decisions.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242424"/>
          <w:sz w:val="20"/>
        </w:rPr>
        <w:t>Employee Engagement</w:t>
      </w:r>
      <w:r>
        <w:rPr>
          <w:rFonts w:ascii="Times New Roman;serif" w:hAnsi="Times New Roman;serif"/>
          <w:b w:val="false"/>
          <w:color w:val="242424"/>
          <w:sz w:val="20"/>
        </w:rPr>
        <w:t>. We have implemented an annual employee survey process to gather valuable feedback from our team. This feedback helps us strengthen our organization and foster an environment where every contribution matters and employees feel truly valued.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242424"/>
          <w:sz w:val="20"/>
        </w:rPr>
        <w:t>Training and Development</w:t>
      </w:r>
      <w:r>
        <w:rPr>
          <w:rFonts w:ascii="Times New Roman;serif" w:hAnsi="Times New Roman;serif"/>
          <w:b w:val="false"/>
          <w:color w:val="242424"/>
          <w:sz w:val="20"/>
        </w:rPr>
        <w:t>. We actively listen to our employees to understand their training needs and support their professional growth. Employees are encouraged to take full advantage of our training platform, which offers a wide range of online learning courses. In addition, we conduct monthly seminars to keep employees informed about company updates and initiatives.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242424"/>
          <w:sz w:val="20"/>
        </w:rPr>
        <w:t>Compensation and Benefits.</w:t>
      </w:r>
      <w:r>
        <w:rPr>
          <w:color w:val="242424"/>
        </w:rPr>
        <w:t xml:space="preserve"> </w:t>
      </w:r>
      <w:r>
        <w:rPr>
          <w:rFonts w:ascii="Times New Roman;serif" w:hAnsi="Times New Roman;serif"/>
          <w:b w:val="false"/>
          <w:color w:val="242424"/>
          <w:sz w:val="20"/>
        </w:rPr>
        <w:t>Life sciences companies, both large and small, compete for a limited number of qualified applicants to fill specialized positions. To attract qualified applicants and retain employees, we offer a total rewards package consisting of base salary, cash bonus and equity compensation. Bonus opportunity and equity compensation increase as a percentage of total compensation based on level of responsibility. In addition, we provide a comprehensive benefits package inclusive of medical, dental and vision healthcare coverage, including company-paid contributions into a Health Savings Account for those employees enrolled in our High-Deductible Medical Plan option. Additional employee benefits include, life insurance and disability coverage, 401(k) investment plans, tax advantaged savings account, generous paid time off and leave of absence policies, employee assistance programs and wellness programs.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242424"/>
          <w:sz w:val="20"/>
        </w:rPr>
        <w:t>Employee Health and Safety.</w:t>
      </w:r>
      <w:r>
        <w:rPr>
          <w:color w:val="242424"/>
        </w:rPr>
        <w:t xml:space="preserve"> </w:t>
      </w:r>
      <w:r>
        <w:rPr>
          <w:rFonts w:ascii="Times New Roman;serif" w:hAnsi="Times New Roman;serif"/>
          <w:b w:val="false"/>
          <w:color w:val="242424"/>
          <w:sz w:val="20"/>
        </w:rPr>
        <w:t>We prioritize the health and safety of our employees through comprehensive training programs covering general, chemical and biological safety. We continuously monitor guidance from federal and local authorities and have implemented strict policies and guidelines to ensure a safe workplace environment.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in the general life sciences technology market. We currently compete with life sciences technology and diagnostic companies supplying components, products and services that serve customers engaged in proteomics analysis. Most notably, these companies include Agilent Technologies, Bio-Rad Laboratories, Danaher, Luminex, Merck KGaA (and its subsidiary MilliporeSigma) and Thermo Fisher Scientific. In addition, there may be other non-publicized proteomics programs in development that we are not aware 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may compete with a number of emerging growth companies that have developed, or are developing, proteomic products and solutions, such as Nautilus Biotechnology, Olink Proteomics (acquired by Thermo Fisher Scientific), Quanterix, Seer and SomaLogic (acquired by Illumina, Inc.). In addition, there are a number of privately-held entities working on similar technologies as ours.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69240"/>
                <wp:effectExtent l="0" t="0" r="0" b="0"/>
                <wp:wrapNone/>
                <wp:docPr id="28" name="Frame1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there are currently no commercially available NGPS platforms beyond our Platinum and Platinum Pro systems. The legacy proteomics market today is largely served by companies offering a variety of analytical instruments, such as MS and associated reagents and consumables. There are also a number of companies providing proteomic analysis services and have developed or are developing novel proteomic technologies. Additional competing products may emerge from various sources, including life sciences tools, diagnostics, pharmaceutical and biotechnology companies, third-party service providers, academic research institutions, governmental agencies and/or public and private research institutions, among others. Many of the companies with which we compete have substantially greater financial, operational and sales channel resources than we have.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broader life science instrumentation industry is highly competitive and expected to grow more competitive with the increasing knowledge gained from ongoing research and development. Given the potential market opportunity and scientific importance of proteomic analysis, we expect increased competition and competitor technologies to emerge in the future. We believe the principal competitive factors in our target markets include: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scale required to address the complexity and dynamic range of the proteome;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resolution and sensitivity;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accuracy and reproducibility of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 of instruments and consumables;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efficiency and speed of workflows;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throughput to meet lab testing volume;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reputation among customers and key thought leaders;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innovation in product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strength of intellectual property portfolio;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operational and manufacturing footprint;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customer support infrastructure;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leadership and commercial team with extensive execution and scientific background.</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We believe there are currently no other commercially available products providing the same level of analysis at the same scale and sensitivity our platform provides. Further, we have continued to enhance our position through our ongoing product development, including our Proteus platform, commercial strategy, deployment of new and updated products as well as ongoing collaborations and partnerships with key thought leaders.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Protection of our intellectual property is a strategic priority for our business. We rely on a combination of patents, trademark, copyright, trade secret and other intellectual property rights protection and contractual restrictions to protect our proprietary technologies.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Patented Technologies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patents owned and in-licensed by us provide comprehensive coverage of our peptide sequencing and nucleic acid sequencing processes and are directed to aspects including instrument and laser light source architecture, pixel design, waveguide architecture, lifetime and color discrimination methods, machine learning and surface chemistry. We have developed a portfolio of issued patents and pending patent applications directed to commercial products and technologies for potential development. We believe our intellectual property is a core strength of our business, and our strategy includes the continued development of our patent portfolio as we develop and introduce new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69240"/>
                <wp:effectExtent l="0" t="0" r="0" b="0"/>
                <wp:wrapNone/>
                <wp:docPr id="29" name="Frame2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Patent Portfolio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 402 issued patents and 348 pending patent applications. Of our 402 issued patents, 111 were issued U.S. utility patents. These issued patents have expected expiration dates ranging between 2034 and 2043.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of our 348 pending patent applications, 69 were pending U.S. utility patent applications, 4 of which were allowed. In addition, we own 291 issued patents in foreign jurisdictions, including Australia, Brazil, China, Europe, Hong Kong, India, Japan, Malaysia, Mexico South Korea and Taiwan, and 279 pending patent applications in foreign jurisdictions, including Australia, Canada, China, Europe, Hong Kong, India, Israel, Japan, South Korea, Malaysia, Mexico, Singapore, Taiwan and Thailand, 10 of which were allowed.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Going forward, we will continue to evaluate the potential for filing patents for new intellectual property, as well as strategic adjustments of our existing portfolio to maximize our market position, as well as effective deployment of capital to maintain our existing portfolio.</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Trademark Portfolio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protect important marks through trademark registrations. As of December 31, 2025, we owned 76 trademark registrations and 61 trademark applications, of which 17 are U.S. trademark applications, Twelve of the U.S. trademark applications have been allowed.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Intellectual Property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patents, we also rely on trade secrets, technical know-how and continuing innovation to develop and maintain our competitive position. We seek to protect our proprietary information and other intellectual property by taking appropriate measures including, for example, generally requiring our employees, consultants, contractors, suppliers, outside scientific collaborators and other advisors to execute non-disclosure and assignment of invention agreements on commencement of their employment or engagement. Agreements with our employees also forbid them from using or incorporating the proprietary rights of third parties during their engagement with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generally require confidentiality or material transfer agreements from third parties that receive our confidential data or materials.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Licensed Intellectual Property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exclusive and non-exclusive licenses in the ordinary course of business relating to our technologies or other intellectual property rights or assets.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Life Sciences Research Use Only Technologies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protein sequencing products are currently intended for RUO applications, although the systems may provide data to customers and other third parties engaged in the research and development of potential diagnostic and therapeutic products and services for which they may later pursue clearance, authorization or approval from regulatory authorities, such as the U.S. Food and Drug Administration (“FDA”). All our products are labeled “For Research Use Only,” and are sold to academic and research life sciences institutions conducting basic and translational research, and biopharmaceutical and biotechnology companies for non-diagnostic and non-clinical purposes.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a long-standing FDA regulation, products intended for RUO and are labeled as RUO are not regulated by the FDA as in vitro diagnostic (“IVD”) devices and are not subject to the regulatory requirements discussed below for medical devices. RUO products may therefore be used or distributed for research use without obtaining FDA clearance or approval. Such products must bear the statement: “For Research Use Only. Not for Use in Diagnostic Procedures.” RUO products also cannot make any claims related to safety, effectiveness or diagnostic utility, and they cannot be intended for human clinical diagnostic use.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a product labeled RUO but intended or promoted for clinical diagnostic use may be viewed by the FDA as adulterated and misbranded under the Federal Food, Drug, and Cosmetic Act (“FDCA”) and subject to FDA enforcement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69240"/>
                <wp:effectExtent l="0" t="0" r="0" b="0"/>
                <wp:wrapNone/>
                <wp:docPr id="30" name="Frame2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action. The FDA will consider the totality of the circumstances surrounding distribution and use of an RUO product, including how the product is marketed and to whom, when determining its intended use. If the FDA disagrees with a company’s RUO status for its product, the company may be subject to FDA enforcement activities, including, without limitation, requiring the company to seek clearance, authorization or approval for the product.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FDA and FTC Regulation of Medical Devices in the United States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United States, medical devices are subject to extensive regulation by the FDA under the FDCA and its implementing regulations, and other federal and state statutes and regulations. The laws and regulations govern, among other things, medical device design and development, non-clinical and clinical testing, pre-market clearance, authorization or approval, establishment registration and product listing, product manufacturing, product packaging and labeling, product storage, advertising and promotion, product distribution, recalls and field actions, servicing and post-market clinical surveillance. A number of U.S. states also impose licensing and compliance regimes on companies that manufacture or distribute prescription devices into or within the state.</w:t>
      </w:r>
    </w:p>
    <w:p>
      <w:pPr>
        <w:pStyle w:val="TextBody"/>
        <w:bidi w:val="0"/>
        <w:spacing w:lineRule="auto" w:line="288" w:before="240" w:after="283"/>
        <w:jc w:val="both"/>
        <w:rPr/>
      </w:pPr>
      <w:r>
        <w:rPr>
          <w:rFonts w:ascii="Times New Roman;serif" w:hAnsi="Times New Roman;serif"/>
          <w:b w:val="false"/>
          <w:color w:val="000000"/>
          <w:sz w:val="20"/>
        </w:rPr>
        <w:t xml:space="preserve">The Federal Trade Commission (“FTC”) also oversees the advertising and promotion of our current and future products pursuant to its broad authority to police deceptive advertising for goods or services within the United States. Under the Federal Trade Commission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In the context of performance claims for products, compliance with the FTC Act includes ensuring that there is scientific data to substantiate the claims being made, that the advertising is neither false nor misleading, and that any user testimonials or endorsements disseminated related to the goods or services comply with disclosure and other regulatory requirements. In addition, with respect to products that are marketed as </w:t>
      </w:r>
      <w:r>
        <w:rPr>
          <w:rFonts w:ascii="Times New Roman;serif" w:hAnsi="Times New Roman;serif"/>
          <w:b w:val="false"/>
          <w:i/>
          <w:color w:val="000000"/>
          <w:sz w:val="20"/>
        </w:rPr>
        <w:t xml:space="preserve">in vitro </w:t>
      </w:r>
      <w:r>
        <w:rPr>
          <w:rFonts w:ascii="Times New Roman;serif" w:hAnsi="Times New Roman;serif"/>
          <w:b w:val="false"/>
          <w:color w:val="000000"/>
          <w:sz w:val="20"/>
        </w:rPr>
        <w:t>diagnostic or clinical products, FDA’s regulations applicable to medical device products prohibit them from being promoted for uses not within the scope of a given product’s intended use(s), among other promotional and labeling rules applicable to products subject to the FDCA.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FDCA and FDA’s implementing regulations define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IVDs are a type of medical device and include reagents and instruments used in the diagnosis or detection of diseases, conditions or infections, including, without limitation, the presence of certain chemicals, genetic information or other biomarkers. Predictive, prognostic and screening tests can also be IVDs.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Medical devices, including IVD products, must undergo pre-market review by, and receive clearance or approval from, the FDA prior to commercialization, unless the device is of a type exempted from such review by statute, regulation, or an FDA exercise of enforcement discretion. The FDA classifies medical devices into three classes based on risk with Class I being the lowest risk and Class III being the highest risk. The FDA generally must clear or approve the commercial sale of most new medical devices that fall within product categories designated as Class II and III. Commercial sales of most Class II and III medical devices within the United States must be preceded either by pre-market notification and FDA clearance pursuant to Section 510(k) of the FDCA (Class II) or by the granting of a pre-market approval (“PMA”) (Class III), after a pre-market application is submitted. Both 510(k) notifications and PMA applications must be submitted to FDA with significant user fees, although reduced fees for small businesses are available. Class I devices are generally exempt from pre-market review and notification, as are some moderate-risk Class II devices. Manufacturers of all classes of devices must comply with FDA’s Quality System Regulations (“QSR”), establishment registration, medical device listing, labeling requirements, and medical device reporting (“MDR”) regulations, which are collectively referred to as medical device general controls. Class II devices may also be subject to special controls such as performance standards, post-market surveillance, FDA guidelines, or particularized labeling. Some Class I and Class II devices may be exempted by regulation from the requirement of compliance with substantially all of the QSR.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Moreover,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cybersecurity threats. These types of medical devices may be vulnerable to cybersecurity incidents that could potentially impact the safety and effectiveness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69240"/>
                <wp:effectExtent l="0" t="0" r="0" b="0"/>
                <wp:wrapNone/>
                <wp:docPr id="31" name="Frame2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device, and device manufacturers are responsible for identifying cybersecurity risks and hazards associated with our products. In recent years, the FDA has increased its scrutiny of this issue as part of the review and marketing authorization process for new medical devices; the agency also monitors reports of cybersecurity incidents as part of its post-marketing device surveillance activities. In addition, as part of the Consolidated Appropriations Act for 2023, signed into law on December 29, 2022 (P.L. 117-328), Congress created new pre-market requirements for developers of “cyber devices,” defined as medical devices that include software, connect to the Internet and contain any technological features that could be vulnerable to cybersecurity threats.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Ongoing Post-Market Regulatory Requirements and FDA Enforcement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our products were deemed to be “medical devices” by the FDA, then our company would be subject to general controls which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establishment registration and device listing;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QSR, which requires manufacturers, including third-party manufacturers, to follow design, testing, control, storage, supplier/contractor selection, complaint handling, documentation and other quality assurance procedures;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labeling regulations, which govern the mandatory elements of the device labels and packaging (including Unique Device Identifier markings for certain categories of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FDA’s prohibitions against the promotion of products for uncleared, unapproved or “off-label” uses and other requirements related to promotional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MDR regulations, which require that manufacturers report to the FDA if a device may have caused or contributed to a death or serious injury or malfunctioned in a way that would likely cause or contribute to a death or serious injury if it were to recur;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voluntary and mandatory device recalls addressing problems when a device is defective and/or could be a risk to health;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correction and removal reporting regulations, which require that manufacturers report to the FDA field corrections and product recalls or removals if undertaken to reduce a risk to health posed by the device or to remedy a violation of the FDCA that may present a risk to health;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post-market surveillance regulations, which apply to certain Class II or III devices when necessary to protect the public health or to provide additional safety and effectiveness data for the device.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Additionally, certain Class II and Class III devices are subject to special controls. To ensure compliance with regulatory requirements, medical device manufacturers are subject to market surveillance and periodic, pre-scheduled and unannounced inspections by the FDA and certain state authorities. Failure to comply with applicable regulatory requirements can result in enforcement action by the FDA, which may lead to any of the following sanctions: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Warning Letters or Untitled Letters that require corrective action;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fines and civil penalties;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unanticipated expenditures;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in approving/clearing or refusal to approve/clear any of our future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FDA refusal to issue certificates to foreign governments needed to export our products for sale in other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suspension or withdrawal of FDA approval or clearance (as may be applicable);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product recall or seizure;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 suspension or total shutdown of production;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restrictions;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injunctions or consent decrees;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civil or criminal prosecution.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company, any contract manufacturers and some suppliers of components or device accessories would also be required to manufacture medical device products in compliance with current Good Manufacturing Practice requirements set forth in the QSR, unless explicitly exempted by regulation, should we develop and seek regulatory authorization for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69240"/>
                <wp:effectExtent l="0" t="0" r="0" b="0"/>
                <wp:wrapNone/>
                <wp:docPr id="32" name="Frame2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diagnostic intended uses for our products. The QSR requires a quality system for the design, manufacture, packaging, labeling, storage, installation and servicing of marketed devices, and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issued a final rule that amends its implementing regulations in order to harmonize the QSR with ISO 13485:2016; the rule changes were effective on February 2, 2026. Although the harmonization process is not expected to have a significant impact on the quality system compliance operations of device manufacturers because most requirements described in the QSR correspond to requirements set forth in ISO 13485:2016, device manufacturers will likely need to revise certain quality system procedures to ensure compliance with the harmonized regulations. Any failure to make such revisions or adapt to the harmonized regulations, once they become effective, may result in observations of non-compliance during facility inspections by the FDA or comparable regulatory authorities.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FDA evaluates compliance with the QSR, as well as other applicable device regulatory requirements, through periodic pre-scheduled or unannounced inspections that may include registered manufacturing facilities. Following such inspections, FDA may issue reports known as Forms FDA 483 or Notices of Inspectional Observations, which list instances where the FDA inspector believes the manufacturer has failed to comply with applicable regulations and/or procedures. If the observations are sufficiently serious or the manufacturer fails to respond appropriately, the FDA may issue Warning Letters, which are notices of intended enforcement actions against the manufacturer. For less serious violations that may not rise to the level of regulatory significance, FDA may issue Untitled Letters. The FDA may take more significant administrative or legal action if a manufacturer continues to be in substantial noncompliance with applicable regulations.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example, if the FDA believes a medical device developer or any of its contract manufacturers or regulated suppliers are not in compliance with these requirements and patients are being subjected to serious risks, the agency can shut down manufacturing operations, require recalls of medical device products, refuse to approve new marketing applications for future products, initiate legal proceedings to detain or seize products, enjoin future violations, or assess civil and criminal penalties against a manufacturer or its officers or other employees.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 Fraud and Abuse Laws and Other Compliance Requirements</w:t>
      </w:r>
    </w:p>
    <w:p>
      <w:pPr>
        <w:pStyle w:val="TextBody"/>
        <w:bidi w:val="0"/>
        <w:spacing w:lineRule="auto" w:line="288" w:before="240" w:after="283"/>
        <w:jc w:val="both"/>
        <w:rPr/>
      </w:pPr>
      <w:r>
        <w:rPr>
          <w:rFonts w:ascii="Times New Roman;serif" w:hAnsi="Times New Roman;serif"/>
          <w:b w:val="false"/>
          <w:i/>
          <w:color w:val="000000"/>
          <w:sz w:val="20"/>
        </w:rPr>
        <w:t xml:space="preserve">FCPA and Other Anti-Bribery and Anti-Corruption Laws. </w:t>
      </w:r>
      <w:r>
        <w:rPr>
          <w:rFonts w:ascii="Times New Roman;serif" w:hAnsi="Times New Roman;serif"/>
          <w:b w:val="false"/>
          <w:color w:val="000000"/>
          <w:sz w:val="20"/>
        </w:rPr>
        <w:t>The U.S. Foreign Corrupt Practices Act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or organizations in many countries. Our present and future business has been and will continue to be subject to various other U.S. and foreign laws, rules and/or regulations.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 and European Data Security and Data Privacy Laws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U.S. states have enacted legislation protecting the privacy and security of “personal information” such as identifiable financial or health information, social security numbers, credit card information and other personally identifiable information. These laws overlap and apply simultaneously with federal privacy and security requirements and regulated entities must comply with all of them. The California Consumer Privacy Act (“CCPA”) went into effect January 1, 2020, and is one of the most restrictive state privacy laws, protecting a wide variety of personal information and granting significant rights to California residents with respect to their personal information. Regulations under CCPA have been modified several times and continue to be modified. Additionally, a new privacy law, the California Privacy Rights Act, (“CPRA”) was approved by California voters in the election of November 3, 2020 and went into effect in January of 2023. The CPRA modified the CCPA significantly, and may result in further uncertainty, additional costs and expenses stemming from efforts to comply with this law, and increases the potential for harm and liability for failure to comply. Among other things, the CPRA established a new regulatory authority, the California Privacy Protection Agency, which is enacting new regulations and has expanded enforcement authority. Other states in the U.S. have implemented or are considering privacy laws similar to CCPA. Colorado, Connecticut, Delaware, Florida, Indiana, Iowa, Montana, New Jersey, Oregon, Tennessee, Texas, Utah and Virginia have enacted similar data protection laws to California and other U.S. states have proposals under consideration, increasing the regulatory compliance risk. In dealing with health information for the development of our technology or for commercial purposes, we will be indirectly affected by HIPAA and state-imposed health information privacy and cybersecurity laws because these laws regulate the ability of our potential customers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69240"/>
                <wp:effectExtent l="0" t="0" r="0" b="0"/>
                <wp:wrapNone/>
                <wp:docPr id="33" name="Frame2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collaborators to share health information with us. Additionally, we must identify and comply with all applicable state laws for the protection of personal information with respect to personal information that we collect.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European Union, increasingly stringent data protection and privacy rules that have and will continue to have substantial impact on the use of personal and patient data across the healthcare industry became stronger in May 2018. The General Data Protection Regulation (“GDPR”) applies across the European Union and includes, among other things, a requirement for prompt notice of data breaches to data subjects and supervisory authorities in certain circumstances and significant fines for non-compliance. The GDPR fine framework can be up to 20 million euros, or up to 4% of the company’s total global turnover of the preceding fiscal year, whichever is higher. The GDPR sets out a number of requirements that must be complied with when handling the personal data of such European Union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the new mandatory data breach regime. In particular, medical or health data, genetic data and biometric data where the latter is used to uniquely identify an individual are all classified as “special category” data under the GDPR and are afforded greater protection and require additional compliance obligations. Noncompliance could result in the imposition of fines, penalties, or orders to stop noncompliant activities. We are subject to GDPR as we undertake and expand operations in the EU, offer products or services to individuals in the EU, or monitor the behavior of individuals within the EU.</w:t>
      </w:r>
    </w:p>
    <w:p>
      <w:pPr>
        <w:pStyle w:val="TextBody"/>
        <w:bidi w:val="0"/>
        <w:spacing w:lineRule="auto" w:line="288" w:before="240" w:after="283"/>
        <w:jc w:val="both"/>
        <w:rPr/>
      </w:pPr>
      <w:r>
        <w:rPr>
          <w:rFonts w:ascii="Times New Roman;serif" w:hAnsi="Times New Roman;serif"/>
          <w:b w:val="false"/>
          <w:color w:val="000000"/>
          <w:sz w:val="20"/>
        </w:rPr>
        <w:t xml:space="preserve">We could also be subject to evolving European Union laws on data export, for transfers of data outside the EU to us, group companies or third parties. The GDPR only permits exports of data outside the EU to jurisdictions that ensure an adequate level of data protection. The United States has not been deemed to offer an adequate level of protection, so in order for us to transfer personal data from the EU to the United States, we must identify a legal basis for data transfer (e.g., the European Union Commission approved Standard Contractual Clauses or certification under the recently-adopted EU-U.S. Data Privacy Framework). On July 16, 2020, the Court of Justice of the European Union or the CJEU, issued a landmark opinion in the case </w:t>
      </w:r>
      <w:r>
        <w:rPr>
          <w:rFonts w:ascii="Times New Roman;serif" w:hAnsi="Times New Roman;serif"/>
          <w:b w:val="false"/>
          <w:i/>
          <w:color w:val="000000"/>
          <w:sz w:val="20"/>
        </w:rPr>
        <w:t xml:space="preserve">Maximilian Schrems vs. Facebook </w:t>
      </w:r>
      <w:r>
        <w:rPr>
          <w:rFonts w:ascii="Times New Roman;serif" w:hAnsi="Times New Roman;serif"/>
          <w:b w:val="false"/>
          <w:color w:val="000000"/>
          <w:sz w:val="20"/>
        </w:rPr>
        <w:t xml:space="preserve">(Case C-311/18), called </w:t>
      </w:r>
      <w:r>
        <w:rPr>
          <w:rFonts w:ascii="Times New Roman;serif" w:hAnsi="Times New Roman;serif"/>
          <w:b w:val="false"/>
          <w:i/>
          <w:color w:val="000000"/>
          <w:sz w:val="20"/>
        </w:rPr>
        <w:t xml:space="preserve">Schrems II. </w:t>
      </w:r>
      <w:r>
        <w:rPr>
          <w:rFonts w:ascii="Times New Roman;serif" w:hAnsi="Times New Roman;serif"/>
          <w:b w:val="false"/>
          <w:color w:val="000000"/>
          <w:sz w:val="20"/>
        </w:rPr>
        <w:t xml:space="preserve">This decision (a) calls into question commonly relied upon data transfer mechanisms as between the EU member states and the U.S. (such as the Standard Contractual Clauses) and (b) invalidates the EU-U.S. Privacy Shield on which many companies had relied as an acceptable mechanism for transferring such data from the EU to the U.S. The CJEU is the highest court in Europe and the </w:t>
      </w:r>
      <w:r>
        <w:rPr>
          <w:rFonts w:ascii="Times New Roman;serif" w:hAnsi="Times New Roman;serif"/>
          <w:b w:val="false"/>
          <w:i/>
          <w:color w:val="000000"/>
          <w:sz w:val="20"/>
        </w:rPr>
        <w:t xml:space="preserve">Schrems II </w:t>
      </w:r>
      <w:r>
        <w:rPr>
          <w:rFonts w:ascii="Times New Roman;serif" w:hAnsi="Times New Roman;serif"/>
          <w:b w:val="false"/>
          <w:color w:val="000000"/>
          <w:sz w:val="20"/>
        </w:rPr>
        <w:t xml:space="preserve">decision heightens the burden on data importers to assess U.S. national security laws on their business and future actions of EU data protection authorities are difficult to predict. Consequently, there is some risk of data transfers from the EU being halted. While the recently-adopted EU-U.S. Data Privacy Framework is intended to address the issues and concerns raised by the CJEU in </w:t>
      </w:r>
      <w:r>
        <w:rPr>
          <w:rFonts w:ascii="Times New Roman;serif" w:hAnsi="Times New Roman;serif"/>
          <w:b w:val="false"/>
          <w:i/>
          <w:color w:val="000000"/>
          <w:sz w:val="20"/>
        </w:rPr>
        <w:t>Schrems II</w:t>
      </w:r>
      <w:r>
        <w:rPr>
          <w:color w:val="000000"/>
        </w:rPr>
        <w:t xml:space="preserve"> </w:t>
      </w:r>
      <w:r>
        <w:rPr>
          <w:rFonts w:ascii="Times New Roman;serif" w:hAnsi="Times New Roman;serif"/>
          <w:b w:val="false"/>
          <w:color w:val="000000"/>
          <w:sz w:val="20"/>
        </w:rPr>
        <w:t>and provide an approved method for cross-border data transfer from the EU to the U.S., it will likely be subject to future legal challenges and we have not yet certified to participate in the EU-U.S. Data Privacy Framework. If we have to rely on third parties to carry out services for us, including the processing of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Further, the United Kingdom’s decision to leave the European Union, often referred to as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European Economic Area to the United Kingdom will remain lawful under GDPR.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Governmental Regulation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laws and regulations related to the protection of the environment, the health and safety of employees and the handling, transportation and disposal of medical specimens, infectious and hazardous waste and radioactive materials and we incur expenses relating to compliance with these laws and regulations. For example, the U.S. Occupational Safety and Health Administration (“OSHA”) has established extensive requirements relating specifically to workplace safety for employers in the United States.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69240"/>
                <wp:effectExtent l="0" t="0" r="0" b="0"/>
                <wp:wrapNone/>
                <wp:docPr id="34" name="Frame2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International Laws and Regulations for IVD Products</w:t>
      </w:r>
    </w:p>
    <w:p>
      <w:pPr>
        <w:pStyle w:val="TextBody"/>
        <w:bidi w:val="0"/>
        <w:spacing w:lineRule="auto" w:line="288" w:before="240" w:after="283"/>
        <w:jc w:val="both"/>
        <w:rPr/>
      </w:pPr>
      <w:r>
        <w:rPr>
          <w:rFonts w:ascii="Times New Roman;serif" w:hAnsi="Times New Roman;serif"/>
          <w:b w:val="false"/>
          <w:color w:val="000000"/>
          <w:sz w:val="20"/>
        </w:rPr>
        <w:t>Whether or not we obtain FDA marketing authorization for a clinical diagnostic product in the future, we must still obtain the requisite approvals from regulatory authorities in non-U.S. countries prior to the marketing of any product for clinical diagnostic use in those countries. The regulations in other jurisdictions vary from those in the United States and may be easier or more difficult to satisfy and are subject to change. For example, the European Commission published Regulation (EU) 2024/1860 in July 2024. This new regulation amended Regulation (EU) 2017/745 on medical devices (MDR) and Regulation (EU) 2017/746 on in vitro diagnostics (IVD Regulation). Under Regulation (EU) 2024/1860, the transitional periods for certain IVDs have been extended, the implementation of the EUDAMED database will be rolled out in phases, and manufacturers are required to provide notification to the competent authority and healthcare institutions before the interruption or discontinuation of supply of certain medical devices and IVDs.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Outside of the European Union, regulatory authorization needs to be sought on a country-by-country basis in order for us to market any clinical diagnostic products. Some countries have adopted medical device regulatory regimes, such as the Medical Device Administrative Control System (“MDACS”) published by the Hong Kong Department of Health, the Health Sciences Authority of Singapore regulation of medical devices under the Health Products Act and Health Products (Medical Devices) Regulations, and Health Canada’s risk-based classification system for devices, among others, that incorporate IVD products like the FDA’s current system. Each country may have its own processes and requirements for IVD licensing, approval/clearance and regulation, therefore requiring us to seek any regulatory approvals on a country-by-country basis.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Quantum-Si Incorporated was originally incorporated under the laws of the State of Delaware on June 24, 2013. Our principal executive offices are located at 29 Business Park Drive, Branford, Connecticut 06405, and our telephone number is (866) 688-7374.</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Information Available on the Internet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internet address is https://www.quantum-si.com, to which we regularly post copies of our press releases as well as additional information about us. Our annual reports on Form 10-K, quarterly reports on Form 10-Q, current reports on Form 8-K and all amendments to those reports, will be available to you free of charge through the Investor Relations section of our website as soon as reasonably practicable after such materials have been electronically filed with, or furnished to the SEC. The SEC maintains an internet site (http://www.sec.gov) that contains reports, proxy and information statements and other information regarding issuers that file electronically with the SEC. We include our web site address in this Annual Report on Form 10-K only as an inactive textual reference. The information contained in our website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69240"/>
                <wp:effectExtent l="0" t="0" r="0" b="0"/>
                <wp:wrapNone/>
                <wp:docPr id="35" name="Frame2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Careful consideration should be given to the following risk factors, in addition to the other information set forth in this Annual Report, including the section of this Annual Report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events described in the following risk factors actually occur, our business, financial condition, results of operations and future growth prospects could be materially and adversely affected, and the trading price of our securities could decline. Our actual results could differ materially from those anticipated in the forward-looking statements as a result of factors that are described below and elsewhere in this Annual Report on Form 10-K.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the context otherwise requires, references in this section to “we”, “us”, “our,”, the “Company” and “Quantum-Si” refer to Quantum-Si Incorporated and its subsidiaries following the Business Combination, or to Legacy Quantum-Si or HighCape prior to the Business Combination, as the case may be.</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Financial Condition and Capital Requirements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an early-stage life sciences technology company with a history of net losses and negative cash flow, which we expect to continue, and we may not be able to generate meaningful revenues or achieve and sustain profitability or positive cash flow in the future.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are an early-stage life sciences technology company and have incurred significant losses since Quantum-Si was formed in 2013, and expect to continue to incur losses in the future. We incurred net losses of </w:t>
      </w:r>
      <w:r>
        <w:rPr>
          <w:rFonts w:ascii="Times New Roman;serif" w:hAnsi="Times New Roman;serif"/>
          <w:b w:val="false"/>
          <w:color w:val="000000"/>
          <w:sz w:val="20"/>
        </w:rPr>
        <w:t>$101.3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$101.0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$96.0 million</w:t>
      </w:r>
      <w:r>
        <w:rPr>
          <w:color w:val="000000"/>
          <w:shd w:fill="FFFFFF" w:val="clear"/>
        </w:rPr>
        <w:t xml:space="preserve"> </w:t>
      </w:r>
      <w:r>
        <w:rPr>
          <w:rFonts w:ascii="Times New Roman;serif" w:hAnsi="Times New Roman;serif"/>
          <w:b w:val="false"/>
          <w:color w:val="000000"/>
          <w:sz w:val="20"/>
          <w:shd w:fill="FFFFFF" w:val="clear"/>
        </w:rPr>
        <w:t xml:space="preserve">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 xml:space="preserve">, respectively.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an accumulated deficit of </w:t>
      </w:r>
      <w:r>
        <w:rPr>
          <w:rFonts w:ascii="Times New Roman;serif" w:hAnsi="Times New Roman;serif"/>
          <w:b w:val="false"/>
          <w:color w:val="000000"/>
          <w:sz w:val="20"/>
        </w:rPr>
        <w:t>$698.0 million</w:t>
      </w:r>
      <w:r>
        <w:rPr>
          <w:rFonts w:ascii="Times New Roman;serif" w:hAnsi="Times New Roman;serif"/>
          <w:b w:val="false"/>
          <w:color w:val="000000"/>
          <w:sz w:val="20"/>
          <w:shd w:fill="FFFFFF" w:val="clear"/>
        </w:rPr>
        <w:t>. These losses and accumulated deficit were primarily due to the substantial investments made to develop and improve our technology. Over the next several years, we expect to continue to devote substantially all of our resources towards development and commercialization of our products and research and development efforts for enhancements to current products, products in development, and additional products. These efforts may prove more costly than we currently anticipate. In December 2022, we initiated a controlled launch of Platinum for RUO, subsequently began a controlled commercial launch of Platinum in January 2023, and then moved to a full commercial launch of Platinum beginning the second quarter of 2024. In January 2025, we announced the launch of our Platinum Pro benchtop sequencer. First shipments of Platinum Pro occurred in March 2025.</w:t>
      </w:r>
      <w:r>
        <w:rPr>
          <w:color w:val="000000"/>
        </w:rPr>
        <w:t xml:space="preserve"> </w:t>
      </w:r>
      <w:r>
        <w:rPr>
          <w:rFonts w:ascii="Times New Roman;serif" w:hAnsi="Times New Roman;serif"/>
          <w:b w:val="false"/>
          <w:color w:val="000000"/>
          <w:sz w:val="20"/>
          <w:shd w:fill="FFFFFF" w:val="clear"/>
        </w:rPr>
        <w:t>In addition, in November 2024 we announced the development of a new hardware platform, Proteus</w:t>
      </w:r>
      <w:r>
        <w:rPr>
          <w:rFonts w:ascii="Times New Roman;serif" w:hAnsi="Times New Roman;serif"/>
          <w:b w:val="false"/>
          <w:color w:val="000000"/>
          <w:sz w:val="13"/>
          <w:shd w:fill="FFFFFF" w:val="clear"/>
        </w:rPr>
        <w:t>TM</w:t>
      </w:r>
      <w:r>
        <w:rPr>
          <w:rFonts w:ascii="Times New Roman;serif" w:hAnsi="Times New Roman;serif"/>
          <w:b w:val="false"/>
          <w:color w:val="000000"/>
          <w:sz w:val="20"/>
          <w:shd w:fill="FFFFFF" w:val="clear"/>
        </w:rPr>
        <w:t>, with an anticipated commercial launch date at the end of 2026.</w:t>
      </w:r>
      <w:r>
        <w:rPr>
          <w:color w:val="000000"/>
        </w:rPr>
        <w:t xml:space="preserve"> </w:t>
      </w:r>
      <w:r>
        <w:rPr>
          <w:rFonts w:ascii="Times New Roman;serif" w:hAnsi="Times New Roman;serif"/>
          <w:b w:val="false"/>
          <w:color w:val="000000"/>
          <w:sz w:val="20"/>
          <w:shd w:fill="FFFFFF" w:val="clear"/>
        </w:rPr>
        <w:t>To date we have generated limited product revenue from our existing products and may never generate revenue from our existing products or future products sufficient to offset our expenses or produce enough cash to sustain operations from our existing products or future products. Accordingly, we cannot assure you that we will achieve profitability or positive cash flow production in the future or that, if we do become profitable and cash flow positive, we will sustain these levels.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a limited operating history, which may make it difficult to evaluate the prospects for our future viability and predict our future performance. As such, you cannot rely upon our historical operating performance to make an investment or voting decision regarding us.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recently commercialized our first product and have generated limited revenue to date. Even with our Platinum product launch, our operations to date have been primarily limited to developing our technology and products. Our prospects must be considered in light of the uncertainties, risks, expenses, and difficulties frequently encountered by companies in their early stages of operations. We have not yet produced our products at scale, established sales models, or conducted sales and marketing activities necessary for widespread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as a business with a limited operating history, we may encounter unforeseen expenses, difficulties, complications, delays and other known and unknown obstacles. We are transitioning from a company that previously had a sole focus on research and development to a company capable of supporting commercial activities and we may not be successful in such a transition. We have encountered in the past, and we expect to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69240"/>
                <wp:effectExtent l="0" t="0" r="0" b="0"/>
                <wp:wrapNone/>
                <wp:docPr id="36" name="Frame2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materially from our expectations, and our business, financial condition, results of operations and cash flows could be adversely affected.</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operating results may fluctuate significantly in the future, which makes our future operating results difficult to predict and could cause our operating results to fall below expectations or any guidance we or other third parties may provide.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timing and amount of expenditures that we may incur to develop, commercialize or acquire additional products and technologies or for other purposes, such as the expansion of our facilities;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changes in governmental funding of life sciences research and development or changes that impact budgets or budget cycles;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seasonal spending patterns of our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timing of when we recognize any revenues;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future accounting pronouncements or changes in our accounting policies;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outcome of any future litigation or governmental investigations involving us, our industry or both;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higher than anticipated service, replacement and warranty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impact of past or future epidemics or pandemics on the economy, investment in life sciences and research industries, our business operations, and resources and operations of our suppliers, distributors and potential customers;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general industry, economic and market conditions and other factors, including factors unrelated to our operating performance or the operating performance of our competitors.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variability and unpredictability could also result in us failing to meet the expectations of industry or financial analysts or investors for any period. If we are unable to realize our objectives associated with commercializing our products, or if our operating results fall below the expectations of analysts or investors or below any guidance we may provide, or if any guidance we provide is below the expectations of analysts or investors, it could cause the market price of our Class A common stock to decline.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need to raise additional capital to fund ongoing research and development, operating activities, and commercialization activities.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Our operations have consumed substantial amounts of cash since inception. We expect to spend substantial additional amounts to continue the commercialization of our products and to develop new products. We expect to use our funds on hand to further develop and commercialize our products, develop new products, and for working capital and general corporate purposes.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cash and cash equivalents and investments in marketable securities totaling </w:t>
      </w:r>
      <w:r>
        <w:rPr>
          <w:rFonts w:ascii="Times New Roman;serif" w:hAnsi="Times New Roman;serif"/>
          <w:b w:val="false"/>
          <w:color w:val="000000"/>
          <w:sz w:val="20"/>
        </w:rPr>
        <w:t>$215.8 million</w:t>
      </w:r>
      <w:r>
        <w:rPr>
          <w:rFonts w:ascii="Times New Roman;serif" w:hAnsi="Times New Roman;serif"/>
          <w:b w:val="false"/>
          <w:color w:val="000000"/>
          <w:sz w:val="20"/>
          <w:shd w:fill="FFFFFF" w:val="clear"/>
        </w:rPr>
        <w:t xml:space="preserve">. We expect our cash and cash equivalents and investments in marketable securities will be able to fund our operations for at least the next twelve months. However, this does not reflect the possibility that we may not be able to access a portion of our existing cash and cash equivalents and investments in marketable securities due to market conditions.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require additional capital to develop and commercialize our products and to develop new products. In addition, our operating plans may change as a result of many factors that may currently be unknown to us, and we may need to seek additional funds sooner than planned.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cannot guarantee that future financing will be available in sufficient amounts or on terms acceptable to us, if at all. Moreover, the terms of any future financing may adversely affect the holdings or the rights of our stockholders and the issuance of additional securities, whether equity or debt, by us, or the possibility of such issuance, may cause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69240"/>
                <wp:effectExtent l="0" t="0" r="0" b="0"/>
                <wp:wrapNone/>
                <wp:docPr id="37" name="Frame2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price of our Class A common stock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that are unfavorable to us, any of which may have a material adverse effect on our business, operating results and prospects. In addition, raising additional capital through the issuance of equity or debt securities would cause dilution to holders of our equity securities and/or increased fixed payment obligations, and may affect the rights of then-existing holders of our equity securities. Furthermore, these securities may have rights senior to those of our Class A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 Even if we believe that we have sufficient funds for our current or future operating plans, we may seek additional capital if market conditions are favorable or if we have specific strategic considerations.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Business and Industry</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gain commercial traction for our current products, and we may not be able to successfully commercially launch other future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2022, we initiated a controlled launch of Platinum for RUO, subsequently began a controlled commercial launch of Platinum in January 2023, and then moved to a full commercial launch of Platinum beginning the second quarter of 2024. In January 2025, we announced the launch of our Platinum Pro benchtop sequencer. First shipments of Platinum Pro occurred in March 2025. We are following a three-phase launch plan for commercialization, which included an early access limited release phase, a controlled commercial launch phase, and the current broad commercial availability phase, which is intended to drive awareness. Our commercial launch plan may not progress as planned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inability to establish the capabilities and value proposition of our products with key opinion leaders in a timely fashion;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potential need or desire to modify aspects of our products throughout our commercial launch plan;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changing industry or market conditions, customer requirements or competitor offerings over the span of our commercial launch plan;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delays in building out our sales, customer support and marketing organization as needed for each of the phases of our commercial launch plan;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delays in ramping up manufacturing, either internally or through our suppliers to meet the expected demand in each of the phases of our commercial launch plan.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our commercial launch plan is unsuccessful, our financial results will be adversely impacted.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development and launch of new products may slow or stop existing product revenue in anticipation of superior technology that is pending launch.</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November 2024, we announced the development of our Proteus platform, which is our next-generation protein sequencing hardware platform that utilizes a brand-new consumable architecture, both of which are anticipated to provide a far superior sequencing data output and analysis compared to our current Platinum Pro platform.</w:t>
      </w:r>
      <w:r>
        <w:rPr>
          <w:color w:val="000000"/>
        </w:rPr>
        <w:t xml:space="preserve"> </w:t>
      </w:r>
      <w:r>
        <w:rPr>
          <w:rFonts w:ascii="Times New Roman;serif" w:hAnsi="Times New Roman;serif"/>
          <w:b w:val="false"/>
          <w:color w:val="000000"/>
          <w:sz w:val="20"/>
          <w:shd w:fill="FFFFFF" w:val="clear"/>
        </w:rPr>
        <w:t>Further, throughout 2025, we have provided general development updates, including a comprehensive investor and analyst day update in November 2025 that highlights these significant feature improvements of Proteus, as well as an anticipated on-track commercial launch by the end of 2026.</w:t>
      </w:r>
      <w:r>
        <w:rPr>
          <w:color w:val="000000"/>
        </w:rPr>
        <w:t xml:space="preserve"> </w:t>
      </w:r>
      <w:r>
        <w:rPr>
          <w:rFonts w:ascii="Times New Roman;serif" w:hAnsi="Times New Roman;serif"/>
          <w:b w:val="false"/>
          <w:color w:val="000000"/>
          <w:sz w:val="20"/>
          <w:shd w:fill="FFFFFF" w:val="clear"/>
        </w:rPr>
        <w:t>As a result of the development of Proteus and its anticipated capabilities, we may experience customers or potential customers delaying any capital purchases or ongoing consumable purchases in anticipation of the launch of Proteus, potentially negatively affecting our revenue in the near term.</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Proteus platform is anticipated to be commercially available by the end of 2026, with an expectation of customer-focused applications and capabilities. If Proteus is not launched within our communicated time frame, or is delivered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69240"/>
                <wp:effectExtent l="0" t="0" r="0" b="0"/>
                <wp:wrapNone/>
                <wp:docPr id="38" name="Frame2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without the customer-focused applications and capabilities, it could materially impact any potential of long-term financial success and our market credibility.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November 2024, we have provided the overall market periodic updates on our Proteus platform development, including overall development status, initial views on capabilities and output, and indications or potential customer applications, as well as an anticipated commercial launch date by the end of 2026. Development of a new product platform is inherently difficult, and can often experience delays resulting from hardware integration, inability to develop desired customer applications for the commercial launch, unforeseen regulatory issues, hardware supplier challenges or a variety of other challenges impacting a commercial launch. If our Proteus platform experiences a commercial launch delay due to these reasons or other impacts on our development program, it could materially impact any long-term financial success of the Company, and further, materially impact and damage our market credibility, negatively impacting commercial success and company valuation.</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success depends on broad scientific and market acceptance, which we may fail to achieve.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ability to achieve and maintain scientific and commercial market acceptance of our products depends and will depend on a number of factors. Our products are and will be subject to market forces and adoption curves common to other new technologies. The market for proteomics and genomics technologies and products is in its early stages of development and if widespread adoption of our products takes longer than anticipated, we will continue to experience operating losses.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products. During the early access limited release phase of our commercialization launch plan, we collaborated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during the early access limited release phase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factors in achieving commercial market acceptance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ability to market and increase awareness of the capabilities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ability of our products to demonstrate comparable performance in intended use applications broadly in the hands of customers consistent with the early access limited release phase of our commercialization plan;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potential customers’ willingness to adopt new products and workflows;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product’s ease of use and whether it reliably provides advantages over other alternative technologies;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rate of adoption of our products by academic institutions, laboratories, biopharmaceutical companies and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prices we charge for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ability to develop new products and workflows and solutions for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if competitors develop and commercialize products that perform similar functions as our products;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impact of our investments in product innovation and commercial growth.</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not be successful in addressing each of these criteria or other criteria that might affect the market acceptance of Platinum and any other products we commercialize. If we are unsuccessful in achieving and maintaining market acceptance of our products, our business, financial condition, results of operations and cash flows will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69240"/>
                <wp:effectExtent l="0" t="0" r="0" b="0"/>
                <wp:wrapNone/>
                <wp:docPr id="39" name="Frame3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are unable to establish superior sales and marketing capabilities, we may not be successful in commercializing our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limited experience as a company in sales and marketing and our ability to achieve revenue growth depends on us being able to attract customers for our products. Although members of our management team have considerable industry experience, we will be required to expand our sales, marketing, distribution and customer service and support capabilities with the appropriate technical expertise to gain market share and revenue growth. To perform sales, marketing, distribution, and customer service and support successfully, we will face a number of risks,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ability to attract, retain and manage the sales, marketing and customer service and support force necessary to commercialize and gain market acceptance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time and cost of establishing a specialized sales, marketing and customer service and support force;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sales, marketing and customer service and support force may be unable to initiate and execute successful commercialization activities.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seek to enlist certain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an ongoing basis on favorable terms. If our sales and marketing efforts, or those of any third-party sales and distribution partners, are not successful, our products may not gain market acceptance, which could materially impact our business operations.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size of the markets for our products may be smaller than estimated, and new market opportunities may not develop as quickly as we expect, or at all, limiting our ability to successfully sell our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market for proteomics and genomics technologies and products is evolving, making it difficult to predict with any accuracy the size of the markets for our current and future products.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products are innovative new products, and while we draw comparisons between the evolution and growth of the genomics and proteomics markets, the proteomics market may develop more slowly or differently.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it has used, may change at any time, thereby reducing the accuracy of our estimates. As a result, our estimates of the total addressable market for our products may be incorrect.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Epidemics, pandemics or other public health crises could adversely affect our business.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operations could be significantly adversely affected by the effects of a widespread outbreak of epidemics, pandemics or other health crises. We cannot accurately predict the impact of epidemics and pandemics would have on our operations and the ability of third-parties to meet their obligations under contracts or arrangements with us, including uncertainties relating to the ultimate geographic spread of epidemics and pandemics, the severity of the underlying diseases, the duration of outbreaks, and the length of travel and quarantine restrictions imposed by governments of affected countries. In addition, a significant outbreak of contagious diseases in the human population could result in a widespread health crisis that could adversely affect the economies and financial markets of many countries, resulting in an economic downturn that could further affect our operations and ability to finance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69240"/>
                <wp:effectExtent l="0" t="0" r="0" b="0"/>
                <wp:wrapNone/>
                <wp:docPr id="40" name="Frame3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Environmental, social and governance matters may impact our business and reputation.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Increasingly, companies are being judged by their performance on a variety of environmental, social and governance (“ESG”) matters, which are considered to contribute to the long-term sustainability of companies’ performance.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variety of organizations measure the performance of companies on such ESG topics, and the results of these assessments are widely publicized. In addition, investment in funds that specialize in companies that perform well in such assessments are becoming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severity and frequency of weather-related natural disasters has been amplified, and is expected to continue to be amplified, by global climate change. Such natural disasters have caused, and in the future may cause, damage to and/or disrupt our operations, which may result in a material adverse effect on our business and results of operations. Our suppliers, vendors and business partners also face similar risks, and any disruption to their operations could have an adverse effect on our supply and manufacturing chain.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Climate change has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results of operations or cash flows, including the sustainability of our business over time.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use of artificial intelligence and machine learning is subject to evolving laws and regulations and risks associated with unauthorized use, and may not result in the competitive advantages desired, all of which could expose us to competitive risk and legal liability.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use artificial intelligence, machine learning and automated decision-making technologies (“AI”) to assist in the performance, efficiency, and speed of various functions at the Company, including, but not limited to, general and administrative activities and research and development.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regulatory framework for AI is rapidly evolving as many federal, state and foreign government bodies and agencies have introduced or are currently considering additional laws and regulations for areas including but not limited to consumer protection and transparency, bias and discrimination, intellectual property, employment and use in regulated healthcare devices. Additionally, existing laws and regulations may be interpreted in ways that would affect the operation of AI at the Company.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Further, the unauthorized use of AI tools can result in the exposure of sensitive data, including our intellectual property or trade secrets or the personal information of our employees, customers, or other business partners to unauthorized persons or to the public.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can be no assurance that we will realize the desired or anticipated benefits from AI, or any at all. Our use of AI could result in additional compliance costs, regulatory investigations and actions, and lawsuits; and If as a result, we are unable to use AI, it could make our business less efficient, result in competitive disadvantages, and our business, financial condition, results of operations and cash flows could be adversely affected.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Unfavorable global economic conditions, retaliatory economic policies, or other geopolitical conditions associated with intra-country economics and policies could adversely affect our business, financial condition or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69240"/>
                <wp:effectExtent l="0" t="0" r="0" b="0"/>
                <wp:wrapNone/>
                <wp:docPr id="41" name="Frame3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results of operations could be adversely affected by general conditions in the global economy and in the global financial markets, including changes in inflation, interest rates, tariffs, retaliatory trade policies including limitations of shipments of products, and overall economic conditions and uncertainties. For instance, we have experienced pricing increases from our suppliers. To the extent inflation or other factors increase our business costs, it may not be feasible to pass price increases on to our customers or offset higher costs through manufacturing efficiencies. Inflation or economic policies could also adversely affect the ability of our customers to purchase our products. An economic downturn could result in a variety of risks to our business, including weakened demand for our products and our inability to raise additional capital when needed on acceptable terms, if at all. A weak or declining economy could also result in further constraints on our suppliers or cause future customers to delay making payments for our products. Any of the foregoing could harm our business and we cannot anticipate all of the ways in which the current economic climate and financial market conditions could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Throughout 2025 the President of the United States issued executive orders directing the United States to impose new and changing tariffs on imports from many countries throughout the world, including many in which we buy materials and supplies from. These tariffs have increased the cost of the certain products we source from these international jurisdictions and may affect future shipments from any of our foreign suppliers. We may not be able to pass along increases in tariffs and freight charges, and any alterations we may make to our business strategy or operations to adapt to the foregoing, including sourcing products from suppliers in other countries, would be time consuming and expensive and could adversely impact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February 2026, the U.S. Supreme Court issued a ruling striking down certain tariffs previously imposed under the International Emergency Economic Powers Act (“IEEPA”).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Further, the Supreme Court did not determine whether duties paid under the invalidated tariff structure must be refunded, contributing to the uncertainty of the tariff landscape. We also cannot predict the extent to which other countries will impose duties, tariffs, taxes or other similar restrictions upon the import or export of goods and materials in the future, nor can we predict future U.S. trade policy. These developments, or the perception that any of them could occur, may have a material adverse effect on global economic conditions, and may significantly reduce global trade. These changes could prevent or make it difficult or more expensive for us to obtain the materials or components needed for new products.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Geopolitical conflicts could potentially affect our sales and disrupt our operations and could have a material adverse impact on our business.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Geopolitical conflicts could adversely impact our operations or those of our suppliers, manufacturers or customers. The extent to which these events impact our operations will depend on future developments, which are highly uncertain and cannot be predicted with confidence. If the uncertainty surrounding geopolitical conflicts and in the global marketplace continues, or if we, or any of our suppliers, manufacturers or customers encounter any disruptions to our or their respective operations or facilities, then we or they may be prevented or delayed from effectively operating our or their business, respectively, and the marketing and sale of our products and our financial results could be adversely affected.</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do not sustain or successfully manage our anticipated growth, our business and prospects will be harmed.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Our anticipated growth will place significant strains on our management, operational and manufacturing systems and processes, sales and marketing team, financial systems and internal controls and other aspects of our business. As of </w:t>
      </w:r>
      <w:r>
        <w:rPr>
          <w:rFonts w:ascii="Times New Roman;serif" w:hAnsi="Times New Roman;serif"/>
          <w:b w:val="false"/>
          <w:color w:val="000000"/>
          <w:sz w:val="20"/>
        </w:rPr>
        <w:t>December 31, 2025, we had 138</w:t>
      </w:r>
      <w:r>
        <w:rPr>
          <w:color w:val="242424"/>
        </w:rPr>
        <w:t xml:space="preserve"> </w:t>
      </w:r>
      <w:r>
        <w:rPr>
          <w:rFonts w:ascii="Times New Roman;serif" w:hAnsi="Times New Roman;serif"/>
          <w:b w:val="false"/>
          <w:color w:val="242424"/>
          <w:sz w:val="20"/>
        </w:rPr>
        <w:t xml:space="preserve">full-time employees in the United States and </w:t>
      </w:r>
      <w:r>
        <w:rPr>
          <w:rFonts w:ascii="Times New Roman;serif" w:hAnsi="Times New Roman;serif"/>
          <w:b w:val="false"/>
          <w:color w:val="000000"/>
          <w:sz w:val="20"/>
        </w:rPr>
        <w:t>7</w:t>
      </w:r>
      <w:r>
        <w:rPr>
          <w:color w:val="242424"/>
        </w:rPr>
        <w:t xml:space="preserve"> </w:t>
      </w:r>
      <w:r>
        <w:rPr>
          <w:rFonts w:ascii="Times New Roman;serif" w:hAnsi="Times New Roman;serif"/>
          <w:b w:val="false"/>
          <w:color w:val="242424"/>
          <w:sz w:val="20"/>
        </w:rPr>
        <w:t>full-time employees internationally</w:t>
      </w:r>
      <w:r>
        <w:rPr>
          <w:rFonts w:ascii="Times New Roman;serif" w:hAnsi="Times New Roman;serif"/>
          <w:b w:val="false"/>
          <w:color w:val="000000"/>
          <w:sz w:val="20"/>
          <w:shd w:fill="FFFFFF" w:val="clear"/>
        </w:rPr>
        <w:t>. Our management and other personnel will need to devote a substantial amount of time towards maintaining compliance with these requirements and effectively manage these growth activities. We may face challenges integrating, developing and motivating our employee base. To effectively manage our growth, we must continue to improve our operational and manufacturing systems and processes, our financial systems and internal controls and other aspects of our business and continue to effectively expand, train and manage our personnel. If we do not successfully manage our anticipated growth, our business, results of operations, financial condition and prospects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69240"/>
                <wp:effectExtent l="0" t="0" r="0" b="0"/>
                <wp:wrapNone/>
                <wp:docPr id="42" name="Frame3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and in the past, we have undergone leadership transitions and an internal restructuring, and we depend on our key personnel and other highly qualified personnel, and if we are unable to recruit, train and retain our personnel in the future, we may not achieve our goals.</w:t>
      </w:r>
    </w:p>
    <w:p>
      <w:pPr>
        <w:pStyle w:val="TextBody"/>
        <w:bidi w:val="0"/>
        <w:spacing w:lineRule="auto" w:line="288" w:before="240" w:after="283"/>
        <w:jc w:val="both"/>
        <w:rPr/>
      </w:pPr>
      <w:r>
        <w:rPr>
          <w:rFonts w:ascii="Times New Roman;serif" w:hAnsi="Times New Roman;serif"/>
          <w:b w:val="false"/>
          <w:color w:val="000000"/>
          <w:sz w:val="20"/>
          <w:shd w:fill="FFFFFF" w:val="clear"/>
        </w:rPr>
        <w:t>In January and August 2023, and November 2024, we committed to organizational restructurings designed to decrease our costs and create a more streamlined organization to support our business. In connection with these activities, we reduced our workforce by approximately 12%, 16%</w:t>
      </w:r>
      <w:r>
        <w:rPr>
          <w:color w:val="000000"/>
        </w:rPr>
        <w:t xml:space="preserve"> </w:t>
      </w:r>
      <w:r>
        <w:rPr>
          <w:rFonts w:ascii="Times New Roman;serif" w:hAnsi="Times New Roman;serif"/>
          <w:b w:val="false"/>
          <w:color w:val="000000"/>
          <w:sz w:val="20"/>
        </w:rPr>
        <w:t>and 23% effective in Januar</w:t>
      </w:r>
      <w:r>
        <w:rPr>
          <w:rFonts w:ascii="Times New Roman;serif" w:hAnsi="Times New Roman;serif"/>
          <w:b w:val="false"/>
          <w:color w:val="000000"/>
          <w:sz w:val="20"/>
          <w:shd w:fill="FFFFFF" w:val="clear"/>
        </w:rPr>
        <w:t>y and August 2023, and November 2024, respectively. We believe this re-prioritized strategic focus is the best way to optimize our financial and other resources to advance our goal of developing and commercializing our products and services. There can be no assurance that our restructuring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operations. Further, our restructuring may result in unexpected expenses or liabilities and/or write-offs. If our restructuring fails to achieve some or all of the expected benefits therefrom, our cash resources may not last as long as estimated and our business, results of operations and financial condition could be materially and adversely affected.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our future success depends upon our ability to recruit, train, retain and motivate key personnel, including our senior management team, as well as our research and development team and manufacturing and sales and marketing personnel. Our senior management team is critical to our vision, strategic direction, product development and commercialization efforts. 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continued growth and ability to successfully transition from a company primarily focused on research and development to commercialization depends, in part, on attracting, retaining and motivating qualified personnel, including highly-trained sales personnel with the necessary scientific background and ability to understand our products and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our industry, we may continue to utilize foreign nationals to fill part of our recruiting needs. As a result, changes to U.S. immigration policies could restrain the flow of technical and professional talent into the United States and may inhibit our ability to hire qualified personnel.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maintain fixed-term employment contracts with any of our employees. As a result, our employees could leave the Company with little or no prior notice and may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expect to be dependent upon revenue generated from the sales of our initial products from the time they are commercialized through the foreseeable future.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2022, we initiated a controlled launch of Platinum for RUO, subsequently began a controlled commercial launch of Platinum in January 2023, and then moved to a full commercial launch of Platinum beginning the second quarter of 2024. In January 2025, we announced the launch of our Platinum Pro benchtop sequencer. First shipments of Platinum Pro occurred in March 2025. If we are able to successfully commercialize our products, we expect that we will generate substantially all of our revenue from the sale of our instruments and consumables. There can be no assurance that we will be able to successfully commercialize our products,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products in order to keep up with the latest technology. To date, we have limited experience simultaneously designing, testing, manufacturing and selling products and there can be no assurance we will be able to do so. Our sales expectations are based in part on the assumption that our products will increase study sizes for our future customers and their associated purchases of our consumables. If sales of our instruments fail to materialize, so will the related consumable sales and associated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69240"/>
                <wp:effectExtent l="0" t="0" r="0" b="0"/>
                <wp:wrapNone/>
                <wp:docPr id="43" name="Frame3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our development and commercialization plans for our products,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products or product enhancements would have a substantial adverse effect on our business and results of operations.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will depend significantly on research and development spending by academic institutions and other research institutions, and any reduction in spending, driven by these customers or other third-party funding sources such as the National Institutes of Health, could limit demand for our products and adversely affect our business, results of operations, financial condition and prospects.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that a large portion of all of our revenue in the near term could be generated from sales of RUO protein sequencing products to academic institutions and other research institutions. Much of these customers’ funding will be, in turn, provided by various state, federal and international government agencies. As a result, the demand for our products will depend upon the research and development budgets of these customers, which are impacted by factors beyond our control, such as: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decreases or freezes in government funding of research and development;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macroeconomic conditions and the political climate;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potential changes in the regulatory environment;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differences in budgetary cycles, especially government or grant-funded customers, whose cycles often coincide with government fiscal year 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competitor product offerings or pricing;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market-driven pressures to consolidate operations and reduce costs;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market acceptance of relatively new technologies.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A decrease in the amount of, or delay in the approval of, appropriations to National Institutes of Health (“NIH”) or other similar U.S. or international organizations, such as the Medical Research Council in the United Kingdom, could result in fewer grants benefiting life sciences research. For example, on February 7, 2025, the NIH imposed a standard indirect rate of 15% across all NIH grants for indirect costs, defined as “facilities” and “administration,” in lieu of a separately negotiated rate for indirect costs in every grant. Indirect costs represent more than 25% of total grant dollars in 2023 awarded by the NIH. This limitation may impact research institution’s ability to govern or even accept NIH grants, thereby affecting total spending on products such as ours. Further, as of February 2025, much of the current period NIH funding allotments have either been slowed or frozen. These reductions or delays could also result in a decrease in the aggregate amount of grants awarded for life sciences research or the redirection of existing funding to other projects or priorities, any of which in turn could cause our potential customers to reduce or delay purchases of our products.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use biological and hazardous materials in a manner that causes injury or violates laws or regulations, we could be liable for damages or subject to enforcement actions.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research and product development activities currently require the controlled use of potentially harmful biological and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We generally use third-party vendors to dispose of regulated medical waste, hazardous waste and radioactive materials that we may use during our research. The cost of compliance with these laws and regulations may become significant and could have a material adverse effect on our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rely on certain contract manufacturers to manufacture and supply our instruments, components of our instruments, and certain components of our consumable offerings. If these manufacturers should fail or not perform satisfactorily,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69240"/>
                <wp:effectExtent l="0" t="0" r="0" b="0"/>
                <wp:wrapNone/>
                <wp:docPr id="44" name="Frame3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or for economic or other reasons choose to end business with us, our ability to commercialize and supply our instruments and consumable offerings would be adversely affected.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rely on certain contract manufacturers to manufacture and supply our instruments, components of our instruments, and certain components of our consumable offerings. Since most of our contracts with these manufacturers do not commit them to carry inventory or make available any particular quantities, these manufacturers may give other customers’ needs higher priority than ours, and we may not be able to obtain adequate supplies in a timely manner or on commercially reasonable terms. Further, if these manufacturers are unable to obtain critical components used in our instruments or supply our instruments on the timelines we require, our business and commercialization efforts would be harmed. </w:t>
      </w:r>
      <w:r>
        <w:rPr>
          <w:rFonts w:ascii="Times New Roman;serif" w:hAnsi="Times New Roman;serif"/>
          <w:b w:val="false"/>
          <w:color w:val="000000"/>
          <w:sz w:val="20"/>
        </w:rPr>
        <w:t>Further, any strategic decision to slow, pause, or stop any core supply based on assumptions of adequate safety stock that subsequently proves to be an incorrect estimate of supply needs could result in a supply disruption based on in ability to ramp up or slowness in ramp down processes.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it becomes necessary to utilize different contract manufacturers for our products or components of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consumable offerings, and our business would suffer. In addition, if our products are authorized for use by the FDA as medical devices, we will need to contract with FDA-registered device establishments that are able to comply with current Good Manufacturing Practice requirements that are set forth in the QSR, unless explicitly exempted by regulation.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certain of the components and consumables used in our instruments and consumable offerings are sourced from a limited number, or sole source suppliers. If we were to lose such a supplier, there can be no assurance that we will be able to identify or enter into an agreement with an alternative supplier on a timely basis on acceptable terms, if at all. An interruption in our ability to sell and deliver instruments or consumable offerings to customers could occur if we encounter delays or difficulties in securing these components or consumables, or if the quality of the components or consumables supplied do not meet specifications, or if we cannot then obtain an acceptable substitute. In the past, our suppliers have been impacted by global pandemics and epidemics, such as the COVID-19 pandemic, and we have experienced supply delays for critical hardware and instrumentation as a result. If any of these events occur, our business, results of operations, financial condition and prospects could be harmed.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internal manufacturing equipment is specialized with limited vendor options and long lead times. If these pieces of equipment were to stop working and be unable to be repaired in a timely manner or at all, our ability to manufacturer our semiconductor chips would be adversely affected.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internal manufacturing equipment is specialized with limited vendor options and long lead times. If these pieces of equipment were to stop working and be unable to be repaired in a timely manner or at all, our ability to manufacturer our semiconductor chips could be adversely affected.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it becomes necessary to utilize other equipment for our semiconductor chip manufacturing, we would experience additional costs, delays and difficulties in manufacturing our semiconductor chips, and our business would suffer. There can be no assurance that we would be able to obtain alternative equipment on a timely basis on acceptable terms, if at all. An interruption in our ability to manufacture our semiconductor chips could occur if we encounter delays or difficulties in securing this equipment or if we cannot then obtain an acceptable substitute. If any of these events occur, our business, results of operations, financial condition and prospects could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 portion of our revenue is generated through a number of key channel partners, and the loss of any such channel partner could adversely impact our business and our results of operations could suffer.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dependent on our channel partners for a portion of our revenue. Our contracts with our channel partners allow them to exercise significant discretion in the placement and promotion of our products, and such contracts do not contain any long-term volume commitments. Further, revenue from our channel partners also depends on a number of factors outside our control and may vary from period to period. If one or more of our channel partners do not effectively market and sell our products or they promote other products over ours, the volume of our products sold to customers could decrease, and our business and results of operations could therefore be significantly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69240"/>
                <wp:effectExtent l="0" t="0" r="0" b="0"/>
                <wp:wrapNone/>
                <wp:docPr id="45" name="Frame3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do not successfully develop and maintain our Platinum Analysis Software service, our commercialization efforts and therefore business and results of operations could suffer.</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 of our products depends, in part, on our ability to design and deploy our Platinum Analysis Software service in a manner that enables the integration with potential customers’ systems and accommodates potential customers’ needs. Without our software, the depth of the analysis provided for data generated by our system could be limited and utilization of our products could be hindered.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and will continue to spend significant amounts of effort developing our software, and potential enhanced versions over time, to meet our potential customers’ evolving needs. There is no assurance that the development or deployment of our software, or any potential enhancements, will be compelling to our customers. In addition, we may experience delays in our release dates of our software, and there can be no assurance that our software will be released according to schedule. If our software development and deployment plan does not accurately anticipate customer demands or if we fail to develop our software in a manner that satisfies customer preferences in a timely and cost-effective manner, our products may fail to gain market acceptance.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Commercializing our products outside of the United States could expose us to business, regulatory, political, operational, financial, and economic risks associated with doing business outside of the United States.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Engaging in international business inherently involves a number of difficulties and risks, including: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shd w:fill="FFFFFF" w:val="clear"/>
        </w:rPr>
        <w:t>required compliance with existing and changing foreign regulatory requirements and laws that are or may be applicable to our business in the future, such as the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required compliance with U.S. laws such as the Foreign Corrupt Practices Act, and other U.S. federal laws and regulations established by the Office of Foreign Assets Control of the U.S. Department of the Treasury;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export requirements and import or trade restrictions;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laws and business practices favoring local companies;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foreign currency exchange, longer payment cycles and difficulties in enforcing agreements and collecting receivables through certain foreign legal systems;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changes in social, economic, and political conditions or in laws, regulations and policies governing foreign trade, manufacturing, research and development, and investment both domestically as well as in the other countries and jurisdictions in which we operate and into which it may sell our products including as a result of the separation of the United Kingdom from the European Union (“Brexit”);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potentially adverse tax consequences, tariffs, customs charges, bureaucratic requirements, and other trade barriers;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difficulties and costs of staffing and managing foreign operations;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difficulties protecting, maintaining, enforcing or procuring intellectual property rights.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products provide a solution with many different components that work together. As such, a quality defect in a single component can compromise the performance of the entire solution. In order to successfully generate revenue from our products, we need to supply our customers with products that meet their expectations for quality and functionality in accordance with established specifications on a timely basis. Certain of our products or components of our products are manufactured by a third-party contract manufacturer at our facility using complex processes, sophisticated equipment and strict adherence to specifications and quality systems procedures. Given the complexity of our devices, individual units may occasionally require additional installation and service time prior to becoming available for customer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69240"/>
                <wp:effectExtent l="0" t="0" r="0" b="0"/>
                <wp:wrapNone/>
                <wp:docPr id="46" name="Frame3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and our manufacturing partners procure certain components of our instruments and consumables from third-party manufacturers, which includes the commonly-available raw materials needed for manufacturing as well as proprietary components. These manufacturing processes are complex. If we are not able to repeatedly produce our kits at commercial scale or source them from third-party suppliers, or encounter unexpected difficulties in packaging our consumables, our business will be adversely impacted.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will be able to continue to manufacture our instruments so that we consistently achieve the product specifications and produce results with acceptable quality. Our kits, semiconductor chips,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our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as we commercialize our Platinum Analysis Software service, we will also need to make corresponding improvements to other operational functions, such as our customer support, service and billing systems, compliance programs and our internal quality assurance programs. As we develop additional products, we may need to bring new equipment online, implement new systems, technology, controls and procedures and hire personnel with different qualifications.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rely on third-party foundries to produce silicon wafers, which when packaged and tested internally, lead to our supply of semiconductor chips. If these third-party foundries should fail or not perform satisfactorily, our ability to supply semiconductor chips would be negatively and adversely affected.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rely on third-party foundries for the production of wafers, and we may not be able to obtain adequate supplies in a timely manner or on commercially reasonable terms. If any of these third parties were not able to supply our wafers, our semiconductor chip supply would be negatively impacted and our business would be harmed.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it becomes necessary to utilize a different third party for the production of wafers, we would experience additional costs and significant delays, including identifying and entering into an agreement with a new foundry partner as well as preparing such new foundry partner to meet the logistical requirements associated with producing our wafers, which would further harm our business.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if we were to lose such third-party foundries, there can be no assurance that we will be able to identify or enter into agreements with alternative foundries on a timely basis on acceptable terms, if at all. An interruption in our ability to sell and deliver semiconductor chips to customers could occur if we encounter delays or difficulties in securing these wafers, if the quality of the wafers supplied do not meet specifications, or if we cannot then obtain an acceptable substitute. If any of these events occur, our business and operating results could be harmed.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products could have defects or errors, which may give rise to claims against us and adversely affect our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products utilize novel and complex technology and may develop or contain undetected defects or errors. Material performance problems, defects, or errors may arise, and as we commercialize our products,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69240"/>
                <wp:effectExtent l="0" t="0" r="0" b="0"/>
                <wp:wrapNone/>
                <wp:docPr id="47" name="Frame3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manufacturing our products, we depend upon third parties for the supply of our instruments and various components, many of which require a significant degree of technical expertise to produce. If our suppliers fail to produce our products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our products contain defects, we may experience: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a failure to achieve market acceptance for our products or expansion of our product sales;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loss of customer orders and delay in order fulfillment;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damage to our brand reputation;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loss of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increased warranty and customer service and support costs due to product repair or replacement;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product recalls or replacements;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inability to attract new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diversion of resources from our manufacturing and research and development team into our service team;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legal claims against us, including product liability claims, which could be costly and time consuming to defend and result in substantial damages.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life sciences technology market is highly competitive. If we fail to compete effectively, our business and results of operations will suffer.</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face significant competition in the life sciences technology market. We currently compete with life sciences technology and the diagnostic companies that are supplying components, products and services that serve customers engaged in proteomics analysis. These companies include but are not limited to: Agilent Technologies, Bio-Rad Laboratories, Danaher, Luminex, Merck KGaA (and its subsidiary MilliporeSigma) and Thermo Fisher Scientific. We also compete with a number of emerging growth companies that have developed, or are developing, proteomic products and solutions, such as: Nautilus Biotechnology, Olink Proteomics (acquired by Thermo Fisher Scientific), Quanterix, Seer and </w:t>
      </w:r>
      <w:r>
        <w:rPr>
          <w:rFonts w:ascii="Times New Roman;serif" w:hAnsi="Times New Roman;serif"/>
          <w:b w:val="false"/>
          <w:color w:val="000000"/>
          <w:sz w:val="20"/>
        </w:rPr>
        <w:t>SomaLogic (acquired by Illumina, Inc.)</w:t>
      </w:r>
      <w:r>
        <w:rPr>
          <w:rFonts w:ascii="Times New Roman;serif" w:hAnsi="Times New Roman;serif"/>
          <w:b w:val="false"/>
          <w:color w:val="000000"/>
          <w:sz w:val="20"/>
          <w:shd w:fill="FFFFFF" w:val="clear"/>
        </w:rPr>
        <w:t>. Finally, we compete with a number of privately held companies that are developing technology that may compete with our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our current competitors are large publicly-traded companies, or are divisions of large publicly-traded companies, and may enjoy a number of competitive advantages over us,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greater name and brand recognition;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greater financial and human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broader product lines;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larger sales forces and more established distributor networks;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substantial intellectual property portfolios;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larger and more established customer bases and relationships;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better established, larger scale and lower cost manufacturing capabilities.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the Company. This is particularly true for the largest research centers and laboratories that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products may not compete favorably, and we may not be successful in the face of increasing competition from products and technologies introduced by our existing or future competitors, companies entering our markets or developed by our customers internally. In addition, our competitors may have or may develop products or technologies that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69240"/>
                <wp:effectExtent l="0" t="0" r="0" b="0"/>
                <wp:wrapNone/>
                <wp:docPr id="48" name="Frame3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acquire other companies or technologies which could divert our management’s attention, result in additional dilution to our stockholders and otherwise disrupt our operations and harm our operating results.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in the future seek to acquire or invest in businesses, applications or technologies that we believe could complement or expand our existing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seek to enter into strategic collaborations and licensing arrangements with third parties, but we may not be successful in establishing or maintaining such arrangements.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seek to enter into strategic collaborations and licensing agreements with third parties to develop products, such as the creation and identification of content and development of new applications. However, there is no assurance that we will be successful in doing so. Establishing collaborations and licensing arrangements is difficult and time-consuming, and discussions may not lead to collaborations or licenses on favorable terms, if at all. Even if we establish such relationships, if our partners do not prioritize and commit sufficient resources to develop and sell products, they may never result in the successful development or commercialization of products.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ability to use net operating losses to offset future taxable income may be subject to certain limitations.</w:t>
      </w:r>
    </w:p>
    <w:p>
      <w:pPr>
        <w:pStyle w:val="TextBody"/>
        <w:bidi w:val="0"/>
        <w:spacing w:lineRule="auto" w:line="288" w:before="240" w:after="283"/>
        <w:jc w:val="both"/>
        <w:rPr/>
      </w:pPr>
      <w:r>
        <w:rPr>
          <w:rFonts w:ascii="Times New Roman;serif" w:hAnsi="Times New Roman;serif"/>
          <w:b w:val="false"/>
          <w:color w:val="000000"/>
          <w:sz w:val="20"/>
        </w:rPr>
        <w:t xml:space="preserve">As of December 31, 2025, we had federal net operating loss carryforwards (“NOLs”) to offset future taxable income of approximately </w:t>
      </w:r>
      <w:r>
        <w:rPr>
          <w:rFonts w:ascii="Times New Roman;serif" w:hAnsi="Times New Roman;serif"/>
          <w:b w:val="false"/>
          <w:color w:val="000000"/>
          <w:sz w:val="20"/>
          <w:shd w:fill="FFFFFF" w:val="clear"/>
        </w:rPr>
        <w:t>$513.1 million</w:t>
      </w:r>
      <w:r>
        <w:rPr>
          <w:rFonts w:ascii="Times New Roman;serif" w:hAnsi="Times New Roman;serif"/>
          <w:b w:val="false"/>
          <w:color w:val="000000"/>
          <w:sz w:val="20"/>
        </w:rPr>
        <w:t xml:space="preserve">, of which </w:t>
      </w:r>
      <w:r>
        <w:rPr>
          <w:rFonts w:ascii="Times New Roman;serif" w:hAnsi="Times New Roman;serif"/>
          <w:b w:val="false"/>
          <w:color w:val="000000"/>
          <w:sz w:val="20"/>
          <w:shd w:fill="FFFFFF" w:val="clear"/>
        </w:rPr>
        <w:t>$65.5 million</w:t>
      </w:r>
      <w:r>
        <w:rPr>
          <w:color w:val="000000"/>
        </w:rPr>
        <w:t xml:space="preserve"> </w:t>
      </w:r>
      <w:r>
        <w:rPr>
          <w:rFonts w:ascii="Times New Roman;serif" w:hAnsi="Times New Roman;serif"/>
          <w:b w:val="false"/>
          <w:color w:val="000000"/>
          <w:sz w:val="20"/>
        </w:rPr>
        <w:t xml:space="preserve">will begin to expire in </w:t>
      </w:r>
      <w:r>
        <w:rPr>
          <w:rFonts w:ascii="Times New Roman;serif" w:hAnsi="Times New Roman;serif"/>
          <w:b w:val="false"/>
          <w:color w:val="000000"/>
          <w:sz w:val="20"/>
          <w:shd w:fill="FFFFFF" w:val="clear"/>
        </w:rPr>
        <w:t>2033</w:t>
      </w:r>
      <w:r>
        <w:rPr>
          <w:color w:val="000000"/>
        </w:rPr>
        <w:t xml:space="preserve"> </w:t>
      </w:r>
      <w:r>
        <w:rPr>
          <w:rFonts w:ascii="Times New Roman;serif" w:hAnsi="Times New Roman;serif"/>
          <w:b w:val="false"/>
          <w:color w:val="000000"/>
          <w:sz w:val="20"/>
        </w:rPr>
        <w:t>if not utilized.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pre-change NOLs and other pre-change tax attributes (such as research tax credits) to offset post-change taxable income.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completed an analysis through December 31, 2025 and no such ownership change has occurred. Futu</w:t>
      </w:r>
      <w:r>
        <w:rPr>
          <w:rFonts w:ascii="Times New Roman;serif" w:hAnsi="Times New Roman;serif"/>
          <w:b w:val="false"/>
          <w:color w:val="000000"/>
          <w:sz w:val="20"/>
          <w:shd w:fill="FFFFFF" w:val="clear"/>
        </w:rPr>
        <w:t>re changes in our stock ownership, including future offerings, as well as other changes that may be outside of our control, could result in future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the limitations discussed above under Sections 382 of the Code, the utilization of NOLs incurred in taxable years beginning after December 31, 2017, are subject to limitations adopted by the Tax Cuts and Jobs Act, as modified by the Coronavirus Aid, Relief, and Economic Security Act (“CARES Act”). Under the TCJA, in general, NOLs generated in taxable years beginning after December 31, 2017 may offset no more than 80% of such year’s taxable income and there is no ability for such NOLs to be carried back to a prior taxable year. The CARES Act modifies the TCJA with respect to the TCJA’s limitation on the deduction of NOLs and provides that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As a result of such limitation, we may be required to pay federal income tax in some future year notwithstanding that we had a net loss for all years in the aggregate.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69240"/>
                <wp:effectExtent l="0" t="0" r="0" b="0"/>
                <wp:wrapNone/>
                <wp:docPr id="49" name="Frame4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Branford, Connecticut facilities primarily house our corporate headquarters as well as research and development activities. In addition, we have a product development and operations facility located in San Diego, California, and a semiconductor chip manufacturing location in Garnet Valley, Pennsylvania. Our instruments are manufactured at our third-party manufacturer’s facilities in the United States and internationally, and our consumables are manufactured at various locations in the United States including at our facilities in San Diego, California and Garnet Valley, Pennsylvania, and internationally.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facilities in Branford, Garnet Valley, San Diego and those of our third-party manufacturers are vulnerable to natural disasters, public health crises and catastrophic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facilities given the specialized equipment housed within them. The inability to manufacture our instruments or consumables, combined with limited inventory of manufactured instruments and consumables, may result in the loss of future customers or harm our reputation, and we may be unable to re-establish relationships with those customers in the future.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our research and development program or commercialization program were disrupted by a disaster or catastrophe, the launch of new products and the timing of improvements to our products could be significantly delayed and could adversely impact our ability to compete with other available products and solutions. If we or our third-party manufacturer’s capabilities are impaired, we may not be able to manufacture and ship our products in a timely manner, which would adversely impact our business. Although we possess insurance for damage to our property and have limited coverage for disruption of our business, this insurance may not be sufficient to cover all of our potential losses and may not continue to be available to us on acceptable terms, or at all.</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experience a significant disruption in our information technology systems, including our Platinum Analysis Software services, or cybersecurity incidents, our business could be adversely affected.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rely, and will continue to rely on, information technology systems to keep financial and employment records, facilitate our research and development initiatives, manage our manufacturing operations, maintain quality control, fulfill customer orders, maintain corporate records, communicate with staff, provide our Platinum Analysis Software services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especially in the health care industry. Methods of attacks on information technology systems and data security breaches change frequently, are increasingly complex and sophisticated, including deployment of harmful malware and key loggers, ransomware, a malicious website, social engineering and phishing scams, and other means to affect the confidentiality, integrity and availability of our technology systems and data, and can originate from a wide variety of sources. In addition to traditional computer “hackers,” malicious code, such as viruses and worms, denial-of-service attacks and sophisticated nation-state and nation-state supported actors present a constant threat, including advanced persistent threat intrusions. Cyberattacks may also be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Techniques used in cybersecurity attacks to obtain unauthorized access, disable or sabotage information technology systems are evolving rapidly with data breaches and other cybersecurity incidents becoming commonplace. Despite our efforts to create security barriers to such threats, it is virtually impossible for us to completely mitigate these risks. In August 2020, we discovered ransomware on a server and engaged third-party forensics experts and outside counsel for incident response. We did not pay ransom to the attacker because the documents that were encrypted by the attacker were sufficiently backed up and the investigation further confirmed that no employee data or other personal information was accessed. We implemented a number of security enhancements as the incident unfolded and continue to implement short- and long-term security enhancements to further secure our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69240"/>
                <wp:effectExtent l="0" t="0" r="0" b="0"/>
                <wp:wrapNone/>
                <wp:docPr id="50" name="Frame4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our security measures, or those of our vendors and partners, are compromised due to any cybersecurity attacks or incidents, including as a result of third-party action, employee or customer error, malfeasance, stolen or fraudulently obtained log-in credentials, power outages, hardware failures, telecommunication or utility failures, catastrophes, other unforeseen events or otherwise, our reputation could be damaged, our business may be harmed, we could become subject to litigation and we could incur significant expense and liability. If we were to experience a prolonged system disruption in our information technology systems or those of certain of our vendors and partners, it could adversely impact our business and operations, and could result in financial, legal, operational or reputational harm to us, loss of competitive advantage or loss of consumer confidence. If our operations are disrupted, it may cause a material disruption in our business if we do not restore functionality in an acceptable timeframe. In addition, cybersecurity incidents could lead to the loss of trade secrets or other intellectual property, or could lead to the unauthorized access or loss of personal information, including sensitive personal information, of our employees, customers and other third parties, any of which could have a material adverse effect on our business and result in financial, legal, operational or reputational harm to us, loss of competitive advantage or loss of consumer confidence.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cybersecurity incidents could result in legal claims or proceedings, including class action lawsuits, regulatory investigations or actions, and other types of liability under laws that protect the privacy and security of personal information, including federal, state and foreign data protection and privacy rules and regulations, violations of which could result in material penalties and fines. In addition, although we seek to detect and investigate all cybersecurity incidents, bad actors have become increasingly proficient at operating undetected within an information system, making cybersecurity incidents involving unauthorized access to our information technology systems and data difficult to detect and any delay in identifying such incidents may lead to increased harm and legal exposure of the type described above. Moreover, we may be required to make public announcements regarding any cybersecurity incidents involving the Company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cost of protecting against, investigating, mitigating and responding to potential breaches of information technology systems and cybersecurity incidents and complying with applicable breach notification obligations to individuals, regulators, partners and others can be significant. As cybersecurity incidents and regulatory requirements continue to evolve, we may be required to expend significant additional resources to continue to modify or enhance our protective measures or to investigate and remediate any security vulnerabilities. The inability to implement, maintain and upgrade adequate safeguards could have a material effect on our business, financial condition, results of operations and ability to operate the business as a going concern . While we currently maintain cybersecurity insurance, our insurance policies may not provide adequate coverage to compensate us for the potential costs and other losses arising from such disruptions, failures or security incidents. In addition, such insurance may not be available to us in the future on economically reasonable terms, or at all, and it is possible that an insurer may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and result in financial, legal, operational or reputational harm to us, loss of competitive advantage or loss of consumer confidence.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could become subject to various litigation claims and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as well as certain of our directors and officers, may become subject to claims or lawsuits during the ordinary course of business. If any such claim or lawsuit was brought, regardless of the outcome, such claim or lawsuit could result in significant legal fees and expenses and could divert management’s time and other resources. If any such claims or lawsuits are successfully asserted against us, or any other party we have agreed to indemnify, we could be liable for damages or reimbursement of damages and be required to alter or cease certain of our business practices. Any of these outcomes could cause our business, financial performance and cash position to be negatively impacted.</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Government Regulation</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elect to label and promote any of our products as clinical diagnostics or medical devices, we would be required to obtain prior marketing authorization from the FDA, which would take significant time and expense and could fail to result in FDA marketing authorization of the device for the intended use or uses we believe are commercially attractive.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protein sequencing products are currently labeled, promoted, and sold primarily to academic and research institutions and research companies as RUO products. They are not currently designed, or intended to be used, for clinical diagnostic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69240"/>
                <wp:effectExtent l="0" t="0" r="0" b="0"/>
                <wp:wrapNone/>
                <wp:docPr id="51" name="Frame4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purposes or as medical devices. If we elect to label and market our products for use as, or in the performance of, clinical diagnostics in the United States, thereby subjecting them to FDA regulation as medical devices, we would be required to obtain pre-market authorization from the FDA, unless an exception applies.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future, if we choose to develop and market our products for clinical or diagnostic uses in the United States, we will be required to comply with FDA’s regulations for in vitro diagnostic (“IVD”) medical devices. Complying with FDA’s medical device regulations may be expensive, time-consuming, and subject us to significant and/or unanticipated delays. There can be no guarantee that we will be able to obtain the appropriate marketing authorization for our protein sequencing products that may be developed for clinical or diagnostic intended uses in the future.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in the future register with the FDA as a specification developer and list some of our ancillary products with the FDA as Class I general purpose laboratory equipment, subjecting us to ongoing inspections by the FDA. While this regulatory classification is exempt from certain FDA requirements, such as the need to submit a pre-market notification commonly known as a 510(k), and some of the requirements of the FDA’s QSR, those device products would be subject to mandatory general controls that apply to all classes of medical devices. In addition to establishment registration, device listing and compliance with applicable QSR, general controls include compliance with FDA regulations for labeling, reporting adverse events or malfunctions for the products, and general prohibitions against misbranding and adulteration.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us failing to obtain regulatory clearance or approval to market such products, which would significantly harm our business, results of operations, reputation, and prospects.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sought and received regulatory marketing authorization for certain of our protein sequencing products, we would be subject to ongoing FDA obligations and continued regulatory oversight and review, including the general controls listed above. In addition, we could be required to obtain a new clearance or approval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could decide to seek regulatory clearance or approval for certain of our future clinical diagnostic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marketing authorization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TextBody"/>
        <w:bidi w:val="0"/>
        <w:spacing w:lineRule="auto" w:line="288" w:before="240" w:after="283"/>
        <w:jc w:val="both"/>
        <w:rPr/>
      </w:pPr>
      <w:r>
        <w:rPr>
          <w:rFonts w:ascii="Times New Roman;serif" w:hAnsi="Times New Roman;serif"/>
          <w:b/>
          <w:i/>
          <w:color w:val="000000"/>
          <w:sz w:val="20"/>
          <w:shd w:fill="FFFFFF" w:val="clear"/>
        </w:rPr>
        <w:t>Our research use only (</w:t>
      </w:r>
      <w:r>
        <w:rPr>
          <w:color w:val="000000"/>
          <w:shd w:fill="FFFFFF" w:val="clear"/>
        </w:rPr>
        <w:t>“</w:t>
      </w:r>
      <w:r>
        <w:rPr>
          <w:rFonts w:ascii="Times New Roman;serif" w:hAnsi="Times New Roman;serif"/>
          <w:b/>
          <w:i/>
          <w:color w:val="000000"/>
          <w:sz w:val="20"/>
          <w:shd w:fill="FFFFFF" w:val="clear"/>
        </w:rPr>
        <w:t>RUO</w:t>
      </w:r>
      <w:r>
        <w:rPr>
          <w:color w:val="000000"/>
          <w:shd w:fill="FFFFFF" w:val="clear"/>
        </w:rPr>
        <w:t>”</w:t>
      </w:r>
      <w:r>
        <w:rPr>
          <w:rFonts w:ascii="Times New Roman;serif" w:hAnsi="Times New Roman;serif"/>
          <w:b/>
          <w:i/>
          <w:color w:val="000000"/>
          <w:sz w:val="20"/>
          <w:shd w:fill="FFFFFF" w:val="clear"/>
        </w:rPr>
        <w:t>) products could become subject to government regulation as medical devices by the U.S. Food and Drug Administration (</w:t>
      </w:r>
      <w:r>
        <w:rPr>
          <w:color w:val="000000"/>
          <w:shd w:fill="FFFFFF" w:val="clear"/>
        </w:rPr>
        <w:t>“</w:t>
      </w:r>
      <w:r>
        <w:rPr>
          <w:rFonts w:ascii="Times New Roman;serif" w:hAnsi="Times New Roman;serif"/>
          <w:b/>
          <w:i/>
          <w:color w:val="000000"/>
          <w:sz w:val="20"/>
          <w:shd w:fill="FFFFFF" w:val="clear"/>
        </w:rPr>
        <w:t>FDA</w:t>
      </w:r>
      <w:r>
        <w:rPr>
          <w:color w:val="000000"/>
          <w:shd w:fill="FFFFFF" w:val="clear"/>
        </w:rPr>
        <w:t>”</w:t>
      </w:r>
      <w:r>
        <w:rPr>
          <w:rFonts w:ascii="Times New Roman;serif" w:hAnsi="Times New Roman;serif"/>
          <w:b/>
          <w:i/>
          <w:color w:val="000000"/>
          <w:sz w:val="20"/>
          <w:shd w:fill="FFFFFF" w:val="clear"/>
        </w:rPr>
        <w:t>) and other regulatory agencies even if we do not elect to seek regulatory authorization to market our products for diagnostic purposes, which would adversely impact our ability to market and sell our products and harm our business.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our current protein sequencing products are labeled, promoted, and sold as RUO products that are therefore not regulated as IVD medical devices, the FDA or comparable agencies of other countries could disagree with our conclusion that our products are intended for RUO or deem our sales, marketing and promotional efforts as being inconsistent with the criteria for RUO products. For example, our customers may independently elect to use our RUO labeled products in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69240"/>
                <wp:effectExtent l="0" t="0" r="0" b="0"/>
                <wp:wrapNone/>
                <wp:docPr id="52" name="Frame4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own lab-developed tests (“LDTs”) for clinical diagnostic uses, which could subject our products to government regulation, and regulatory requirements related to marketing, selling, and distribution of RUO products could change or be uncertain, even if clinical uses of our RUO products by our customers were done without our consent. FDA reviews the totality of the circumstances when it comes to evaluating whether equipment and testing components are properly labeled as RUO and takes the position that merely including a labeling statement that the product is for research purposes only will not necessarily render the device exempt from the FDA’s device regulatory requirements if the circumstances surrounding the distribution, marketing and promotional practices indicate that the manufacturer knows its products are, or intends for its products to be, used for clinical diagnostic purposes. If the FDA or other regulatory authorities assert that any of our RUO products are subject to regulatory clearance or approval, our business, financial condition, results of operations or cash flows could be adversely affected.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number of years, the FDA has exercised its regulatory enforcement discretion not to regulate LDTs as medical devices if the tests are created and used within a single laboratory. However, in October 2023, the FDA issued a proposed rule aimed at regulating LDTs under the current medical device framework and proposing to phase out its existing enforcement discretion policy for this category of diagnostic tests; the public comment period ended in early December 2023. The proposal envisions that the LDT enforcement policy phase-out process would occur in gradual stages over a total period of four years, although more details are expected to be provided with the upcoming final rule. The likelihood of the FDA finalizing the proposed rule in April 2024 (as currently projected), as well as potential litigation challenging the agency’s authority to take such action, is uncertain at this time. Affected entities continue to press for a comprehensive legislative solution instead of implementation of the proposed FDA administrative action, which may be disruptive to the industry and to patient access to certain diagnostic tests, and litigation against FDA is expected to be initiated following issuance of the final rule. Separately, federal legislators have been working with stakeholders for several years on a possible bill to reform the regulation of in vitro clinical tests including LDTs. For example, as drafted and re-introduced for consideration by the current Congress, the Verifying Accurate, Leading-edge IVCT Development Act (“VALID Act”) would codify into law the term “in vitro clinical test” (“IVCT”) to create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legislative or administrative rule making or new federal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modernized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the Health Insurance Portability and Accountability Act of 1996 (“HIPAA”), the Physician Payments Sunshine Act and related transparency and manufacturer reporting laws, and other laws and regulations applicable to medical device manufacturers.</w:t>
      </w:r>
    </w:p>
    <w:p>
      <w:pPr>
        <w:pStyle w:val="TextBody"/>
        <w:bidi w:val="0"/>
        <w:spacing w:lineRule="auto" w:line="288" w:before="240" w:after="283"/>
        <w:jc w:val="both"/>
        <w:rPr/>
      </w:pPr>
      <w:r>
        <w:rPr>
          <w:rFonts w:ascii="Times New Roman;serif" w:hAnsi="Times New Roman;serif"/>
          <w:b/>
          <w:i/>
          <w:color w:val="000000"/>
          <w:sz w:val="20"/>
          <w:shd w:fill="FFFFFF" w:val="clear"/>
        </w:rPr>
        <w:t>Our reagents may be used by clinical laboratories to create Laboratory-Developed Tests (</w:t>
      </w:r>
      <w:r>
        <w:rPr>
          <w:color w:val="000000"/>
          <w:shd w:fill="FFFFFF" w:val="clear"/>
        </w:rPr>
        <w:t>“</w:t>
      </w:r>
      <w:r>
        <w:rPr>
          <w:rFonts w:ascii="Times New Roman;serif" w:hAnsi="Times New Roman;serif"/>
          <w:b/>
          <w:i/>
          <w:color w:val="000000"/>
          <w:sz w:val="20"/>
          <w:shd w:fill="FFFFFF" w:val="clear"/>
        </w:rPr>
        <w:t>LDTs</w:t>
      </w:r>
      <w:r>
        <w:rPr>
          <w:color w:val="000000"/>
          <w:shd w:fill="FFFFFF" w:val="clear"/>
        </w:rPr>
        <w:t>”</w:t>
      </w:r>
      <w:r>
        <w:rPr>
          <w:rFonts w:ascii="Times New Roman;serif" w:hAnsi="Times New Roman;serif"/>
          <w:b/>
          <w:i/>
          <w:color w:val="000000"/>
          <w:sz w:val="20"/>
          <w:shd w:fill="FFFFFF" w:val="clear"/>
        </w:rPr>
        <w:t>), which could, in the future, become subject to some form of FDA or other regulatory requirements, which could materially and adversely affect our business and results of operations.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in the future register with the FDA as a specification developer and list ancillary products such as customized reagents with the FDA as Class I general purpose laboratory equipment and reagents. A clinical laboratory could potentially use our custom-manufactured reagents to create what is called an LDT. LDTs are diagnostic tests that are developed, validated and performed by a single clinical laboratory operating in compliance with the Clinical Laboratory Improvement Amendments (“CLIA”), and under the oversight of the Centers for Medicare &amp; Medicaid Services (“CMS”). Historically, FDA has generally exercised enforcement discretion not to regulate LDTs as medical devices, although as discussed above in October 2023 it issued a proposed rule to regulate LDTs under the current medical device framework and phase out its existing enforcement discretion policy for LDTs. The FDA initiated this rulemaking following several years of inaction by Congress and in light of public health concerns the agency perceives to exist with certain marketed LDTs, in part as a result of the growth in the volume and complexity of testing services utilizing LDTs, such as genetic testing services over the past four decades Congress also continues to face pressure from stakeholders to enact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69240"/>
                <wp:effectExtent l="0" t="0" r="0" b="0"/>
                <wp:wrapNone/>
                <wp:docPr id="53" name="Frame4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comprehensive legislative solution to create a harmonized paradigm for oversight of LDTs by both the FDA and CMS. Any legislative or administrative rule making or new federal oversight of LDTs, if and when finalized, could decrease demand for our reagents by affecting how customers can use those products. Additionally, compliance with additional regulatory burdens could be time consuming and costly for our customers. We cannot predict how these various efforts will be resolved, how Congress or the FDA will regulate LDTs in the future, or how that modernized regulatory system will impact our business.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the FDA may disagree that such products are Class 1 medical devices and require us to obtain pre-market clearance or approval before we can continue to sell our reagent products to certain customers.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of concern as we develop and begin to commercialize products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HIPAA, which created additional federal criminal statutes that prohibit, among other things, executing a scheme to defraud any healthcare benefit program and making false statements relating to healthcare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federal Physician Sunshine Act, which requires certain manufacturers of drugs, devices, biologics and medical supplies for which payment is available under Medicare, Medicaid or the Children’s Health Insurance Program, to report annually to CMS, information related to payments and other transfers of value to physicians (defined broadly to include doctors, dentists, optometrists, podiatrists and chiropractors), teaching hospitals and certain advanced non-physician healthcare practitioners, as well as ownership interests held by physicians and their immediate family members;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analogous state and foreign law equivalents of each of the above federal laws, such as anti-kickback and false claims laws, which may apply to items or services reimbursed by any third-party payor, including commercial insurers or patients.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laws and regulations, among other things, constrain our business, marketing and other promotional activities by limiting the kinds of financial arrangements we may have with hospitals, physicians or other developers or potential purchasers of our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69240"/>
                <wp:effectExtent l="0" t="0" r="0" b="0"/>
                <wp:wrapNone/>
                <wp:docPr id="54" name="Frame4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Medicaid, imprisonment, contractual damages, reputational harm, disgorgement and the curtailment or restructuring of our operations.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addition, members of our management and companies with which they are affiliated or have been affiliated with in the past, have been, and may in the future be, involved in investigations, prosecutions, convictions or settlements in the healthcare industry. For example, Kevin Rakin, a member of our board of directors (the “Board”), was named as a defendant in </w:t>
      </w:r>
      <w:r>
        <w:rPr>
          <w:rFonts w:ascii="Times New Roman;serif" w:hAnsi="Times New Roman;serif"/>
          <w:b w:val="false"/>
          <w:i/>
          <w:color w:val="000000"/>
          <w:sz w:val="20"/>
          <w:shd w:fill="FFFFFF" w:val="clear"/>
        </w:rPr>
        <w:t>United States ex rel. Webb v. Advanced BioHealing, Inc.</w:t>
      </w:r>
      <w:r>
        <w:rPr>
          <w:color w:val="000000"/>
          <w:shd w:fill="FFFFFF" w:val="clear"/>
        </w:rPr>
        <w:t xml:space="preserve"> </w:t>
      </w:r>
      <w:r>
        <w:rPr>
          <w:rFonts w:ascii="Times New Roman;serif" w:hAnsi="Times New Roman;serif"/>
          <w:b w:val="false"/>
          <w:color w:val="000000"/>
          <w:sz w:val="20"/>
          <w:shd w:fill="FFFFFF" w:val="clear"/>
        </w:rPr>
        <w:t>(“ABH”),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currently subject to, and may in the future become subject to, both U.S. federal and state laws and regulations as well as international laws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ordinary course of our business, we currently, and in the future will, collect, store, transfer, use or process sensitive data, including personally identifiable information of employees.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complicates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disclosures regarding information practices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the California Privacy Rights Act (“CPRA”), was approved by California voters in the election of November 3, 2020 and went into effect in January of 2023 modifying the CCPA significantly, potentially resulting in further uncertainty and requiring us to incur additional costs and expenses in an effort to comply. In addition, similar laws and regulations in other U.S. states, such as Colorado, Connecticut, New Jersey, Delaware, Utah, Virginia, Oregon, Indiana, Iowa, Tennessee, Montana, Florida and Texas and other international jurisdictions have been applied to protect individuals’ privacy (including laws regarding unfair and deceptive practices in the United States and GDPR in the European Union) and may be subject to evolving interpretations or applications. Furthermore, defending a suit for the wrongful use or disclosure of health or personal information, regardless of its merit, could be costly, divert management’s attention and harm our reputation.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the federal level, regulations promulgated pursuant to HIPAA as amended by the Health Information Technology for Economic and Clinical Health Act (“HITECH”) establish privacy and security standards that limit the use and disclosure of individually identifiable health information (known as “protected health information” when protected under HIPAA) and require the implementation of administrative, physical and technological safeguards to protect the privacy and security of protected health information and ensure the confidentiality, integrity and availability of electronic protected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69240"/>
                <wp:effectExtent l="0" t="0" r="0" b="0"/>
                <wp:wrapNone/>
                <wp:docPr id="55" name="Frame4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Determining HIPAA applicability to our operations as our operations evolve, obligations under applicable privacy standards and our contractual obligations may require complex factual and regulatory analyses and may be subject to differing or changing interpretations. Although we take measures to protect sensitive data from unauthorized access, use or disclosure, our information technology and infrastructure may be vulnerable to attacks by hackers or viruses or accessed due to employee error, malfeasance or other malicious or inadvertent disruptions. Any such breach, incident or interruption could compromise our networks and the information stored there could be accessed by unauthorized parties, manipulated, acquired, publicly disclosed, lost or stolen. Any such access or other loss of information could result in legal claims or proceedings, and liability for us or our customers under international or U.S. federal or state laws that protect the privacy of health information, such as HIPAA, and regulatory penalties. Notice of certain incidents may be required to be provided to affected individuals, the Secretary of the Department of Health and Human Services, and for extensive breaches, notice may also need to be made to the media. Additionally, state law may require notice to the applicable state Attorney General. Such notices could result in financial, legal, operational or reputational harm to us, loss of competitive advantage or loss of consumer confidence.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continue to evaluate our compliance obligations,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and cybersecurity practices and any policies that we have implemented,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international laws and regulations relating to data privacy and security, could result in damage to our reputation, as well as proceedings or litigation by governmental agencies or other third parties, including class action litigation in certain jurisdictions, which would subject us to significant expense, as well as potential fines, sanctions, awards, penalties or judgments, all of which could have a material adverse effect on our business, financial condition, reputation,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could be adversely affected by alleged violations of the Federal Trade Commission Act or other truth-in-advertising and consumer protection laws.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advertising for current and future products is subject to federal truth-in-advertising laws enforced by the Federal Trade Commission (“FTC”), as well as comparable state consumer protection laws.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Any actual or perceived non-compliance with those laws could lead to an investigation by the FTC or a comparable state agency or could lead to allegations of misleading advertising by private plaintiffs. Any such action against us could disrupt our business operations, cause damage to our reputation, and result in material adverse effects on our business.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addition, with respect to any of our future products that are marketed as </w:t>
      </w:r>
      <w:r>
        <w:rPr>
          <w:rFonts w:ascii="Times New Roman;serif" w:hAnsi="Times New Roman;serif"/>
          <w:b w:val="false"/>
          <w:i/>
          <w:color w:val="000000"/>
          <w:sz w:val="20"/>
          <w:shd w:fill="FFFFFF" w:val="clear"/>
        </w:rPr>
        <w:t>in vitro</w:t>
      </w:r>
      <w:r>
        <w:rPr>
          <w:color w:val="000000"/>
          <w:shd w:fill="FFFFFF" w:val="clear"/>
        </w:rPr>
        <w:t xml:space="preserve"> </w:t>
      </w:r>
      <w:r>
        <w:rPr>
          <w:rFonts w:ascii="Times New Roman;serif" w:hAnsi="Times New Roman;serif"/>
          <w:b w:val="false"/>
          <w:color w:val="000000"/>
          <w:sz w:val="20"/>
          <w:shd w:fill="FFFFFF" w:val="clear"/>
        </w:rPr>
        <w:t>diagnostic or clinical products, FDA’s regulations applicable to medical device products prohibit them from being promoted for uses not within the scope of a given product’s intended use(s), among other promotional and labeling rules applicable to products subject to the Federal Food, Drug, and Cosmetic Act (“FDCA”).</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Medical product manufacturers’ use of social media platforms could present new risks.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potential customer base for future clinical diagnostic applications of our protein sequencing technologies may be active on social media. We intend to engage through those platforms to elevate our national marketing presence, both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69240"/>
                <wp:effectExtent l="0" t="0" r="0" b="0"/>
                <wp:wrapNone/>
                <wp:docPr id="56" name="Frame4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RUO product offerings and any future medical device product offerings. Social media practices in the medical device and biopharmaceutical industries are evolving, which creates uncertainty and risk of non-compliance with regulations applicable to our business. For example, there is a risk of inappropriate disclosure of sensitive information or negative or inaccurate posts or comments about us or our products on any social networking website. If these events were to occur or we otherwise fail to comply with any applicable regulations, we could incur liability, face restrictive regulatory actions or experience other harm to our business.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Intellectual Property</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rely on patent protection as well as trademark, copyright, trade secret and other intellectual property right protection and contractual restrictions to protect our proprietary products and technologies, all of which provide limited protection and may not adequately protect our rights or permit us to gain or keep any competitive advantage. If we fail to obtain, maintain and sufficiently enforce our intellectual property, third parties may be able to compete more effectively against us. In addition, we may incur substantial litigation costs in our attempts to recover damages or restrict use of our intellectual property.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our intellectual property offers inadequate protection, or is found to be invalid or unenforceable, we would be exposed to a greater risk of direct competition. If our intellectual property does not provide adequate coverage against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depends in large part on our and our licensors’ ability to obtain and maintain protection of the intellectual property we may own solely or jointly with, or license from, third parties, particularly patents, in the United States and other countries directed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be issued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obtained and enforced by such third parties in a manner consistent with the best interests of our business.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presents a reasonably limited degree of uncertainty. It is possible that some of our pending patent applications will not result in issued patents in a timely fashion or at all, and even if patents are granted, they may not provide a basis for intellectual property protection of commercially viable products or services, may not provide any competitive advantages, or may be challenged, narrowed and/or invalidated by third parties. There exists some degree of uncertainty over the breadth of claims that may be allowed or enforced in our patents or in third-party patents. It is possible that third parties will attempt to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69240"/>
                <wp:effectExtent l="0" t="0" r="0" b="0"/>
                <wp:wrapNone/>
                <wp:docPr id="57" name="Frame4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substantial cost, and may divert our efforts and attention from other aspects of our business. Any of the foregoing events could have a material adverse effect on our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through USPTO administered post-grant proceedings, including post-grant review, </w:t>
      </w:r>
      <w:r>
        <w:rPr>
          <w:rFonts w:ascii="Times New Roman;serif" w:hAnsi="Times New Roman;serif"/>
          <w:b w:val="false"/>
          <w:i/>
          <w:color w:val="000000"/>
          <w:sz w:val="20"/>
          <w:shd w:fill="FFFFFF" w:val="clear"/>
        </w:rPr>
        <w:t>inter partes</w:t>
      </w:r>
      <w:r>
        <w:rPr>
          <w:color w:val="000000"/>
          <w:shd w:fill="FFFFFF" w:val="clear"/>
        </w:rPr>
        <w:t xml:space="preserve"> </w:t>
      </w:r>
      <w:r>
        <w:rPr>
          <w:rFonts w:ascii="Times New Roman;serif" w:hAnsi="Times New Roman;serif"/>
          <w:b w:val="false"/>
          <w:color w:val="000000"/>
          <w:sz w:val="20"/>
          <w:shd w:fill="FFFFFF" w:val="clear"/>
        </w:rPr>
        <w:t>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Various courts, including the U.S. Supreme Court, have rendered decisions that impact the scope of patentability of certain inventions or discoveries relating to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somewhat uncertain. Furthermore, in view of these decisions, since December 2014, the USPTO has published and continues to publish revised guidelines for patent examiners to apply when examining process claims for patent eligibility.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U.S. Supreme Court rulings have narrowed the scope of patent protection available in certain circumstances and weakened the rights of patent owners in certain situations. In addition to some degree of uncertainty with regard to our ability to obtain patents in the future, this combination of events has created a degree of uncertainty with respect to the value of patents, once obtained. Depending on relevant laws enacted by the U.S. Congress, and decisions by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patent portfolio may be negatively impacted by current uncertainties in the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protect our intellectual property rights throughout the world.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laws of some foreign countries do not offer intellectual property rights to the same extent as the laws of the United States, and we and our licensors may encounter difficulties in obtaining, enforcing and defending such rights in foreign jurisdictions. Consequently, we and our licensors may not be able to prevent third parties from practicing our or our licensors’ inventions in some or all countries outside the United States, or from selling or importing products made using our or our licensors’ inventions in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practices or laws are not as strong as those in the United States. These products may compete with our products. We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69240"/>
                <wp:effectExtent l="0" t="0" r="0" b="0"/>
                <wp:wrapNone/>
                <wp:docPr id="58" name="Frame4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Many companies have encountered significant problems in protecting and defending intellectual property rights in foreign jurisdictions. The legal systems of certain other countries are not as favorable as the United States in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entities or companies headquartered in particular jurisdictions over our first-in-time patents and other intellectual property protection. The absence of harmonized intellectual property protection laws and effective enforcement makes it difficult to ensure consistent respect for patents, trade secrets,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Proceedings to enforce our or our licensors’ patent rights in foreign jurisdictions could result in substantial cost and divert our efforts and attention from other aspects of our business, could put us and our licensors’ patents at risk of being invalidated or interpreted narrowly and our licensors’ patent applications at risk of not issuing, and could provoke third parties to assert claims against us. We and our licensors may not prevail in any lawsuits that we or our licensors initiate, or that are initiated against us or our licensors,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Issued patents covering our products could be found invalid or unenforceable if challenged.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Our owned and licensed patents and patent applications may be subject to validity, enforceability and priority disputes. The issuance of a patent is not conclusive as to our inventorship, scope, validity or enforceability. Some of our patents or patent applications (including licensed patents and patent applications) may be challenged at a future point in time in opposition, derivation, reexamination, </w:t>
      </w:r>
      <w:r>
        <w:rPr>
          <w:rFonts w:ascii="Times New Roman;serif" w:hAnsi="Times New Roman;serif"/>
          <w:b w:val="false"/>
          <w:i/>
          <w:color w:val="000000"/>
          <w:sz w:val="20"/>
          <w:shd w:fill="FFFFFF" w:val="clear"/>
        </w:rPr>
        <w:t>inter partes</w:t>
      </w:r>
      <w:r>
        <w:rPr>
          <w:color w:val="000000"/>
          <w:shd w:fill="FFFFFF" w:val="clear"/>
        </w:rPr>
        <w:t xml:space="preserve"> </w:t>
      </w:r>
      <w:r>
        <w:rPr>
          <w:rFonts w:ascii="Times New Roman;serif" w:hAnsi="Times New Roman;serif"/>
          <w:b w:val="false"/>
          <w:color w:val="000000"/>
          <w:sz w:val="20"/>
          <w:shd w:fill="FFFFFF" w:val="clear"/>
        </w:rPr>
        <w:t xml:space="preserve">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licensors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 withheld relevant information from the relevant patent office, or knowingly made a misleading statement, during prosecution. Third parties may also raise similar claims before administrative bodies in the United States or abroad, even outside the context of litigation. Such mechanisms include </w:t>
      </w:r>
      <w:r>
        <w:rPr>
          <w:rFonts w:ascii="Times New Roman;serif" w:hAnsi="Times New Roman;serif"/>
          <w:b w:val="false"/>
          <w:i/>
          <w:color w:val="000000"/>
          <w:sz w:val="20"/>
          <w:shd w:fill="FFFFFF" w:val="clear"/>
        </w:rPr>
        <w:t>ex parte</w:t>
      </w:r>
      <w:r>
        <w:rPr>
          <w:color w:val="000000"/>
          <w:shd w:fill="FFFFFF" w:val="clear"/>
        </w:rPr>
        <w:t xml:space="preserve"> </w:t>
      </w:r>
      <w:r>
        <w:rPr>
          <w:rFonts w:ascii="Times New Roman;serif" w:hAnsi="Times New Roman;serif"/>
          <w:b w:val="false"/>
          <w:color w:val="000000"/>
          <w:sz w:val="20"/>
          <w:shd w:fill="FFFFFF" w:val="clear"/>
        </w:rPr>
        <w:t xml:space="preserve">re-examination, </w:t>
      </w:r>
      <w:r>
        <w:rPr>
          <w:rFonts w:ascii="Times New Roman;serif" w:hAnsi="Times New Roman;serif"/>
          <w:b w:val="false"/>
          <w:i/>
          <w:color w:val="000000"/>
          <w:sz w:val="20"/>
          <w:shd w:fill="FFFFFF" w:val="clear"/>
        </w:rPr>
        <w:t>inter partes</w:t>
      </w:r>
      <w:r>
        <w:rPr>
          <w:color w:val="000000"/>
          <w:shd w:fill="FFFFFF" w:val="clear"/>
        </w:rPr>
        <w:t xml:space="preserve"> </w:t>
      </w:r>
      <w:r>
        <w:rPr>
          <w:rFonts w:ascii="Times New Roman;serif" w:hAnsi="Times New Roman;serif"/>
          <w:b w:val="false"/>
          <w:color w:val="000000"/>
          <w:sz w:val="20"/>
          <w:shd w:fill="FFFFFF" w:val="clear"/>
        </w:rPr>
        <w:t>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licensors,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69240"/>
                <wp:effectExtent l="0" t="0" r="0" b="0"/>
                <wp:wrapNone/>
                <wp:docPr id="59" name="Frame5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they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are unable to protect the confidentiality of our trade secrets, the value of our technology could be materially adversely affected, and our business could be harmed.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rely heavily on trade secrets and confidentiality agreements to protect our unpatented know-how, technology and other proprietary information,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the movement of personnel from academic to industry scientific positions.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and our business, financial condition, results of operations and prospects.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claims challenging the inventorship of our patents and other intellectual property.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alleged inventors such as employees, consultants or others who are involved in developing our products, some of whom may have conflicting IP ownership obligations.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69240"/>
                <wp:effectExtent l="0" t="0" r="0" b="0"/>
                <wp:wrapNone/>
                <wp:docPr id="60" name="Frame5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licensors fail in defending any such claims, in addition to paying monetary damages, we may lose valuable intellectual property rights.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protect and enforce our trademarks and trade names, or build name recognition in our markets of interest thereby harming our competitive position.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such third parties were to succeed in registering or developing common law rights in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Patent terms may be inadequate to protect our competitive position on our products for an adequate amount of time.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additional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 products, which could have a material adverse effect on our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claims that our employees, consultants or independent contractors have wrongfully used or disclosed to us alleged trade secrets of their other clients or former employers, which could subject us to costly litigation.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69240"/>
                <wp:effectExtent l="0" t="0" r="0" b="0"/>
                <wp:wrapNone/>
                <wp:docPr id="61" name="Frame5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biotechnology or pharmaceutical companies, including our competitors or potential competitors. We may become subject to claims that we,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are not successful, we could lose access or exclusive access to valuable intellectual property.</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Our commercial success depends in part on our ability and the ability of future collaborators to develop, manufacture, market and sell our products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serif" w:hAnsi="Times New Roman;serif"/>
          <w:b w:val="false"/>
          <w:i/>
          <w:color w:val="000000"/>
          <w:sz w:val="20"/>
          <w:shd w:fill="FFFFFF" w:val="clear"/>
        </w:rPr>
        <w:t>inter partes</w:t>
      </w:r>
      <w:r>
        <w:rPr>
          <w:color w:val="000000"/>
          <w:shd w:fill="FFFFFF" w:val="clear"/>
        </w:rPr>
        <w:t xml:space="preserve"> </w:t>
      </w:r>
      <w:r>
        <w:rPr>
          <w:rFonts w:ascii="Times New Roman;serif" w:hAnsi="Times New Roman;serif"/>
          <w:b w:val="false"/>
          <w:color w:val="000000"/>
          <w:sz w:val="20"/>
          <w:shd w:fill="FFFFFF" w:val="clear"/>
        </w:rPr>
        <w:t>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be issued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third parties, including our competitors, believe that our products or technologies infringe, misappropriate or otherwise violate their intellectual property, such third parties may seek to enforce against us their intellectual property, including patents, by filing against us an intellectual property-related lawsuit, including a patent infringement lawsuit. Even if we believe third-party intellectual property claims are without merit, there is no assurance that a court would find in our favor on questions of infringement, validity, enforceability, or priority. If any third parties were to assert these or any other patents against us and we are unable to successfully defend against any such assertions,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may be held by or exclusively licensed to our competitors. Even if such license is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may choose to challenge, including in connection with any allegation of patent infringement by a third party, the patentability, validity, ownership or enforceability of any third-party patent that we believe may have applicability in our field, and any other third-party patent that may at some future time possibly be asserted against us. Such challenges may be brought either in court or by requesting that the USPTO, European Patent Office (“EPO”), or other foreign patent offices review the patent claims, such as in an </w:t>
      </w:r>
      <w:r>
        <w:rPr>
          <w:rFonts w:ascii="Times New Roman;serif" w:hAnsi="Times New Roman;serif"/>
          <w:b w:val="false"/>
          <w:i/>
          <w:color w:val="000000"/>
          <w:sz w:val="20"/>
          <w:shd w:fill="FFFFFF" w:val="clear"/>
        </w:rPr>
        <w:t>ex-parte</w:t>
      </w:r>
      <w:r>
        <w:rPr>
          <w:color w:val="000000"/>
          <w:shd w:fill="FFFFFF" w:val="clear"/>
        </w:rPr>
        <w:t xml:space="preserve"> </w:t>
      </w:r>
      <w:r>
        <w:rPr>
          <w:rFonts w:ascii="Times New Roman;serif" w:hAnsi="Times New Roman;serif"/>
          <w:b w:val="false"/>
          <w:color w:val="000000"/>
          <w:sz w:val="20"/>
          <w:shd w:fill="FFFFFF" w:val="clear"/>
        </w:rPr>
        <w:t xml:space="preserve">reexamination, </w:t>
      </w:r>
      <w:r>
        <w:rPr>
          <w:rFonts w:ascii="Times New Roman;serif" w:hAnsi="Times New Roman;serif"/>
          <w:b w:val="false"/>
          <w:i/>
          <w:color w:val="000000"/>
          <w:sz w:val="20"/>
          <w:shd w:fill="FFFFFF" w:val="clear"/>
        </w:rPr>
        <w:t>inter partes</w:t>
      </w:r>
      <w:r>
        <w:rPr>
          <w:color w:val="000000"/>
          <w:shd w:fill="FFFFFF" w:val="clear"/>
        </w:rPr>
        <w:t xml:space="preserve"> </w:t>
      </w:r>
      <w:r>
        <w:rPr>
          <w:rFonts w:ascii="Times New Roman;serif" w:hAnsi="Times New Roman;serif"/>
          <w:b w:val="false"/>
          <w:color w:val="000000"/>
          <w:sz w:val="20"/>
          <w:shd w:fill="FFFFFF" w:val="clear"/>
        </w:rPr>
        <w:t>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Third parties, including our competitors, could be infringing, misappropriating or otherwise violating our solely owned and/or in-licensed intellectual property rights. Monitoring unauthorized use of intellectual property is difficult and costly.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69240"/>
                <wp:effectExtent l="0" t="0" r="0" b="0"/>
                <wp:wrapNone/>
                <wp:docPr id="62" name="Frame5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not be able to detect unauthorized use of, or take appropriate steps to enforce, our intellectual property rights. From time to time, we seek to analyze our competitors’ products and services, and may in the future seek to enforce our rights based on potential infringement, misappropriation or violation of our intellectual property. However, the steps we will take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Litigation proceedings may be necessary for us to enforce our patent and other intellectual property rights. In any such proceeding, a court may refuse to stop the other party from using the technology at issue on the grounds that our owned and in-licensed patents do not cover the technology in question. Further, in such a proceeding,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Alternatively or additionally, such proceeding could result in requiring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and technologies, any of which could have a material adverse effect on our business, financial condition, results of operations and prospects. The outcome in any such proceeding is unpredictable.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Regardless of whether we are defending against or asserting an intellectual property-related claim in an intellectual property-related proceeding that may be necessary in the future, and regardless of outcome, substantial costs and diversion of resources may result which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licensors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could have a material adverse effect on our business, financial condition,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currently rely on licenses from third parties, and in the future may rely on additional licenses from other third parties, and if we lose any of these licenses, then we may be subjected to future litigation.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and may in the future become, a party to license agreements that grant us rights to use certain intellectual property, including patents and patent applications, typically in certain specified fields of use. We may need to obtain additional licenses from others to advance our research, development and commercialization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69240"/>
                <wp:effectExtent l="0" t="0" r="0" b="0"/>
                <wp:wrapNone/>
                <wp:docPr id="63" name="Frame5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may depend in part on the ability of our licensors and any future licensors to obtain, maintain and enforce patent protection for our licensed intellectual property.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results of operations or cash flows.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license agreements impose,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Moreover, disputes may also arise between us and our licensors regarding intellectual property subject to a license agreement,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scope of rights granted under the license agreement and other interpretation-related issues;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financial or other obligations under the license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whether, and the extent to which, our products, technology and processes infringe on intellectual property of the licensor that is not subject to the licensing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diligence obligations under the license agreement and what activities satisfy those diligence obligations;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inventorship and ownership of inventions and know-how resulting from the joint creation or use of intellectual property by our licensor(s);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priority of invention of patented technology.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Absent the license agreements, we may infringe patents subject to those agreements, and if the license agreements are terminated, we may be subject to litigation by the licensor. Litigation could result in substantial costs and distract our management. If we do not prevail, we may be required to pay damages, including treble damages, attorneys’ fees or costs and expenses and royalties, which could adversely affect our ability to offer products or services, our ability to continue operations and our business, financial condition,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cannot license rights to use technologies on reasonable terms, we may not be able to commercialize new products in the future.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identify third-party technology that we may need to license or acquire in order to develop or commercialize our products or technologies. However, we may be unable to secure such licenses or acquisitions. The licensing or acquisition of third-party intellectual property rights is a competitive area, and several more established companies may pursue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69240"/>
                <wp:effectExtent l="0" t="0" r="0" b="0"/>
                <wp:wrapNone/>
                <wp:docPr id="64" name="Frame5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Boreal and the University of British Columbia.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permit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our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products contain third-party open-source software components and failure to comply with the terms of the underlying open-source software licenses could restrict our ability to sell our products and provide third parties access to our proprietary software.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products may contain software licensed by third parties under open-source software licenses. Use and distribution of open-source software may entail greater risks than use of third-party commercial software, as open-source software licensors generally do not provide warranties or other contractual protections regarding infringement claims or the quality of the code. Some open-source software licenses contain requirements that the licensee make its source code publicly available if the licensee creates modifications or derivative works using the open-source software, depending on the type of open-source software the licensee uses and how the licensee uses it. If we combine our proprietary software with open-source software in a certain manner, we could, under certain open-source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open-source software have faced claims challenging their use of such open-source software and their compliance with the terms of the applicable open-source license. We may be subject to suits by third parties claiming ownership of what they believe to be open-source software or claiming non-compliance with the applicable open-source licensing terms. Use of open-source software may also present additional security risks because the public availability of such software may make it easier for hackers and other third parties to compromise or attempt to compromise our technology platform and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69240"/>
                <wp:effectExtent l="0" t="0" r="0" b="0"/>
                <wp:wrapNone/>
                <wp:docPr id="65" name="Frame5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review our use of open-source software to avoid subjecting our proprietary software to conditions we do not intend, the terms of many open source-software licenses have not been interpreted by U.S. courts, and there is a risk that these licenses could be construed in a way that could impose unanticipated conditions or restrictions on our ability to commercialize our products and proprietary software. Moreover, our processes for monitoring and controlling our use of open-source software in our products may not be effective. If we are held to have breached the terms of an open-source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Intellectual property rights do not necessarily address all potential threats.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others may be able to make products that are similar to products and technologies we may develop or utilize similar technology that are not covered by the claims of the patents that we own or license now or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or our licensor(s), might not have been the first to make the inventions covered by the issued patent or pending patent application that we license or may own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or our licensor(s), might not have been the first to file patent applications covering certain of our or their inventions;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it is possible that our pending licensed patent applications or those that we may own in the future will not lead to issued patents;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issued patents that we hold rights to may be held invalid or unenforceable, including as a result of legal challenges by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may not develop additional proprietary technologies that are patentable;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the patents of others may harm our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we may choose not to file a patent for certain trade secrets or know-how, and a third party may subsequently file a patent covering such intellectual property.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any of these events occur, they could materially adversely affect our business, financial condition, results of operations and prospects.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Securities and to Being a Public Company</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outstanding warrants became exercisable for our Class A common stock in September 2021, which increased the number of shares eligible for future resale in the public market and could result in dilution to our stockholders if exercised.</w:t>
      </w:r>
    </w:p>
    <w:p>
      <w:pPr>
        <w:pStyle w:val="TextBody"/>
        <w:bidi w:val="0"/>
        <w:spacing w:lineRule="auto" w:line="288" w:before="240" w:after="283"/>
        <w:jc w:val="both"/>
        <w:rPr/>
      </w:pPr>
      <w:r>
        <w:rPr>
          <w:rFonts w:ascii="Times New Roman;serif" w:hAnsi="Times New Roman;serif"/>
          <w:b w:val="false"/>
          <w:color w:val="000000"/>
          <w:sz w:val="20"/>
        </w:rPr>
        <w:t xml:space="preserve">Following the Business Combination, there were </w:t>
      </w:r>
      <w:r>
        <w:rPr>
          <w:rFonts w:ascii="Times New Roman;serif" w:hAnsi="Times New Roman;serif"/>
          <w:b w:val="false"/>
          <w:color w:val="000000"/>
          <w:sz w:val="20"/>
          <w:shd w:fill="FFFFFF" w:val="clear"/>
        </w:rPr>
        <w:t>3,833,319</w:t>
      </w:r>
      <w:r>
        <w:rPr>
          <w:color w:val="000000"/>
        </w:rPr>
        <w:t xml:space="preserve"> </w:t>
      </w:r>
      <w:r>
        <w:rPr>
          <w:rFonts w:ascii="Times New Roman;serif" w:hAnsi="Times New Roman;serif"/>
          <w:b w:val="false"/>
          <w:color w:val="000000"/>
          <w:sz w:val="20"/>
        </w:rPr>
        <w:t xml:space="preserve">outstanding warrants issued in connection with the initial public offering of HighCape (the “Public Warrants”) to purchase </w:t>
      </w:r>
      <w:r>
        <w:rPr>
          <w:rFonts w:ascii="Times New Roman;serif" w:hAnsi="Times New Roman;serif"/>
          <w:b w:val="false"/>
          <w:color w:val="000000"/>
          <w:sz w:val="20"/>
          <w:shd w:fill="FFFFFF" w:val="clear"/>
        </w:rPr>
        <w:t>3,833,319</w:t>
      </w:r>
      <w:r>
        <w:rPr>
          <w:color w:val="000000"/>
        </w:rPr>
        <w:t xml:space="preserve"> </w:t>
      </w:r>
      <w:r>
        <w:rPr>
          <w:rFonts w:ascii="Times New Roman;serif" w:hAnsi="Times New Roman;serif"/>
          <w:b w:val="false"/>
          <w:color w:val="000000"/>
          <w:sz w:val="20"/>
        </w:rPr>
        <w:t xml:space="preserve">shares of our Class A common stock at an exercise price of </w:t>
      </w:r>
      <w:r>
        <w:rPr>
          <w:rFonts w:ascii="Times New Roman;serif" w:hAnsi="Times New Roman;serif"/>
          <w:b w:val="false"/>
          <w:color w:val="000000"/>
          <w:sz w:val="20"/>
          <w:shd w:fill="FFFFFF" w:val="clear"/>
        </w:rPr>
        <w:t>$11.50</w:t>
      </w:r>
      <w:r>
        <w:rPr>
          <w:color w:val="000000"/>
        </w:rPr>
        <w:t xml:space="preserve"> </w:t>
      </w:r>
      <w:r>
        <w:rPr>
          <w:rFonts w:ascii="Times New Roman;serif" w:hAnsi="Times New Roman;serif"/>
          <w:b w:val="false"/>
          <w:color w:val="000000"/>
          <w:sz w:val="20"/>
        </w:rPr>
        <w:t xml:space="preserve">per share, which warrants became exercisable on September 9, 2021. In addition, there are 135,000 private placement warrants (the “Private Warrants”) to purchase 135,000 shares of our Class A common stock at an exercise price of </w:t>
      </w:r>
      <w:r>
        <w:rPr>
          <w:rFonts w:ascii="Times New Roman;serif" w:hAnsi="Times New Roman;serif"/>
          <w:b w:val="false"/>
          <w:color w:val="000000"/>
          <w:sz w:val="20"/>
          <w:shd w:fill="FFFFFF" w:val="clear"/>
        </w:rPr>
        <w:t>$11.50</w:t>
      </w:r>
      <w:r>
        <w:rPr>
          <w:color w:val="000000"/>
        </w:rPr>
        <w:t xml:space="preserve"> </w:t>
      </w:r>
      <w:r>
        <w:rPr>
          <w:rFonts w:ascii="Times New Roman;serif" w:hAnsi="Times New Roman;serif"/>
          <w:b w:val="false"/>
          <w:color w:val="000000"/>
          <w:sz w:val="20"/>
        </w:rPr>
        <w:t xml:space="preserve">per share. In certain circumstances, the Public Warrants and Private Warrants may be exercised on a cashless basis. To the extent such warrants are exercised, additional shares of our Class A common stock will be issued, which will result in dilution to the holders of our Class A common stock and increase the number of shares eligible for resale in the public market. Sales of substantial numbers of such shares in the public market could adversely affect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69240"/>
                <wp:effectExtent l="0" t="0" r="0" b="0"/>
                <wp:wrapNone/>
                <wp:docPr id="66" name="Frame5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market price of our Class A common stock, the impact of which is increased as the value of our stock price increases. Both the Public Warrants and Private Warrants expire on June 10, 2026.</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warrants are accounted for as liabilities and changes in the value of our warrants could have a material effect on our financial results.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de-SPAC process such as our Business Combination, which terms are similar to those contained in the warrant agreement governing our warrants. As a result of the SEC Statement, HighCape reevaluated the accounting treatment of its Public Warrants and Private Warrants and determined to classify the warrants as derivative liabilities measured at fair value, with changes in fair value each period reported in earnings.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a result, included on our balance sheets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are derivative liabilities related to our warrants. Accounting Standards Codification 815, </w:t>
      </w:r>
      <w:r>
        <w:rPr>
          <w:rFonts w:ascii="Times New Roman;serif" w:hAnsi="Times New Roman;serif"/>
          <w:b w:val="false"/>
          <w:i/>
          <w:color w:val="000000"/>
          <w:sz w:val="20"/>
          <w:shd w:fill="FFFFFF" w:val="clear"/>
        </w:rPr>
        <w:t>Derivatives and Hedging</w:t>
      </w:r>
      <w:r>
        <w:rPr>
          <w:color w:val="000000"/>
          <w:shd w:fill="FFFFFF" w:val="clear"/>
        </w:rPr>
        <w:t xml:space="preserve"> </w:t>
      </w:r>
      <w:r>
        <w:rPr>
          <w:rFonts w:ascii="Times New Roman;serif" w:hAnsi="Times New Roman;serif"/>
          <w:b w:val="false"/>
          <w:color w:val="000000"/>
          <w:sz w:val="20"/>
          <w:shd w:fill="FFFFFF" w:val="clear"/>
        </w:rPr>
        <w:t>(“ASC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There can be no assurance that the warrants will be in the money prior to their expiration, and they may expire worthless.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exercise price for our outstanding warrants is $11.50 per share of our Class A common stock. There can be no assurance that the warrants will be in the money prior to their expiration, and as such, the warrants may expire worthless.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are currently outstanding an aggregate of </w:t>
      </w:r>
      <w:r>
        <w:rPr>
          <w:rFonts w:ascii="Times New Roman;serif" w:hAnsi="Times New Roman;serif"/>
          <w:b w:val="false"/>
          <w:color w:val="000000"/>
          <w:sz w:val="20"/>
        </w:rPr>
        <w:t>3,968,317</w:t>
      </w:r>
      <w:r>
        <w:rPr>
          <w:color w:val="000000"/>
          <w:shd w:fill="FFFFFF" w:val="clear"/>
        </w:rPr>
        <w:t xml:space="preserve"> </w:t>
      </w:r>
      <w:r>
        <w:rPr>
          <w:rFonts w:ascii="Times New Roman;serif" w:hAnsi="Times New Roman;serif"/>
          <w:b w:val="false"/>
          <w:color w:val="000000"/>
          <w:sz w:val="20"/>
          <w:shd w:fill="FFFFFF" w:val="clear"/>
        </w:rPr>
        <w:t xml:space="preserve">warrants to acquire shares of our Class A common stock, which comprise 135,000 Private Warrants held by HighCape’s initial stockholders at the time of HighCape’s initial public offering and </w:t>
      </w:r>
      <w:r>
        <w:rPr>
          <w:rFonts w:ascii="Times New Roman;serif" w:hAnsi="Times New Roman;serif"/>
          <w:b w:val="false"/>
          <w:color w:val="000000"/>
          <w:sz w:val="20"/>
        </w:rPr>
        <w:t>3,833,317</w:t>
      </w:r>
      <w:r>
        <w:rPr>
          <w:color w:val="000000"/>
          <w:shd w:fill="FFFFFF" w:val="clear"/>
        </w:rPr>
        <w:t xml:space="preserve"> </w:t>
      </w:r>
      <w:r>
        <w:rPr>
          <w:rFonts w:ascii="Times New Roman;serif" w:hAnsi="Times New Roman;serif"/>
          <w:b w:val="false"/>
          <w:color w:val="000000"/>
          <w:sz w:val="20"/>
          <w:shd w:fill="FFFFFF" w:val="clear"/>
        </w:rPr>
        <w:t xml:space="preserve">Public Warrants. Each of our outstanding whole warrants is exercisable as of September 9, 2021, for one share of our Class A common stock in accordance with its terms. Therefore,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if we assume that each outstanding whole warrant is exercised and one share of HighCape Class A common stock is issued as a result of such exercise, with payment of the exercise price of $11.50 per share, our fully-diluted share capital would increase by a total of </w:t>
      </w:r>
      <w:r>
        <w:rPr>
          <w:rFonts w:ascii="Times New Roman;serif" w:hAnsi="Times New Roman;serif"/>
          <w:b w:val="false"/>
          <w:color w:val="000000"/>
          <w:sz w:val="20"/>
        </w:rPr>
        <w:t>3,968,317</w:t>
      </w:r>
      <w:r>
        <w:rPr>
          <w:color w:val="000000"/>
          <w:shd w:fill="FFFFFF" w:val="clear"/>
        </w:rPr>
        <w:t xml:space="preserve"> </w:t>
      </w:r>
      <w:r>
        <w:rPr>
          <w:rFonts w:ascii="Times New Roman;serif" w:hAnsi="Times New Roman;serif"/>
          <w:b w:val="false"/>
          <w:color w:val="000000"/>
          <w:sz w:val="20"/>
          <w:shd w:fill="FFFFFF" w:val="clear"/>
        </w:rPr>
        <w:t xml:space="preserve">shares, with approximately </w:t>
      </w:r>
      <w:r>
        <w:rPr>
          <w:rFonts w:ascii="Times New Roman;serif" w:hAnsi="Times New Roman;serif"/>
          <w:b w:val="false"/>
          <w:color w:val="000000"/>
          <w:sz w:val="20"/>
        </w:rPr>
        <w:t>$45.6 million</w:t>
      </w:r>
      <w:r>
        <w:rPr>
          <w:color w:val="000000"/>
          <w:shd w:fill="FFFFFF" w:val="clear"/>
        </w:rPr>
        <w:t xml:space="preserve"> </w:t>
      </w:r>
      <w:r>
        <w:rPr>
          <w:rFonts w:ascii="Times New Roman;serif" w:hAnsi="Times New Roman;serif"/>
          <w:b w:val="false"/>
          <w:color w:val="000000"/>
          <w:sz w:val="20"/>
          <w:shd w:fill="FFFFFF" w:val="clear"/>
        </w:rPr>
        <w:t>paid to us to exercise the warrants.</w:t>
      </w:r>
    </w:p>
    <w:p>
      <w:pPr>
        <w:pStyle w:val="TextBody"/>
        <w:bidi w:val="0"/>
        <w:spacing w:lineRule="auto" w:line="276"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in the past experienced material weaknesses in our internal control over financial reporting, and if we experience such material weaknesses in our internal control over financial reporting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and corrected on a timely basis.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internal controls are necessary for us to provide reliable financial reports and prevent fraud. Material weaknesses could result in material misstatements to our annual or interim financial statements that might not be prevented or detected on a timely basis, or in delayed filing of required periodic reports. If we are unable to assert that our internal control over financing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reporting, the market price of our Class A common stock could be adversely affected and we could become subject to litigation or investigations by Nasdaq, the SEC, or other regulatory authorities, which could require additional financial and management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69240"/>
                <wp:effectExtent l="0" t="0" r="0" b="0"/>
                <wp:wrapNone/>
                <wp:docPr id="67" name="Frame5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identify any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that may be taken in the future, will be sufficient to avoid potential future material weaknesses.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may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Consolidated Financial Statements. We can provide no assurance that such litigation or dispute will not arise in the future. Any such litigation or dispute, whether successful or not, could have a material adverse effect on our business, financial condition, results of operations and cash flows.</w:t>
      </w:r>
    </w:p>
    <w:p>
      <w:pPr>
        <w:pStyle w:val="TextBody"/>
        <w:bidi w:val="0"/>
        <w:spacing w:lineRule="auto" w:line="276"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disclosure controls and procedures may not prevent or detect all errors or acts of fraud.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the periodic reporting requirements of the Exchange Act. We design our disclosure controls and procedures to reasonably assure that information we are required to disclose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or insufficient disclosure due to error or fraud may occur and we may not detect them.</w:t>
      </w:r>
    </w:p>
    <w:p>
      <w:pPr>
        <w:pStyle w:val="TextBody"/>
        <w:bidi w:val="0"/>
        <w:spacing w:lineRule="auto" w:line="276"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failure to maintain effective internal controls and procedures over financial reporting could severely inhibit our ability to accurately report our financial condition, results of operations or cash flows.</w:t>
      </w:r>
    </w:p>
    <w:p>
      <w:pPr>
        <w:pStyle w:val="TextBody"/>
        <w:bidi w:val="0"/>
        <w:spacing w:lineRule="auto" w:line="276"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Because we are a “controlled company” within the meaning of the Nasdaq rules, our stockholders may not have certain corporate governance protections that are available to stockholders of companies that are not controlled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 long as more than 50% of the voting power for the election of our directors is held by an individual, a group or another company, we will qualify as a “controlled company” within the meaning of the Nasdaq listing rules. As of February 25, 2026, Dr. Rothberg controlled 69.3% of the voting power of our outstanding capital stock, including our Class A common stock and Class B common stock. As a result, we are a “controlled company” within the meaning of the Nasdaq corporate governance standards and are not subject to the requirements that would otherwise require us to have: (i) a majority of independent directors; (ii) a compensation committee comprised solely of independent directors; and (iii) director nominees selected, or recommended for our Board’s selection, either by a majority of the independent directors or a nominating committee comprised solely of independent directors.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 Rothberg may have his interest in us diluted due to future equity issuances or his own actions in selling shares of our Class B common stock, in each case, which could result in a loss of the “controlled company” exemption under the Nasdaq listing rules. We would then be required to comply with those provisions of the Nasdaq listing requirements.</w:t>
      </w:r>
    </w:p>
    <w:p>
      <w:pPr>
        <w:pStyle w:val="TextBody"/>
        <w:bidi w:val="0"/>
        <w:spacing w:lineRule="auto" w:line="276"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could fail to maintain the listing of our Class A common stock on the Nasdaq Stock Market LLC, which could seriously harm the liquidity of our shares and our ability to raise capital or complete a strategic transaction.</w:t>
      </w:r>
    </w:p>
    <w:p>
      <w:pPr>
        <w:pStyle w:val="TextBody"/>
        <w:bidi w:val="0"/>
        <w:spacing w:lineRule="auto" w:line="288" w:before="240" w:after="283"/>
        <w:jc w:val="both"/>
        <w:rPr/>
      </w:pPr>
      <w:r>
        <w:rPr>
          <w:rFonts w:ascii="Times New Roman;serif" w:hAnsi="Times New Roman;serif"/>
          <w:b w:val="false"/>
          <w:color w:val="000000"/>
          <w:sz w:val="20"/>
          <w:shd w:fill="FFFFFF" w:val="clear"/>
        </w:rPr>
        <w:t>Nasdaq has established continued listing requirements, including a requirement to maintain a minimum closing bid price of at least $1.00 per share.</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here can be no assurance that we will be able to maintain compliance with the Bid Price Requirement or maintain compliance with other Nasdaq requirements in the future. If we are not able to maintain compliance with Nasdaq requirements, our Class A common stock may be delisted from Nasdaq, which could have a material adverse effect on us and our stockholders, including by reducing the liquidity of our shares and having a material adverse effect on our ability to raise capital or complete a strategic transaction.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dual class structure of our common stock has the effect of concentrating voting power with our Founder, who is also on our Board of Directors, which will limit an investor’s ability to influence the outcome of important transactions, including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69240"/>
                <wp:effectExtent l="0" t="0" r="0" b="0"/>
                <wp:wrapNone/>
                <wp:docPr id="68" name="Frame5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59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Shares of our Class B common stock have 20 votes per share, while shares of our Class A common stock have one vote per share. Dr. Rothberg and his affiliates hold all of the issued and outstanding shares of our Class B common stock, and as of February 25, 2026, Dr. Rothberg and his affiliates held 69.3% of the voting power of our capital stock, including our Class A common stock and Class B common stock and is able to control matters submitted to our stockholders for approval, including the election of directors, amendments to our organizational documents and any merger, consolidation, sale of all or substantially all of our assets or other major corporate transactions. Dr. Rothberg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 If additional shares of our Class B common stock are issued, your shares and your votes may be significantly diluted.</w:t>
      </w:r>
    </w:p>
    <w:p>
      <w:pPr>
        <w:pStyle w:val="TextBody"/>
        <w:bidi w:val="0"/>
        <w:spacing w:lineRule="auto" w:line="276"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cannot predict the impact our dual class structure may have on the stock price of our Class A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Under these policies, our dual class capital structure would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our Class A common stock could be adversely affected.</w:t>
      </w:r>
    </w:p>
    <w:p>
      <w:pPr>
        <w:pStyle w:val="TextBody"/>
        <w:bidi w:val="0"/>
        <w:spacing w:lineRule="auto" w:line="276"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Delaware law and provisions in our certificate of incorporation and bylaws could make a takeover proposal more difficult.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organizational documents are governed by Delaware law. Certain provisions of Delaware law and of our certificate of incorporation and bylaws could discourage, delay, defer or prevent a merger, tender offer, proxy contest or other change of control transaction that a stockholder might consider in its best interest, including those attempts that might result in a premium over the market price for the shares of our Class A common stock held by our stockholders. These provisions provide for,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shd w:fill="FFFFFF" w:val="clear"/>
        </w:rPr>
        <w:t>the ability of our Board to issue one or more series of preferred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stockholder action by written consent only until the first time when Dr. Rothberg ceases to beneficially own a majority of the voting power of our capital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certain limitations on convening special stockholder meetings;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advance notice for nominations of directors by stockholders and for stockholders to include matters to be considered at our annual meetings;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amendment of certain provisions of the organizational documents only by the affirmative vote of (i) a majority of the voting power of our capital stock so long as Dr. Rothberg beneficially owns shares representing a majority of the voting power of our capital stock and (ii) at least two-thirds of the voting power of the capital stock from and after the time that Dr. Rothberg ceases to beneficially own shares representing a majority of our voting power;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a dual-class common stock structure with 20 votes per share of our Class B common stock, the result of which is that Dr. Rothberg has the ability to control the outcome of matters requiring stockholder approval, even though Dr. Rothberg owns less than a majority of the outstanding shares of our capital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anti-takeover provisions as well as certain provisions of Delaware law could make it more difficult for a third party to acquire us, even if the third party’s offer may be considered beneficial by many of our stockholders. As a result, our stockholders may be limited in their ability to obtain a premium for their shares. If prospective takeovers are not consummated for any reason, we may experience negative reactions from the financial markets, including negative impacts on the price of our Class A common stock. These provisions could also discourage proxy contests and make it more difficult for our stockholders to elect directors of their choosing and to cause us to take other corporate actions that our stockholders desire.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certificate of incorporation designates the Court of Chancery of the State of Delaware as the sole and exclusive forum for certain types of actions and proceedings and the federal district courts as the sole and exclusive forum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69240"/>
                <wp:effectExtent l="0" t="0" r="0" b="0"/>
                <wp:wrapNone/>
                <wp:docPr id="69" name="Frame6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certificate of incorporation provides that, unless we consent to the selection of an alternative forum, any (i) derivative action or proceeding brought on behalf of us; (ii) action asserting a claim of breach of a fiduciary duty owed by, or any other wrongdoing by, any current or former director, officer or other employee or stockholder of ours; (iii) action asserting a claim against us or any director or officer arising pursuant to any provision of the General Corporation Law of the State of Delaware (“DGCL”) or our certificate of incorporation or our bylaws; or (iv) action to interpret, apply, enforce, or determine the validity of any provisions in the certificate of incorporation of bylaws; or (v) action asserting a claim against us or any director or officer of ours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Subject to the foregoing, the federal district courts of the United States are the exclusive forum for the resolution of any action, suit or proceeding asserting a cause of action under the Securities Act. The exclusive forum provision does not apply to suits brought to enforce any liability or duty created by the Exchange Act. Any person or entity purchasing or otherwise acquiring an interest in any shares of our capital stock shall be deemed to have notice of and to have consented to the forum provisions in our certificate of incorporation. These choice-of-forum provisions may limit a stockholder’s ability to bring a claim in a judicial forum that he, she or it believes to be favorable for disputes with us or our directors, officers or other employees or stockholders,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Alternatively, if a court were to find these provisions of our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results of operations and cash flows and result in a diversion of the time and resources of our management and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69240"/>
                <wp:effectExtent l="0" t="0" r="0" b="0"/>
                <wp:wrapNone/>
                <wp:docPr id="70" name="Frame6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Creating and maintaining a secure information infrastructure is essential to Quantum-Si. We have invested, and will continue to invest, significant resources to ensure we maintain the most secure environment reasonably possible to protect our assets, customers and employees. Our Board of Directors, through our Audit Committee, oversees our risk management activities with cybersecurity as a key focus. We employ a comprehensive, cross-functional strategy to safeguard the confidentiality, security, and availability of our information by proactively addressing and responding to cybersecurity threats. Our policies, standards, processes and practices align with recognized frameworks established by the National Institute of Standards and Technology (“NIST”) and other applicable industry standards.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Risk Management and Strategy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face a variety of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cybersecurity program to ensure our systems are effective and prepared for information security risks, including regular oversight of our programs for security monitoring for internal and external threats to ensure the confidentiality and integrity of our information assets. We employ a range of tools and services, including regular network and endpoint monitoring utilizing leading market monitoring tools, audits and vulnerability assessments including penetration testing to inform our risk identification and assessment. Our Audit Committee of the Board of Directors provides oversight of our cybersecurity risk management and strategy processes, which is led by our Chief Financial Officer.</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identify our cybersecurity threat risks by comparing our processes to standards set by NIST as well as by engaging experts to attempt to penetrate our information systems. To provide for the availability of critical data and systems, manage our material risks from cybersecurity threats, and protect against and respond to cybersecurity incidents, we undertake the following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monitor emerging data protection laws and implement changes to our processes designed to comply with such 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through our policies, practices and contracts (as applicable), require employees, as well as third parties that provide services on our behalf, to treat confidential information and data with care;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employ technical safeguards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conduct regular phishing email simulations for all employees and contractors with access to our email systems to enhance awareness and responsiveness to possible threats;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leverage the NIST incident handling framework to help us identify, protect, detect, respond and recover when there is an actual or potential cybersecurity incident; and</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carry information security risk insurance that provides protection against the potential losses arising from a cybersecurity incident.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the above processes, we regularly engage with consultants, auditors and other third parties in assisting in review our cybersecurity program to help identify areas for continued focus, improvement and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69240"/>
                <wp:effectExtent l="0" t="0" r="0" b="0"/>
                <wp:wrapNone/>
                <wp:docPr id="71" name="Frame6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serif" w:hAnsi="Times New Roman;serif"/>
          <w:b w:val="false"/>
          <w:i/>
          <w:color w:val="000000"/>
          <w:sz w:val="20"/>
          <w:shd w:fill="FFFFFF" w:val="clear"/>
        </w:rPr>
        <w:t>If we experience a significant disruption in our information technology systems, including our Platinum Analysis Software services, or cybersecurity incidents, our business could be adversely affected”</w:t>
      </w:r>
      <w:r>
        <w:rPr>
          <w:rFonts w:ascii="Times New Roman;serif" w:hAnsi="Times New Roman;serif"/>
          <w:b w:val="false"/>
          <w:color w:val="000000"/>
          <w:sz w:val="20"/>
          <w:shd w:fill="FFFFFF" w:val="clear"/>
        </w:rPr>
        <w:t>, which disclosures are incorporated by reference herein.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Despite our efforts to create security barriers to such threats, it is virtually impossible for us to completely mitigate these risks. In August 2020, we discovered ransomware on a server and engaged third-party forensics experts and outside counsel for incident response. We did not pay ransom to the attacker because the documents encrypted by the attacker were sufficiently backed up and the investigation further confirmed no employee data or other personal information was accessed. We implemented a number of security enhancements as the incident unfolded and continue to implement short- and long-term security enhancements to further secure our network.</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Cybersecurity Governance; Management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Cybersecurity is an important part of our broader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Chief Financial Officer provides the Audit Committee with quarterly general risk assessment updates, which shall cover cyber risk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Our Audit Committee is also involved in the reporting function of our incident response plan which includes communication of any cybersecurity incident that meets our reporting thresholds, as well as ongoing updates regarding any such incident, until such incident has been resolved.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cybersecurity risk management and strategy processes, which are discussed in greater detail above, are led by our Chief Financial Officer in conjunction with our General Counsel and our Head of Information Technology and report to our Audit Committee. In addition, we maintain an Information Technology Steering Committee, which is comprised of several senior members of the Company. Our Chief Financial Officer has over 10 years of experience in leading Information Technology departments at various companies. Our General Counsel has over 10 years of experience related to general legal matters, including in the capacity of understanding and guiding companies on Information Technology matters and the related risks. Our Head of Information Technology has over 30 years of relevant experience, including managing information security, developing cybersecurity strategy, implementing effective information and cybersecurity programs.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currently lease our executive office at 29 Business Park Drive, Branford, Connecticut 06405. We also lease office, laboratory and manufacturing space in San Diego, California. Our semiconductor chip assembly and packaging business is located in Garnet Valley, Pennsylvania. Our current leases expire at various dates through 2029. We believe our current office, laboratory and assembly and packaging locations are sufficient to meet our needs at existing volume levels through each of the respective lease termination date. For further information, please refer to </w:t>
      </w:r>
      <w:hyperlink w:anchor="i8936ec582bfd40c6a2cec4d0326925ac_130">
        <w:r>
          <w:rPr>
            <w:rStyle w:val="InternetLink"/>
          </w:rPr>
          <w:t xml:space="preserve">Note </w:t>
        </w:r>
      </w:hyperlink>
      <w:hyperlink w:anchor="i8936ec582bfd40c6a2cec4d0326925ac_130">
        <w:r>
          <w:rPr>
            <w:rStyle w:val="InternetLink"/>
          </w:rPr>
          <w:t>7</w:t>
        </w:r>
      </w:hyperlink>
      <w:hyperlink w:anchor="i8936ec582bfd40c6a2cec4d0326925ac_130">
        <w:r>
          <w:rPr>
            <w:rStyle w:val="InternetLink"/>
          </w:rPr>
          <w:t>. Leases</w:t>
        </w:r>
      </w:hyperlink>
      <w:r>
        <w:rPr>
          <w:color w:val="000000"/>
          <w:shd w:fill="FFFFFF" w:val="clear"/>
        </w:rPr>
        <w:t xml:space="preserve"> </w:t>
      </w:r>
      <w:r>
        <w:rPr>
          <w:rFonts w:ascii="Times New Roman;serif" w:hAnsi="Times New Roman;serif"/>
          <w:b w:val="false"/>
          <w:color w:val="000000"/>
          <w:sz w:val="20"/>
          <w:shd w:fill="FFFFFF" w:val="clear"/>
        </w:rPr>
        <w:t>of the Notes to the Consolidated Financial Statements (Part II, Item 8) included in this report, which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are involved in various legal proceedings, claims, investigations and litigation that arise in the ordinary course of our business. For further information regarding our legal proceedings, please refer to </w:t>
      </w:r>
      <w:hyperlink w:anchor="i8936ec582bfd40c6a2cec4d0326925ac_166">
        <w:r>
          <w:rPr>
            <w:rStyle w:val="InternetLink"/>
          </w:rPr>
          <w:t>Note 1</w:t>
        </w:r>
      </w:hyperlink>
      <w:hyperlink w:anchor="i8936ec582bfd40c6a2cec4d0326925ac_166">
        <w:r>
          <w:rPr>
            <w:rStyle w:val="InternetLink"/>
          </w:rPr>
          <w:t>7</w:t>
        </w:r>
      </w:hyperlink>
      <w:hyperlink w:anchor="i8936ec582bfd40c6a2cec4d0326925ac_166">
        <w:r>
          <w:rPr>
            <w:rStyle w:val="InternetLink"/>
          </w:rPr>
          <w:t>. Commitments and Contingencies</w:t>
        </w:r>
      </w:hyperlink>
      <w:r>
        <w:rPr>
          <w:color w:val="000000"/>
          <w:shd w:fill="FFFFFF" w:val="clear"/>
        </w:rPr>
        <w:t xml:space="preserve"> </w:t>
      </w:r>
      <w:r>
        <w:rPr>
          <w:rFonts w:ascii="Times New Roman;serif" w:hAnsi="Times New Roman;serif"/>
          <w:b w:val="false"/>
          <w:color w:val="000000"/>
          <w:sz w:val="20"/>
          <w:shd w:fill="FFFFFF" w:val="clear"/>
        </w:rPr>
        <w:t>of the Notes to the Consolidated Financial Statements (Part II, Item 8) included in this report, which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69240"/>
                <wp:effectExtent l="0" t="0" r="0" b="0"/>
                <wp:wrapNone/>
                <wp:docPr id="72" name="Frame6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69240"/>
                <wp:effectExtent l="0" t="0" r="0" b="0"/>
                <wp:wrapNone/>
                <wp:docPr id="73" name="Frame6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Market Information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Class A common stock and warrants to purchase Class A common stock are listed on Nasdaq under the symbols “QSI” and “QSIAW”, respectively.</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Stockholders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February 25, 2026, we had 196,431,273 shares of Class A common stock issued and outstanding held of record by 308 holders, 19,937,500 shares of Class B common stock issued and outstanding held of record by two holders, and 3,833,317 public warrants held of record by two holders and 135,000 private placement warrants issued in connection with HighCape’s initial public offering held of record by three holders, each exercisable for one share of Class A Common Stock at a price of $11.50 per share. Both the public and private warrants expire on June 10, 2026.</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is no public market for our Class B common stock.</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not paid any cash dividends on our Class A common stock or Class B common stock to date, and we do not anticipate paying any cash dividends in the foreseeable future.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Unregistered Sales of Equity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Issuer Purchases of Equity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69240"/>
                <wp:effectExtent l="0" t="0" r="0" b="0"/>
                <wp:wrapNone/>
                <wp:docPr id="74" name="Frame6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ind w:left="0" w:right="0" w:hanging="108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jc w:val="both"/>
        <w:rPr/>
      </w:pPr>
      <w:r>
        <w:rPr>
          <w:rFonts w:ascii="Times New Roman;serif" w:hAnsi="Times New Roman;serif"/>
          <w:b w:val="false"/>
          <w:i/>
          <w:color w:val="000000"/>
          <w:sz w:val="20"/>
          <w:shd w:fill="FFFFFF" w:val="clear"/>
        </w:rPr>
        <w:t xml:space="preserve">The following discussion and analysis provides information which management believes is relevant to an assessment and understanding of our consolidated results of operations and financial condition. The discussion should be read in conjunction with the Consolidated Financial Statements and Notes thereto contained in this Annual Report on Form 10-K. This discussion contains forward looking statements and involves numerous risks and uncertainties, including, but not limited to, those described in the “Risk Factors” section of this Annual Report on Form 10-K. Actual results may differ materially from those contained in any forward-looking statements. For a discussion on forward-looking statements, see the information set forth in the introductory note to this Annual Report under the caption “Cautionary Note Regarding Forward Looking Statements,” which information is incorporated herein by reference. Unless the context otherwise requires, references to “we”, “us”, “our”, the “Company” or “Quantum-Si” are intended to mean the business and operations of Quantum-Si Incorporated and its consolidated subsidiaries. For discussion and analysis pertaining to the year ended </w:t>
      </w:r>
      <w:r>
        <w:rPr>
          <w:rFonts w:ascii="Times New Roman;serif" w:hAnsi="Times New Roman;serif"/>
          <w:b w:val="false"/>
          <w:i/>
          <w:color w:val="000000"/>
          <w:sz w:val="20"/>
        </w:rPr>
        <w:t>December 31, 2024</w:t>
      </w:r>
      <w:r>
        <w:rPr>
          <w:color w:val="000000"/>
          <w:shd w:fill="FFFFFF" w:val="clear"/>
        </w:rPr>
        <w:t xml:space="preserve"> </w:t>
      </w:r>
      <w:r>
        <w:rPr>
          <w:rFonts w:ascii="Times New Roman;serif" w:hAnsi="Times New Roman;serif"/>
          <w:b w:val="false"/>
          <w:i/>
          <w:color w:val="000000"/>
          <w:sz w:val="20"/>
          <w:shd w:fill="FFFFFF" w:val="clear"/>
        </w:rPr>
        <w:t xml:space="preserve">overview and highlights as compared to the year ended </w:t>
      </w:r>
      <w:r>
        <w:rPr>
          <w:rFonts w:ascii="Times New Roman;serif" w:hAnsi="Times New Roman;serif"/>
          <w:b w:val="false"/>
          <w:i/>
          <w:color w:val="000000"/>
          <w:sz w:val="20"/>
        </w:rPr>
        <w:t>December 31, 2023</w:t>
      </w:r>
      <w:r>
        <w:rPr>
          <w:rFonts w:ascii="Times New Roman;serif" w:hAnsi="Times New Roman;serif"/>
          <w:b w:val="false"/>
          <w:i/>
          <w:color w:val="000000"/>
          <w:sz w:val="20"/>
          <w:shd w:fill="FFFFFF" w:val="clear"/>
        </w:rPr>
        <w:t>, please refer to the Company’s Annual Report on Form 10-K, as filed with the SEC on March 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40" w:after="283"/>
        <w:jc w:val="both"/>
        <w:rPr/>
      </w:pPr>
      <w:r>
        <w:rPr>
          <w:rFonts w:ascii="Times New Roman;serif" w:hAnsi="Times New Roman;serif"/>
          <w:b w:val="false"/>
          <w:color w:val="000000"/>
          <w:sz w:val="20"/>
        </w:rPr>
        <w:t>We are a life sciences company focused on proteomics research, with the mission of transforming single-molecule analysis and democratizing its use by providing researchers and clinicians access to the proteome, the set of proteins expressed within a cell. We have developed a proprietary, universal, single-molecule detection platform that we are applying to proteomics to enable next-gen protein sequencing (“NGPS”) to sequence proteins in a massively parallel fashion (rather than sequentially, one at a time), which can also be used for the study of nucleic acids. We believe in the ability to sequence proteins in a massively parallel fashion and offer a fast analysis time provides NGPS with the potential to unlock significant biological information through improved resolution and unbiased access to the proteome at a speed and scale not available today. Traditionally, proteomic workflows to sequence proteins required days or weeks to complete. Our current platform includes our Platinum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NGPS line of instruments, Platinum Analysis Software and consumable kits for use with our Platinum line of instruments. 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began a controlled launch of the Platinum instrument and started to take orders in December 2022, subsequently began a controlled commercial launch of Platinum in January 2023 and then moved to a full commercial launch of Platinum beginning in the second quarter of 2024. In January 2025, we announced the launch of our Platinum Pro benchtop sequencer. First shipments of Platinum Pro occurred in March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our platform offers a differentiated solution in a rapidly evolving proteomics tools market. Within our initial focus market of proteomics, our platform is designed to provide users a seamless opportunity to gain key insights into the immediate state of biological pathways and cell state. Our platform aims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is designed to streamline sequencing and data analysis at a lower instrument cost and with greater automation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2025, we presented an updated technology and product roadmap that we believe positions us to be a leader in proteomics, including instrumentation, consumable kits and software tools. We intend to continue to execute on this roadmap through a combination of internal development programs and external partnerships to bring to market the most comprehensive proteomics platform in our industry.</w:t>
      </w:r>
    </w:p>
    <w:p>
      <w:pPr>
        <w:pStyle w:val="TextBody"/>
        <w:bidi w:val="0"/>
        <w:spacing w:lineRule="auto" w:line="288" w:before="240" w:after="283"/>
        <w:jc w:val="both"/>
        <w:rPr/>
      </w:pPr>
      <w:r>
        <w:rPr>
          <w:rFonts w:ascii="Times New Roman;serif" w:hAnsi="Times New Roman;serif"/>
          <w:b w:val="false"/>
          <w:color w:val="000000"/>
          <w:sz w:val="20"/>
        </w:rPr>
        <w:t>Most importantly, this roadmap includes the development of Proteus</w:t>
      </w:r>
      <w:r>
        <w:rPr>
          <w:rFonts w:ascii="Times New Roman;serif" w:hAnsi="Times New Roman;serif"/>
          <w:b w:val="false"/>
          <w:color w:val="000000"/>
          <w:sz w:val="13"/>
        </w:rPr>
        <w:t>TM</w:t>
      </w:r>
      <w:r>
        <w:rPr>
          <w:rFonts w:ascii="Times New Roman;serif" w:hAnsi="Times New Roman;serif"/>
          <w:b w:val="false"/>
          <w:color w:val="000000"/>
          <w:sz w:val="20"/>
        </w:rPr>
        <w:t xml:space="preserve">, our next-generation platform, which was announced in November 2024 and is anticipated to launch by the end of 2026. Proteus aims to provide single-molecule, amino acid level resolution while also providing anticipated significantly higher sequencing output per sample and increased sample throughout per run, automation of the sequencing workflow and automated data analysis as compared to Platinum Pro. The Proteus platform is being developed to be a modular, scalable system that allows for expansion in the overall platform, the number of consumables that can be processed concurrently and the overall output of sample data from the platform. The first generation of Proteus and associated sequencing consumables is anticipated to include motion control, liquid handling, and a new on-board single optical system with the ability to accept a new consumable chip that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69240"/>
                <wp:effectExtent l="0" t="0" r="0" b="0"/>
                <wp:wrapNone/>
                <wp:docPr id="75" name="Frame6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80 million features. We believe this new platform will provide much deeper insights while simplifying and significantly reducing the cost of the underlying consumable. In addition, during our presentation in November 2025, we provided data demonstrating the wide range of proteomics applications that are addressable with our proprietary, single-molecule, kinetic detection technology.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Global Developments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U.S. Federal Reserve lowered interest rates slightly in 2024 and in the third and fourth quarters of 2025, it is not known whether additional action will be taken to lower interest rates and if this decrease, and any other decreases, will have an impact on inflation. While these rate fluctuations have not had a significant adverse impact on the Company to date, the impact of such rate fluctuations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the Company has not been materially affected by enacted tariffs either by the U.S. government or foreign retaliatory tariffs; however, the Company’s finished goods and/or their components could become materially affected by changing tariffs in the future. If increased tariffs are imposed on the Company’s finished goods and/or components, they may impact the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Company has not been significantly impacted by geopolitical conflicts throughout the world, the Company has experienced certain constraints in product and material availability and increasing costs required to obtain certain materials and supplies as a result of these conflicts on the global economy. To date, the business has not been materially impacted by these conflicts, however, as the conflicts continue or worsen, they may impact the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240" w:after="283"/>
        <w:jc w:val="both"/>
        <w:rPr/>
      </w:pPr>
      <w:r>
        <w:rPr>
          <w:rFonts w:ascii="Times New Roman;serif" w:hAnsi="Times New Roman;serif"/>
          <w:b w:val="false"/>
          <w:color w:val="000000"/>
          <w:sz w:val="20"/>
          <w:shd w:fill="FFFFFF" w:val="clear"/>
        </w:rPr>
        <w:t>In November 2024, we announced that we committed to an organizational restructuring program designed to streamline and focus our overall corporate resources, as well as align required resources to focus on future product development objectives, including our recently announced Proteus platform. As a result, we terminated approximately 23% of our 187 employee workforce. In connection with the restructurin</w:t>
      </w:r>
      <w:r>
        <w:rPr>
          <w:rFonts w:ascii="Times New Roman;serif" w:hAnsi="Times New Roman;serif"/>
          <w:b w:val="false"/>
          <w:color w:val="000000"/>
          <w:sz w:val="20"/>
        </w:rPr>
        <w:t xml:space="preserve">g, we recognized one-time cash charges related to severance and other benefits of approximately $2.3 million in the fourth quarter of 2024. Our restructuring activities were complete as of December 31, 2024 and, as of December 31, 2025, we do not expect to incur additional charges associated with these activities. For further information regarding our restructuring activities, please refer to </w:t>
      </w:r>
      <w:hyperlink w:anchor="i8936ec582bfd40c6a2cec4d0326925ac_148">
        <w:r>
          <w:rPr>
            <w:rStyle w:val="InternetLink"/>
            <w:rFonts w:ascii="Times New Roman;serif" w:hAnsi="Times New Roman;serif"/>
            <w:b w:val="false"/>
            <w:color w:val="000080"/>
            <w:sz w:val="20"/>
            <w:u w:val="single"/>
          </w:rPr>
          <w:t>Note 1</w:t>
        </w:r>
      </w:hyperlink>
      <w:hyperlink w:anchor="i8936ec582bfd40c6a2cec4d0326925ac_148">
        <w:r>
          <w:rPr>
            <w:rStyle w:val="InternetLink"/>
            <w:rFonts w:ascii="Times New Roman;serif" w:hAnsi="Times New Roman;serif"/>
            <w:b w:val="false"/>
            <w:color w:val="000080"/>
            <w:sz w:val="20"/>
            <w:u w:val="single"/>
          </w:rPr>
          <w:t>3</w:t>
        </w:r>
      </w:hyperlink>
      <w:hyperlink w:anchor="i8936ec582bfd40c6a2cec4d0326925ac_148">
        <w:r>
          <w:rPr>
            <w:rStyle w:val="InternetLink"/>
            <w:rFonts w:ascii="Times New Roman;serif" w:hAnsi="Times New Roman;serif"/>
            <w:b w:val="false"/>
            <w:color w:val="000080"/>
            <w:sz w:val="20"/>
            <w:u w:val="single"/>
          </w:rPr>
          <w:t>.</w:t>
        </w:r>
      </w:hyperlink>
      <w:hyperlink w:anchor="i8936ec582bfd40c6a2cec4d0326925ac_148">
        <w:r>
          <w:rPr>
            <w:rStyle w:val="InternetLink"/>
            <w:rFonts w:ascii="Times New Roman;serif" w:hAnsi="Times New Roman;serif"/>
            <w:b w:val="false"/>
            <w:color w:val="000080"/>
            <w:sz w:val="20"/>
            <w:u w:val="single"/>
          </w:rPr>
          <w:t xml:space="preserve"> </w:t>
        </w:r>
      </w:hyperlink>
      <w:hyperlink w:anchor="i8936ec582bfd40c6a2cec4d0326925ac_148">
        <w:r>
          <w:rPr>
            <w:rStyle w:val="InternetLink"/>
            <w:rFonts w:ascii="Times New Roman;serif" w:hAnsi="Times New Roman;serif"/>
            <w:b w:val="false"/>
            <w:color w:val="000080"/>
            <w:sz w:val="20"/>
            <w:u w:val="single"/>
          </w:rPr>
          <w:t>Restructuring</w:t>
        </w:r>
      </w:hyperlink>
      <w:r>
        <w:rPr>
          <w:color w:val="000000"/>
        </w:rPr>
        <w:t xml:space="preserve"> </w:t>
      </w:r>
      <w:r>
        <w:rPr>
          <w:rFonts w:ascii="Times New Roman;serif" w:hAnsi="Times New Roman;serif"/>
          <w:b w:val="false"/>
          <w:color w:val="000000"/>
          <w:sz w:val="20"/>
          <w:shd w:fill="FFFFFF" w:val="clear"/>
        </w:rPr>
        <w:t>in the accompanying notes to the Consolidated Financial Statements included elsewhere in this Annual Report on Form 10-K.</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Equity Transactions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Equity Offering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26, 2025, we entered into a Sales Agreement (the “Sales Agreement”) with Leerink Partners LLC (“Leerink”), pursuant to which we may offer and sell shares of our Class A common stock having an aggregate offering price of up to $100.0 million, from time to time through an “at-the-market” offering program under which Leerink will act as sales agent (the “2025 ATM Offering”). We have no obligation to sell any shares under the Sales Agreement and may at any time suspend solicitation and offers under the Sales Agreement. The 2025 ATM Offering is being made pursuant to a universal shelf registration statement on Form S-3, which we originally filed on September 26, 2025, and a sales agreement prospectus related to the 2025 ATM Offering. During the year ended December 31, 2025, there were no shares sold under the Sales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Registered Direct Offerings and Pre-funded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3, 2025, we entered into a securities purchase agreement with a certain institutional investor, pursuant to which we agreed to issue and sell, in a registered direct offering (the “July 2025 Registered Direct Offering”), an aggregate of (i) 18,200,000 shares of our Class A common stock at a price of $1.67 per share and (ii) pre-funded warrants to purchase 11,740,119 shares of Class A common stock (the “Pre-Funded Warrants”). The Pre-Funded Warrants were exercised in full on August 1, 2025 at the exercise price of 0.0001 for one share of Class A common stock per Pre-Funded Warrant. The gross proceeds from the July 2025 Registered Direct Offering were $50.0 million. After deducting estimated placement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69240"/>
                <wp:effectExtent l="0" t="0" r="0" b="0"/>
                <wp:wrapNone/>
                <wp:docPr id="76" name="Frame6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agents’ fees and other offering expenses payable by us, net proceeds as of December 31, 2025 were approximately $46.7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July 2025 Registered Direct Offering, we provided written notice, effective as of July 3, 2025, to Canaccord Genuity LLC (“Canaccord”) of our election to terminate the equity distribution agreement dated December 11, 2024 for our at-the-market offering. At the time of termination, we had sold 23,425,650 shares of our Class A common stock under the equity distribution agreement for aggregate gross proceeds of $36.2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3, 2025, we entered into a securities purchase agreement with certain institutional investors pursuant to which we agreed to issue and sell, in a registered direct offering (the “January 2025 Registered Direct Offering,” and together with the July 2025 Registered Direct Offering, the “Registered Direct Offerings”) an aggregate of 15,625,000 shares of our Class A common stock at a price of $3.20 per share. The gross proceeds from the January 2025 Registered Direct Offering were $50.0 million. After deducting estimated placement agents’ fees and other offering expenses payable by us, net proceeds recorded as of December 31, 2025 were approximately $46.8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both Registered Direct Offerings, we entered into placement agency agreements with A.G.P./Alliance Global Partners (“AGP”), pursuant to which AGP agreed to serve as our sole placement agent on a reasonable best efforts basis. In connection with the Registered Direct Offerings, we agreed to pay AGP an aggregate cash fee equal to 6.0% of the gross proceeds received in the respective offering. The securities in both Registered Direct Offerings were sold pursuant to our universal shelf registration statement on Form S-3, which was originally filed with the SEC on August 11, 2023, and related base prospectuses and prospectus supplements dated July 3, 2025 and January 3, 2025, respectively, thereunder.</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further information regarding our equity transactions, please refer to the Liquidity Outlook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Significant Judgments and Estimates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expenses incurred during the reporting periods. Our estimates are based on historical experience and various other factors we believe to be reasonable under the circumstances, the results of which form the basis for making judgments about items not readily apparent from other sources. Actual results may differ from these estimates under different assumptions or conditions.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 Recognition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We recognize revenue when or as a customer obtains control of the promised goods and services. The amount of revenue recognized reflects the consideration to which we expect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We have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allocate transaction price to the performance obligations in a contract with a customer based on the relative standalone selling price of each performance obligation. We determine standalone selling price based on the price at which the performance obligation is sold separately. If the standalone selling price is not observable through past transactions, we estimate the standalone selling price taking into account available information and specific factors such as competitive positioning, internal costs, profit objectives, and internally approved pricing guidelines related to the performance obligation.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consider performance obligation for sales of products satisfied upon shipment of the goods to the customer in accordance with the shipping terms (either upon shipment or delivery), which is when control of the product is deemed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69240"/>
                <wp:effectExtent l="0" t="0" r="0" b="0"/>
                <wp:wrapNone/>
                <wp:docPr id="77" name="Frame6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 transferred; this includes instruments and consumables. Customers generally do not have a right to return products,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We typically provide a standard one-year warranty which covers defects in materials, workmanship and manufacturing or performance conditions under normal use and service. The first year of the warranty of the products is considered an assurance-type warranty and is recorded as Cost of revenue within the Consolidated Statements of Operations and Comprehensive Loss. We have determined this standard first-year warranty is not a distinct performance obligation.</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Stock-based compensation expense for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non-financing event performance conditions on an accelerated basis is recognized as though each vesting portion of the award was, in substance, a separate award.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the Business Combination, the fair value of the shares of common stock underlying stock options had been determined by the Board, with input from management and contemporaneous third-party valuations, as there was no public market for the common stock. Given the absence of a public trading market for our common stock, the Board exercised reasonable judgment and considered numerous objective and subjective factors to determine the best estimate of the fair value of our common stock at each option grant date.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After the completion of the Business Combination, we measure compensation expense for stock-based awards to employees, non-employees and directors based upon the awards’ initial grant-date fair values. Stock-based compensation expense for stock options, restricted stock units and performance awards is recorded over the requisite service period. For awards with only a service condition, we expense stock-based compensation using the straight-line method over the requisite service period for the entire award. For awards with a market condition, we expense the grant date fair value at the target over the vesting period regardless of the value the award recipients ultimately receive. The fair value of restricted stock without a market condition is estimated using the current market price of our common stock on the date of grant. The fair value of stock option grants with a market condition is estimated at the date of grant using the Monte Carlo simulation model (“Monte Carlo”). The fair values of stock option grants with only a service condition are estimated as of the date of grant by applying the Black-Scholes option valuation model (“Black-Scholes model”). The Black-Scholes model and Monte Carlo models incorporate assumptions as to stock price volatility, the expected life of options or restricted stock, a risk-free interest rate and dividend yield. The effect of forfeiture in compensation costs is recognized based on actual forfeitures when they occur.</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Black-Scholes model is affected by the stock price on the date of the grant as well as assumptions regarding a number of variables. These variables include the expected term of the option, expected risk-free interest rate, the expected volatility of common stock, and expected dividend yield; each of which is described below. The assumptions for expected term of the option and expected volatility of common stock are the two assumptions that significantly affect the grant date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Expected Term</w:t>
      </w:r>
      <w:r>
        <w:rPr>
          <w:rFonts w:ascii="Times New Roman;serif" w:hAnsi="Times New Roman;serif"/>
          <w:b w:val="false"/>
          <w:color w:val="000000"/>
          <w:sz w:val="20"/>
          <w:shd w:fill="FFFFFF" w:val="clear"/>
        </w:rPr>
        <w:t>: The expected term is calculated using the weighted-average period that the stock options are expected to be outstanding prior to being exercised. We determine expected term based on historical exercise patterns and our expectation of the time that it will take for employees to exercise options still outstanding. We estimate non-employees’ options based on the contractual term.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Risk-free Interest Rate</w:t>
      </w:r>
      <w:r>
        <w:rPr>
          <w:rFonts w:ascii="Times New Roman;serif" w:hAnsi="Times New Roman;serif"/>
          <w:b w:val="false"/>
          <w:color w:val="000000"/>
          <w:sz w:val="20"/>
          <w:shd w:fill="FFFFFF" w:val="clear"/>
        </w:rPr>
        <w:t>: The risk-free interest rate for periods within the expected term of the awards is based on the U.S. Treasury yield curve in effect at the time of the grant.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Expected Stock Price Volatility</w:t>
      </w:r>
      <w:r>
        <w:rPr>
          <w:rFonts w:ascii="Times New Roman;serif" w:hAnsi="Times New Roman;serif"/>
          <w:b w:val="false"/>
          <w:color w:val="000000"/>
          <w:sz w:val="20"/>
          <w:shd w:fill="FFFFFF" w:val="clear"/>
        </w:rPr>
        <w:t>: We determined expected annual equity volatility based on the combination of the historical volatility of our common stock and the historical volatility of the common stock comparable to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69240"/>
                <wp:effectExtent l="0" t="0" r="0" b="0"/>
                <wp:wrapNone/>
                <wp:docPr id="78" name="Frame6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69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Dividend Yield</w:t>
      </w:r>
      <w:r>
        <w:rPr>
          <w:rFonts w:ascii="Times New Roman;serif" w:hAnsi="Times New Roman;serif"/>
          <w:b w:val="false"/>
          <w:color w:val="000000"/>
          <w:sz w:val="20"/>
          <w:shd w:fill="FFFFFF" w:val="clear"/>
        </w:rPr>
        <w:t>: Because we have never paid a dividend and do not expect to begin doing so in the foreseeable future, we assume no dividend yield in valuing the stock-based awards.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Exercise Price</w:t>
      </w:r>
      <w:r>
        <w:rPr>
          <w:rFonts w:ascii="Times New Roman;serif" w:hAnsi="Times New Roman;serif"/>
          <w:b w:val="false"/>
          <w:color w:val="000000"/>
          <w:sz w:val="20"/>
          <w:shd w:fill="FFFFFF" w:val="clear"/>
        </w:rPr>
        <w:t>: The exercise price is taken directly from the grant notice issued to employees and non-employees.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Stock options granted to non-employees are accounted for based on their fair value on the measurement date using the Black-Scholes model. For further information regarding our stock-based compensation and equity incentive plans, please refer to </w:t>
      </w:r>
      <w:hyperlink w:anchor="i8936ec582bfd40c6a2cec4d0326925ac_106">
        <w:r>
          <w:rPr>
            <w:rStyle w:val="InternetLink"/>
            <w:rFonts w:ascii="Times New Roman;serif" w:hAnsi="Times New Roman;serif"/>
            <w:b w:val="false"/>
            <w:color w:val="0000FF"/>
            <w:sz w:val="20"/>
            <w:u w:val="single"/>
            <w:shd w:fill="FFFFFF" w:val="clear"/>
          </w:rPr>
          <w:t>Note 2. Summary of Significant Accounting Policies</w:t>
        </w:r>
      </w:hyperlink>
      <w:r>
        <w:rPr>
          <w:color w:val="000000"/>
          <w:shd w:fill="FFFFFF" w:val="clear"/>
        </w:rPr>
        <w:t xml:space="preserve"> </w:t>
      </w:r>
      <w:r>
        <w:rPr>
          <w:rFonts w:ascii="Times New Roman;serif" w:hAnsi="Times New Roman;serif"/>
          <w:b w:val="false"/>
          <w:color w:val="000000"/>
          <w:sz w:val="20"/>
          <w:shd w:fill="FFFFFF" w:val="clear"/>
        </w:rPr>
        <w:t xml:space="preserve">and </w:t>
      </w:r>
      <w:hyperlink w:anchor="i8936ec582bfd40c6a2cec4d0326925ac_139">
        <w:r>
          <w:rPr>
            <w:rStyle w:val="InternetLink"/>
          </w:rPr>
          <w:t>Note 1</w:t>
        </w:r>
      </w:hyperlink>
      <w:hyperlink w:anchor="i8936ec582bfd40c6a2cec4d0326925ac_139">
        <w:r>
          <w:rPr>
            <w:rStyle w:val="InternetLink"/>
          </w:rPr>
          <w:t>0</w:t>
        </w:r>
      </w:hyperlink>
      <w:hyperlink w:anchor="i8936ec582bfd40c6a2cec4d0326925ac_139">
        <w:r>
          <w:rPr>
            <w:rStyle w:val="InternetLink"/>
          </w:rPr>
          <w:t>. Stock-based Compensation</w:t>
        </w:r>
      </w:hyperlink>
      <w:r>
        <w:rPr>
          <w:color w:val="000000"/>
          <w:shd w:fill="FFFFFF" w:val="clear"/>
        </w:rPr>
        <w:t xml:space="preserve"> </w:t>
      </w:r>
      <w:r>
        <w:rPr>
          <w:rFonts w:ascii="Times New Roman;serif" w:hAnsi="Times New Roman;serif"/>
          <w:b w:val="false"/>
          <w:color w:val="000000"/>
          <w:sz w:val="20"/>
          <w:shd w:fill="FFFFFF" w:val="clear"/>
        </w:rPr>
        <w:t>in the accompanying notes to our Consolidated Financial Statements included elsewhere in this Annual Report on Form 10-K.</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Inventory</w:t>
      </w:r>
    </w:p>
    <w:p>
      <w:pPr>
        <w:pStyle w:val="TextBody"/>
        <w:bidi w:val="0"/>
        <w:spacing w:lineRule="auto" w:line="288" w:before="240" w:after="283"/>
        <w:jc w:val="both"/>
        <w:rPr/>
      </w:pPr>
      <w:r>
        <w:rPr>
          <w:rFonts w:ascii="Times New Roman;serif" w:hAnsi="Times New Roman;serif"/>
          <w:b w:val="false"/>
          <w:color w:val="000000"/>
          <w:sz w:val="20"/>
          <w:shd w:fill="FFFFFF" w:val="clear"/>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w:t>
      </w:r>
      <w:r>
        <w:rPr>
          <w:rFonts w:ascii="Times New Roman;serif" w:hAnsi="Times New Roman;serif"/>
          <w:b w:val="false"/>
          <w:color w:val="000000"/>
          <w:sz w:val="20"/>
        </w:rPr>
        <w:t>xpense when the product enters the research and development process and can no longer be used for commercial purposes and, therefore, does not have an “alternative future use” as defined in authoritative guidance. During the years ended December 31, 2025, 2024 and 2023, we identified $1.6 million, $3.2 million and $3.4 million, respectively, of product that no longer had an alternative future use and therefore was included as part of research and development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 assessment of the recoverability of capitalized inventory is performed during each reporting period and, if needed, we record a reserve for any excess and obsolete inventory to record inventory at its estimated net realizable value in the period it is identified. Inventory excess and obsolescence reserves related to cost of revenue were $0.7 million and $0.2 million for the years ended December 31, 2025 and 2024, respectively. Inventory excess and obsolescence reserves related to cost of revenue were immaterial for the year ended December 31, 2023.</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further information regarding our significant accounting policies and estimates, please refer to </w:t>
      </w:r>
      <w:hyperlink w:anchor="i8936ec582bfd40c6a2cec4d0326925ac_106">
        <w:r>
          <w:rPr>
            <w:rStyle w:val="InternetLink"/>
            <w:rFonts w:ascii="Times New Roman;serif" w:hAnsi="Times New Roman;serif"/>
            <w:b w:val="false"/>
            <w:color w:val="0000FF"/>
            <w:sz w:val="20"/>
            <w:u w:val="single"/>
            <w:shd w:fill="FFFFFF" w:val="clear"/>
          </w:rPr>
          <w:t>Note 2. Summary of Significant Accounting Policies</w:t>
        </w:r>
      </w:hyperlink>
      <w:r>
        <w:rPr>
          <w:color w:val="000000"/>
          <w:shd w:fill="FFFFFF" w:val="clear"/>
        </w:rPr>
        <w:t xml:space="preserve"> </w:t>
      </w:r>
      <w:r>
        <w:rPr>
          <w:rFonts w:ascii="Times New Roman;serif" w:hAnsi="Times New Roman;serif"/>
          <w:b w:val="false"/>
          <w:color w:val="000000"/>
          <w:sz w:val="20"/>
          <w:shd w:fill="FFFFFF" w:val="clear"/>
        </w:rPr>
        <w:t>in the accompanying notes to our Consolidated Financial Statements included elsewhere in this Annual Report on Form 10-K.</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Warrant Liabilities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Outstanding warrants include Public Warrants which were issued as one-third of one redeemable warrant per unit during HighCape’s initial public offering on September 9, 2020, and Private Warrants sold to the Sponsor. The Public Warrants and Private Warrants meet the definition of a derivative and we recorded these warrants as warrant liabilities on the Consolidated Balance Sheets at fair value upon the closing of the Business Combination, with subsequent changes in their respective fair values recognized in the Consolidated Statements of Operations and Comprehensive Loss at each reporting date. </w:t>
      </w:r>
      <w:r>
        <w:rPr>
          <w:rFonts w:ascii="Times New Roman;serif" w:hAnsi="Times New Roman;serif"/>
          <w:b w:val="false"/>
          <w:color w:val="000000"/>
          <w:sz w:val="20"/>
        </w:rPr>
        <w:t>Both the Public Warrants and Private Warrants expire on June 10, 2026.</w:t>
      </w:r>
      <w:r>
        <w:rPr>
          <w:color w:val="000000"/>
          <w:shd w:fill="FFFFFF" w:val="clear"/>
        </w:rPr>
        <w:t xml:space="preserve"> </w:t>
      </w:r>
      <w:r>
        <w:rPr>
          <w:rFonts w:ascii="Times New Roman;serif" w:hAnsi="Times New Roman;serif"/>
          <w:b w:val="false"/>
          <w:color w:val="000000"/>
          <w:sz w:val="20"/>
          <w:shd w:fill="FFFFFF" w:val="clear"/>
        </w:rPr>
        <w:t xml:space="preserve">For further information regarding our warrants, please refer to </w:t>
      </w:r>
      <w:hyperlink w:anchor="i8936ec582bfd40c6a2cec4d0326925ac_142">
        <w:r>
          <w:rPr>
            <w:rStyle w:val="InternetLink"/>
          </w:rPr>
          <w:t>Note 1</w:t>
        </w:r>
      </w:hyperlink>
      <w:hyperlink w:anchor="i8936ec582bfd40c6a2cec4d0326925ac_142">
        <w:r>
          <w:rPr>
            <w:rStyle w:val="InternetLink"/>
          </w:rPr>
          <w:t>1</w:t>
        </w:r>
      </w:hyperlink>
      <w:hyperlink w:anchor="i8936ec582bfd40c6a2cec4d0326925ac_142">
        <w:r>
          <w:rPr>
            <w:rStyle w:val="InternetLink"/>
          </w:rPr>
          <w:t>. Warrant Liabilities</w:t>
        </w:r>
      </w:hyperlink>
      <w:r>
        <w:rPr>
          <w:color w:val="000000"/>
          <w:shd w:fill="FFFFFF" w:val="clear"/>
        </w:rPr>
        <w:t xml:space="preserve"> </w:t>
      </w:r>
      <w:r>
        <w:rPr>
          <w:rFonts w:ascii="Times New Roman;serif" w:hAnsi="Times New Roman;serif"/>
          <w:b w:val="false"/>
          <w:color w:val="000000"/>
          <w:sz w:val="20"/>
          <w:shd w:fill="FFFFFF" w:val="clear"/>
        </w:rPr>
        <w:t xml:space="preserve">in the accompanying notes to the Consolidated Financial Statements included elsewhere in this Annual Report on Form 10-K.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Recently Issued Accounting Pronouncements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a discussion of recently adopted accounting pronouncements and accounting pronouncements pending adoption, please refer to </w:t>
      </w:r>
      <w:hyperlink w:anchor="i8936ec582bfd40c6a2cec4d0326925ac_106">
        <w:r>
          <w:rPr>
            <w:rStyle w:val="InternetLink"/>
            <w:rFonts w:ascii="Times New Roman;serif" w:hAnsi="Times New Roman;serif"/>
            <w:b w:val="false"/>
            <w:color w:val="0000FF"/>
            <w:sz w:val="20"/>
            <w:u w:val="single"/>
            <w:shd w:fill="FFFFFF" w:val="clear"/>
          </w:rPr>
          <w:t>Note 2. Summary of Significant Accounting Policies</w:t>
        </w:r>
      </w:hyperlink>
      <w:r>
        <w:rPr>
          <w:color w:val="000000"/>
          <w:shd w:fill="FFFFFF" w:val="clear"/>
        </w:rPr>
        <w:t xml:space="preserve"> </w:t>
      </w:r>
      <w:r>
        <w:rPr>
          <w:rFonts w:ascii="Times New Roman;serif" w:hAnsi="Times New Roman;serif"/>
          <w:b w:val="false"/>
          <w:color w:val="000000"/>
          <w:sz w:val="20"/>
          <w:shd w:fill="FFFFFF" w:val="clear"/>
        </w:rPr>
        <w:t>in the accompanying notes to the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69240"/>
                <wp:effectExtent l="0" t="0" r="0" b="0"/>
                <wp:wrapNone/>
                <wp:docPr id="79" name="Frame7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color w:val="000000"/>
          <w:sz w:val="20"/>
          <w:shd w:fill="FFFFFF" w:val="clear"/>
        </w:rPr>
        <w:t xml:space="preserve">Results of Operations for the Year Ended </w:t>
      </w:r>
      <w:r>
        <w:rPr>
          <w:rFonts w:ascii="Times New Roman;serif" w:hAnsi="Times New Roman;serif"/>
          <w:b/>
          <w:color w:val="000000"/>
          <w:sz w:val="20"/>
        </w:rPr>
        <w:t>December 31, 2025</w:t>
      </w:r>
      <w:r>
        <w:rPr>
          <w:color w:val="000000"/>
          <w:shd w:fill="FFFFFF" w:val="clear"/>
        </w:rPr>
        <w:t xml:space="preserve"> </w:t>
      </w:r>
      <w:r>
        <w:rPr>
          <w:rFonts w:ascii="Times New Roman;serif" w:hAnsi="Times New Roman;serif"/>
          <w:b/>
          <w:color w:val="000000"/>
          <w:sz w:val="20"/>
          <w:shd w:fill="FFFFFF" w:val="clear"/>
        </w:rPr>
        <w:t xml:space="preserve">as Compared to the Year Ended </w:t>
      </w:r>
      <w:r>
        <w:rPr>
          <w:rFonts w:ascii="Times New Roman;serif" w:hAnsi="Times New Roman;serif"/>
          <w:b/>
          <w:color w:val="000000"/>
          <w:sz w:val="20"/>
        </w:rPr>
        <w:t>December 31, 2024</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summarizes the results of our operations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(dollars in thousands):</w:t>
      </w:r>
    </w:p>
    <w:tbl>
      <w:tblPr>
        <w:tblW w:w="10052" w:type="dxa"/>
        <w:jc w:val="left"/>
        <w:tblInd w:w="0" w:type="dxa"/>
        <w:tblLayout w:type="fixed"/>
        <w:tblCellMar>
          <w:top w:w="28" w:type="dxa"/>
          <w:left w:w="28" w:type="dxa"/>
          <w:bottom w:w="28" w:type="dxa"/>
          <w:right w:w="28" w:type="dxa"/>
        </w:tblCellMar>
      </w:tblPr>
      <w:tblGrid>
        <w:gridCol w:w="1563"/>
        <w:gridCol w:w="1376"/>
        <w:gridCol w:w="1380"/>
        <w:gridCol w:w="211"/>
        <w:gridCol w:w="901"/>
        <w:gridCol w:w="109"/>
        <w:gridCol w:w="109"/>
        <w:gridCol w:w="109"/>
        <w:gridCol w:w="109"/>
        <w:gridCol w:w="211"/>
        <w:gridCol w:w="901"/>
        <w:gridCol w:w="109"/>
        <w:gridCol w:w="109"/>
        <w:gridCol w:w="109"/>
        <w:gridCol w:w="109"/>
        <w:gridCol w:w="237"/>
        <w:gridCol w:w="541"/>
        <w:gridCol w:w="123"/>
        <w:gridCol w:w="109"/>
        <w:gridCol w:w="109"/>
        <w:gridCol w:w="109"/>
        <w:gridCol w:w="396"/>
        <w:gridCol w:w="399"/>
        <w:gridCol w:w="61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 xml:space="preserve">(1) </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 xml:space="preserve">(1) </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(5126.3)</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13"/>
        </w:rPr>
        <w:t xml:space="preserve">(1) </w:t>
      </w:r>
      <w:r>
        <w:rPr>
          <w:color w:val="000000"/>
        </w:rPr>
        <w:t>“</w:t>
      </w:r>
      <w:r>
        <w:rPr>
          <w:rFonts w:ascii="Times New Roman;serif" w:hAnsi="Times New Roman;serif"/>
          <w:b w:val="false"/>
          <w:color w:val="000000"/>
          <w:sz w:val="20"/>
        </w:rPr>
        <w:t>nm” indicates change is not meaningful.</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Revenue, Cost of Revenue and Gross Profit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is derived from sales of products and services. Product revenue is generated from the following sources: (i) sales of our Platinum line of instruments, (ii) consumables kits, including Library Preparation Kits, Sequencing Kit (which includes sequencing reagents and semiconductor chips), and other related reagent kits, and (iii) freight revenue, which is recognized upon shipment. Service revenue is generated from service maintenance contracts including Platinum Analysis Software access, and advanced training for instrument use.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 primarily consists of product and service costs including material costs, personnel costs and benefits, inbound and outbound freight, packaging, warranty replacement costs, royalty costs, facilities costs, depreciation and amortization expense, and inventory write-offs.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69240"/>
                <wp:effectExtent l="0" t="0" r="0" b="0"/>
                <wp:wrapNone/>
                <wp:docPr id="80" name="Frame7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Revenue, Cost of revenue and Gross profit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7108" w:type="dxa"/>
        <w:jc w:val="left"/>
        <w:tblInd w:w="0" w:type="dxa"/>
        <w:tblLayout w:type="fixed"/>
        <w:tblCellMar>
          <w:top w:w="28" w:type="dxa"/>
          <w:left w:w="28" w:type="dxa"/>
          <w:bottom w:w="28" w:type="dxa"/>
          <w:right w:w="28" w:type="dxa"/>
        </w:tblCellMar>
      </w:tblPr>
      <w:tblGrid>
        <w:gridCol w:w="662"/>
        <w:gridCol w:w="583"/>
        <w:gridCol w:w="585"/>
        <w:gridCol w:w="211"/>
        <w:gridCol w:w="616"/>
        <w:gridCol w:w="271"/>
        <w:gridCol w:w="109"/>
        <w:gridCol w:w="109"/>
        <w:gridCol w:w="109"/>
        <w:gridCol w:w="211"/>
        <w:gridCol w:w="616"/>
        <w:gridCol w:w="271"/>
        <w:gridCol w:w="109"/>
        <w:gridCol w:w="109"/>
        <w:gridCol w:w="109"/>
        <w:gridCol w:w="237"/>
        <w:gridCol w:w="541"/>
        <w:gridCol w:w="123"/>
        <w:gridCol w:w="109"/>
        <w:gridCol w:w="109"/>
        <w:gridCol w:w="109"/>
        <w:gridCol w:w="293"/>
        <w:gridCol w:w="293"/>
        <w:gridCol w:w="61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Total revenue for the sale of our Platinum line of instruments, related reagent kits and service maintenance contracts decreased by </w:t>
      </w:r>
      <w:r>
        <w:rPr>
          <w:rFonts w:ascii="Times New Roman;serif" w:hAnsi="Times New Roman;serif"/>
          <w:b w:val="false"/>
          <w:color w:val="000000"/>
          <w:sz w:val="20"/>
        </w:rPr>
        <w:t>$0.6 million, or 20.3%</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year</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as compared to the same period in </w:t>
      </w:r>
      <w:r>
        <w:rPr>
          <w:rFonts w:ascii="Times New Roman;serif" w:hAnsi="Times New Roman;serif"/>
          <w:b w:val="false"/>
          <w:color w:val="000000"/>
          <w:sz w:val="20"/>
        </w:rPr>
        <w:t xml:space="preserve">2024. </w:t>
      </w: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experienced longer capital sales cycles, largely driven by low or no capital spend budgets at certain customers, primarily from actual and potential budget cuts from the National Institute of Health (“NIH”).</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Total cost of revenue decreased </w:t>
      </w:r>
      <w:r>
        <w:rPr>
          <w:rFonts w:ascii="Times New Roman;serif" w:hAnsi="Times New Roman;serif"/>
          <w:b w:val="false"/>
          <w:color w:val="000000"/>
          <w:sz w:val="20"/>
        </w:rPr>
        <w:t xml:space="preserve">$0.2 million, or 12.0%,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year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December 31, 2025 as </w:t>
      </w:r>
      <w:r>
        <w:rPr>
          <w:rFonts w:ascii="Times New Roman;serif" w:hAnsi="Times New Roman;serif"/>
          <w:b w:val="false"/>
          <w:color w:val="000000"/>
          <w:sz w:val="20"/>
          <w:shd w:fill="FFFFFF" w:val="clear"/>
        </w:rPr>
        <w:t xml:space="preserve">compared to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change in the cost of revenue is based on the relative volume and revenue decreases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as compared to the prior year.</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Gross profit decreased </w:t>
      </w:r>
      <w:r>
        <w:rPr>
          <w:rFonts w:ascii="Times New Roman;serif" w:hAnsi="Times New Roman;serif"/>
          <w:b w:val="false"/>
          <w:color w:val="000000"/>
          <w:sz w:val="20"/>
        </w:rPr>
        <w:t>$0.4 million, or 27.9%</w:t>
      </w:r>
      <w:r>
        <w:rPr>
          <w:color w:val="000000"/>
          <w:shd w:fill="FFFFFF" w:val="clear"/>
        </w:rPr>
        <w:t xml:space="preserve"> </w:t>
      </w: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December 31, 2025 as compared to the same period in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Gross profit margin was </w:t>
      </w:r>
      <w:r>
        <w:rPr>
          <w:rFonts w:ascii="Times New Roman;serif" w:hAnsi="Times New Roman;serif"/>
          <w:b w:val="false"/>
          <w:color w:val="000000"/>
          <w:sz w:val="20"/>
        </w:rPr>
        <w:t xml:space="preserve">47.3%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year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as compared to </w:t>
      </w:r>
      <w:r>
        <w:rPr>
          <w:rFonts w:ascii="Times New Roman;serif" w:hAnsi="Times New Roman;serif"/>
          <w:b w:val="false"/>
          <w:color w:val="000000"/>
          <w:sz w:val="20"/>
        </w:rPr>
        <w:t>52.3%</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same period in 2024. </w:t>
      </w:r>
      <w:r>
        <w:rPr>
          <w:rFonts w:ascii="Times New Roman;serif" w:hAnsi="Times New Roman;serif"/>
          <w:b w:val="false"/>
          <w:color w:val="000000"/>
          <w:sz w:val="20"/>
          <w:shd w:fill="FFFFFF" w:val="clear"/>
        </w:rPr>
        <w:t>This change in margin was primarily based on the mix of products sold during each period and the inventory utilization impacted by purchase price variance and other valuation adjustments for items carried at low or no value that predates the commercial launch of our Platinum line of instruments. We expect gross profit margin to fluctuate for the foreseeable future as we work through our continued commercialization efforts.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began a controlled launch of the Platinum instrument and started to take orders in December 2022, and subsequently began a controlled commercial launch of Platinum in January 2023, and then moved to a full commercial launch of Platinum beginning in the second quarter of 2024. In January 2025, we announced the launch of our Platinum Pro benchtop sequencer. First shipments of Platinum Pro occurred in March 2025.</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Research and Development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primarily consist of personnel costs and benefits, stock-based compensation, lab supplies, consulting and professional services, fabrication services, charges related to product without an alternative future use, facilities costs, software, and other outsourced expenses. Research and development expenses are recognized as incurred. Our research and development expenses are primarily related to developing new products and services.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Research and development expenses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7477"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40"/>
        <w:gridCol w:w="240"/>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69240"/>
                <wp:effectExtent l="0" t="0" r="0" b="0"/>
                <wp:wrapNone/>
                <wp:docPr id="81" name="Frame7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$5.9 million, or 9.9%, for the year ended December 31, 2025 as compared to the same period in 2024. This decrease was primarily driven by a $3.6 million decrease in payroll, payroll-related and other personnel costs resulting primarily from the reduction in headcount related to the November 2024 restructuring, a $2.4 million decrease in research and development expenses due to refundable tax credits, a $2.0 million decrease in laboratory supplies expense, a $0.9 million net decrease in excess and obsolete inventory with no alternative future use and a $0.4 million decrease in consulting expense. These decreases were partially offset by a $3.8 million increase in fabrication and outsourced services driven by efforts to support the development of our Proteus platform.</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Selling, General and Administrative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Selling, general and administrative expenses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8169" w:type="dxa"/>
        <w:jc w:val="left"/>
        <w:tblInd w:w="0" w:type="dxa"/>
        <w:tblLayout w:type="fixed"/>
        <w:tblCellMar>
          <w:top w:w="28" w:type="dxa"/>
          <w:left w:w="28" w:type="dxa"/>
          <w:bottom w:w="28" w:type="dxa"/>
          <w:right w:w="28" w:type="dxa"/>
        </w:tblCellMar>
      </w:tblPr>
      <w:tblGrid>
        <w:gridCol w:w="1071"/>
        <w:gridCol w:w="941"/>
        <w:gridCol w:w="943"/>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63"/>
        <w:gridCol w:w="263"/>
        <w:gridCol w:w="61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$5.8 million, or 11.4%, for the year ended December 31, 2025 as compared to the same period in 2024. This decrease was primarily due to a $2.9 million decrease in legal fees, a $2.1 million decrease in payroll, payroll-related and other personnel costs, a $0.6 million decrease in non-income tax expense, a $0.5 million decrease in depreciation expense, a $0.5 million decrease in insurance expense due to lower premiums and a $0.9 million net decrease in other expenses. These decreases were partially offset by a $1.7 million increase in stock-based compensation expense.</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Lease Termination Expense, Net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Lease termination expense, net, is as follows (dollars in thousands):</w:t>
      </w:r>
    </w:p>
    <w:tbl>
      <w:tblPr>
        <w:tblW w:w="7449" w:type="dxa"/>
        <w:jc w:val="left"/>
        <w:tblInd w:w="0" w:type="dxa"/>
        <w:tblLayout w:type="fixed"/>
        <w:tblCellMar>
          <w:top w:w="28" w:type="dxa"/>
          <w:left w:w="28" w:type="dxa"/>
          <w:bottom w:w="28" w:type="dxa"/>
          <w:right w:w="28" w:type="dxa"/>
        </w:tblCellMar>
      </w:tblPr>
      <w:tblGrid>
        <w:gridCol w:w="950"/>
        <w:gridCol w:w="835"/>
        <w:gridCol w:w="840"/>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303"/>
        <w:gridCol w:w="303"/>
        <w:gridCol w:w="429"/>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ind w:left="0" w:right="0" w:hanging="144"/>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 xml:space="preserve">(1) </w:t>
            </w:r>
          </w:p>
        </w:tc>
      </w:tr>
    </w:tbl>
    <w:p>
      <w:pPr>
        <w:pStyle w:val="TextBody"/>
        <w:bidi w:val="0"/>
        <w:spacing w:lineRule="auto" w:line="288" w:before="240" w:after="283"/>
        <w:jc w:val="both"/>
        <w:rPr/>
      </w:pPr>
      <w:r>
        <w:rPr>
          <w:rFonts w:ascii="Times New Roman;serif" w:hAnsi="Times New Roman;serif"/>
          <w:b w:val="false"/>
          <w:color w:val="000000"/>
          <w:sz w:val="13"/>
        </w:rPr>
        <w:t xml:space="preserve">(1) </w:t>
      </w:r>
      <w:r>
        <w:rPr>
          <w:color w:val="000000"/>
        </w:rPr>
        <w:t>“</w:t>
      </w:r>
      <w:r>
        <w:rPr>
          <w:rFonts w:ascii="Times New Roman;serif" w:hAnsi="Times New Roman;serif"/>
          <w:b w:val="false"/>
          <w:color w:val="000000"/>
          <w:sz w:val="20"/>
        </w:rPr>
        <w:t>nm” indicates change is not meaningful.</w:t>
      </w:r>
    </w:p>
    <w:p>
      <w:pPr>
        <w:pStyle w:val="TextBody"/>
        <w:bidi w:val="0"/>
        <w:spacing w:lineRule="auto" w:line="288" w:before="240" w:after="283"/>
        <w:jc w:val="both"/>
        <w:rPr/>
      </w:pPr>
      <w:r>
        <w:rPr>
          <w:rFonts w:ascii="Times New Roman;serif" w:hAnsi="Times New Roman;serif"/>
          <w:b w:val="false"/>
          <w:color w:val="000000"/>
          <w:sz w:val="20"/>
        </w:rPr>
        <w:t xml:space="preserve">Lease termination expense, net, increased $13.6 million for the year ended December 31, 2025, when compared to the same period in 2024. This increase was due to a settlement agreement to terminate the New Haven, Connecticut lease. For further details regarding this settlement, please refer to </w:t>
      </w:r>
      <w:hyperlink w:anchor="i8936ec582bfd40c6a2cec4d0326925ac_166">
        <w:r>
          <w:rPr>
            <w:rStyle w:val="InternetLink"/>
            <w:rFonts w:ascii="Times New Roman;serif" w:hAnsi="Times New Roman;serif"/>
            <w:b w:val="false"/>
            <w:color w:val="000080"/>
            <w:sz w:val="20"/>
            <w:u w:val="single"/>
          </w:rPr>
          <w:t>N</w:t>
        </w:r>
      </w:hyperlink>
      <w:hyperlink w:anchor="i8936ec582bfd40c6a2cec4d0326925ac_166">
        <w:r>
          <w:rPr>
            <w:rStyle w:val="InternetLink"/>
            <w:rFonts w:ascii="Times New Roman;serif" w:hAnsi="Times New Roman;serif"/>
            <w:b w:val="false"/>
            <w:color w:val="000080"/>
            <w:sz w:val="20"/>
            <w:u w:val="single"/>
          </w:rPr>
          <w:t xml:space="preserve">ote 17. </w:t>
        </w:r>
      </w:hyperlink>
      <w:hyperlink w:anchor="i8936ec582bfd40c6a2cec4d0326925ac_166">
        <w:r>
          <w:rPr>
            <w:rStyle w:val="InternetLink"/>
            <w:rFonts w:ascii="Times New Roman;serif" w:hAnsi="Times New Roman;serif"/>
            <w:b w:val="false"/>
            <w:color w:val="000080"/>
            <w:sz w:val="20"/>
            <w:u w:val="single"/>
          </w:rPr>
          <w:t>Commitment</w:t>
        </w:r>
      </w:hyperlink>
      <w:hyperlink w:anchor="i8936ec582bfd40c6a2cec4d0326925ac_166">
        <w:r>
          <w:rPr>
            <w:rStyle w:val="InternetLink"/>
            <w:rFonts w:ascii="Times New Roman;serif" w:hAnsi="Times New Roman;serif"/>
            <w:b w:val="false"/>
            <w:color w:val="000080"/>
            <w:sz w:val="20"/>
            <w:u w:val="single"/>
          </w:rPr>
          <w:t>s</w:t>
        </w:r>
      </w:hyperlink>
      <w:hyperlink w:anchor="i8936ec582bfd40c6a2cec4d0326925ac_166">
        <w:r>
          <w:rPr>
            <w:rStyle w:val="InternetLink"/>
            <w:rFonts w:ascii="Times New Roman;serif" w:hAnsi="Times New Roman;serif"/>
            <w:b w:val="false"/>
            <w:color w:val="000080"/>
            <w:sz w:val="20"/>
            <w:u w:val="single"/>
          </w:rPr>
          <w:t xml:space="preserve"> and Contingencies</w:t>
        </w:r>
      </w:hyperlink>
      <w:r>
        <w:rPr>
          <w:color w:val="000000"/>
        </w:rPr>
        <w:t xml:space="preserve"> </w:t>
      </w:r>
      <w:r>
        <w:rPr>
          <w:rFonts w:ascii="Times New Roman;serif" w:hAnsi="Times New Roman;serif"/>
          <w:b w:val="false"/>
          <w:color w:val="000000"/>
          <w:sz w:val="20"/>
          <w:shd w:fill="FFFFFF" w:val="clear"/>
        </w:rPr>
        <w:t>in the accompanying notes to the Consolidated Financial Statements included elsewhere in this Annual Report on Form 10-K.</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Legal Settlement Expense, Net of Proceeds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2024, </w:t>
      </w:r>
      <w:r>
        <w:rPr>
          <w:rFonts w:ascii="Times New Roman;serif" w:hAnsi="Times New Roman;serif"/>
          <w:b w:val="false"/>
          <w:color w:val="000000"/>
          <w:sz w:val="20"/>
          <w:shd w:fill="FFFFFF" w:val="clear"/>
        </w:rPr>
        <w:t>Legal settlement expense, net of proceeds, is as follows (dollars in thousands):</w:t>
      </w:r>
    </w:p>
    <w:tbl>
      <w:tblPr>
        <w:tblW w:w="8933" w:type="dxa"/>
        <w:jc w:val="left"/>
        <w:tblInd w:w="0" w:type="dxa"/>
        <w:tblLayout w:type="fixed"/>
        <w:tblCellMar>
          <w:top w:w="28" w:type="dxa"/>
          <w:left w:w="28" w:type="dxa"/>
          <w:bottom w:w="28" w:type="dxa"/>
          <w:right w:w="28" w:type="dxa"/>
        </w:tblCellMar>
      </w:tblPr>
      <w:tblGrid>
        <w:gridCol w:w="1564"/>
        <w:gridCol w:w="1375"/>
        <w:gridCol w:w="1380"/>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303"/>
        <w:gridCol w:w="303"/>
        <w:gridCol w:w="429"/>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ind w:left="0" w:right="0" w:hanging="144"/>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 xml:space="preserve">(1) </w:t>
            </w:r>
          </w:p>
        </w:tc>
      </w:tr>
    </w:tbl>
    <w:p>
      <w:pPr>
        <w:pStyle w:val="TextBody"/>
        <w:bidi w:val="0"/>
        <w:spacing w:lineRule="auto" w:line="288" w:before="240" w:after="283"/>
        <w:jc w:val="both"/>
        <w:rPr/>
      </w:pPr>
      <w:r>
        <w:rPr>
          <w:rFonts w:ascii="Times New Roman;serif" w:hAnsi="Times New Roman;serif"/>
          <w:b w:val="false"/>
          <w:color w:val="000000"/>
          <w:sz w:val="13"/>
        </w:rPr>
        <w:t xml:space="preserve">(1) </w:t>
      </w:r>
      <w:r>
        <w:rPr>
          <w:color w:val="000000"/>
        </w:rPr>
        <w:t>“</w:t>
      </w:r>
      <w:r>
        <w:rPr>
          <w:rFonts w:ascii="Times New Roman;serif" w:hAnsi="Times New Roman;serif"/>
          <w:b w:val="false"/>
          <w:color w:val="000000"/>
          <w:sz w:val="20"/>
        </w:rPr>
        <w:t>nm” indicates change is not meaningful.</w:t>
      </w:r>
    </w:p>
    <w:p>
      <w:pPr>
        <w:pStyle w:val="TextBody"/>
        <w:bidi w:val="0"/>
        <w:spacing w:lineRule="auto" w:line="288" w:before="240" w:after="283"/>
        <w:jc w:val="both"/>
        <w:rPr/>
      </w:pPr>
      <w:r>
        <w:rPr>
          <w:rFonts w:ascii="Times New Roman;serif" w:hAnsi="Times New Roman;serif"/>
          <w:b w:val="false"/>
          <w:color w:val="000000"/>
          <w:sz w:val="20"/>
        </w:rPr>
        <w:t xml:space="preserve">Legal settlement expense, net of insurance proceeds, increased $5.2 million for the year ended December 31, 2025, as compared to the same period in 2024. This increase was due to a $3.4 million </w:t>
      </w:r>
      <w:r>
        <w:rPr>
          <w:rFonts w:ascii="Times New Roman;serif" w:hAnsi="Times New Roman;serif"/>
          <w:b w:val="false"/>
          <w:color w:val="000000"/>
          <w:sz w:val="20"/>
          <w:shd w:fill="FFFFFF" w:val="clear"/>
        </w:rPr>
        <w:t xml:space="preserve">preliminary legal settlement being reached for the Delaware Stockholder Litigation in the second quarter of 2025 and a $1.8 million settlement being paid to the prior contract manufacturer that had manufactured the Platinum and Carbon instruments in the third quarter of 2025. For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69240"/>
                <wp:effectExtent l="0" t="0" r="0" b="0"/>
                <wp:wrapNone/>
                <wp:docPr id="82" name="Frame7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information on these settlements, please refer to </w:t>
      </w:r>
      <w:hyperlink w:anchor="i8936ec582bfd40c6a2cec4d0326925ac_166">
        <w:r>
          <w:rPr>
            <w:rStyle w:val="InternetLink"/>
            <w:rFonts w:ascii="Times New Roman;serif" w:hAnsi="Times New Roman;serif"/>
            <w:b w:val="false"/>
            <w:color w:val="0000FF"/>
            <w:sz w:val="20"/>
            <w:u w:val="single"/>
          </w:rPr>
          <w:t>Note 17. Commitments and Contingencies</w:t>
        </w:r>
      </w:hyperlink>
      <w:r>
        <w:rPr>
          <w:color w:val="000000"/>
        </w:rPr>
        <w:t xml:space="preserve"> </w:t>
      </w:r>
      <w:r>
        <w:rPr>
          <w:rFonts w:ascii="Times New Roman;serif" w:hAnsi="Times New Roman;serif"/>
          <w:b w:val="false"/>
          <w:color w:val="000000"/>
          <w:sz w:val="20"/>
          <w:shd w:fill="FFFFFF" w:val="clear"/>
        </w:rPr>
        <w:t>in the accompanying notes to the Consolidated Financial Statements included elsewhere in this Annual Report on Form 10-K.</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Dividend Income and Interest Income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dividend income and interest income are derived primarily from fixed income securities and money market mutual funds, respectively.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Dividend income and interest income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6534" w:type="dxa"/>
        <w:jc w:val="left"/>
        <w:tblInd w:w="0" w:type="dxa"/>
        <w:tblLayout w:type="fixed"/>
        <w:tblCellMar>
          <w:top w:w="28" w:type="dxa"/>
          <w:left w:w="28" w:type="dxa"/>
          <w:bottom w:w="28" w:type="dxa"/>
          <w:right w:w="28" w:type="dxa"/>
        </w:tblCellMar>
      </w:tblPr>
      <w:tblGrid>
        <w:gridCol w:w="554"/>
        <w:gridCol w:w="487"/>
        <w:gridCol w:w="48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63"/>
        <w:gridCol w:w="263"/>
        <w:gridCol w:w="61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20"/>
        </w:rPr>
        <w:t xml:space="preserve">Dividend income and interest income decreased by $1.0 million and $0.7 million, respectively, or 59.7% and 7.0%, respectively, for the year ended December 31, 2025 as compared to the same period in 2024. </w:t>
      </w:r>
      <w:r>
        <w:rPr>
          <w:rFonts w:ascii="Times New Roman;serif" w:hAnsi="Times New Roman;serif"/>
          <w:b w:val="false"/>
          <w:color w:val="000000"/>
          <w:sz w:val="20"/>
          <w:shd w:fill="FFFFFF" w:val="clear"/>
        </w:rPr>
        <w:t>These decreases are a result of lower market interest rates on invested capital as well as relative lower invested balances during the year ended December 31, 2025.</w:t>
      </w:r>
    </w:p>
    <w:p>
      <w:pPr>
        <w:pStyle w:val="TextBody"/>
        <w:bidi w:val="0"/>
        <w:spacing w:lineRule="auto" w:line="276"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Change in Fair Value of Warrant Liabilities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warrant liabilities were recorded at fair value as part of the Business Combination. Change in fair value of warrant liabilities primarily consists of the change in the fair value of our Public Warrants and Private Warrants.</w:t>
      </w:r>
    </w:p>
    <w:p>
      <w:pPr>
        <w:pStyle w:val="TextBody"/>
        <w:bidi w:val="0"/>
        <w:spacing w:lineRule="auto" w:line="276" w:before="240" w:after="283"/>
        <w:jc w:val="both"/>
        <w:rPr/>
      </w:pPr>
      <w:r>
        <w:rPr>
          <w:rFonts w:ascii="Times New Roman;serif" w:hAnsi="Times New Roman;serif"/>
          <w:b w:val="false"/>
          <w:color w:val="000000"/>
          <w:sz w:val="20"/>
          <w:shd w:fill="FFFFFF" w:val="clear"/>
        </w:rPr>
        <w:t xml:space="preserve">Change in warrant liabilities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8618" w:type="dxa"/>
        <w:jc w:val="left"/>
        <w:tblInd w:w="0" w:type="dxa"/>
        <w:tblLayout w:type="fixed"/>
        <w:tblCellMar>
          <w:top w:w="28" w:type="dxa"/>
          <w:left w:w="28" w:type="dxa"/>
          <w:bottom w:w="28" w:type="dxa"/>
          <w:right w:w="28" w:type="dxa"/>
        </w:tblCellMar>
      </w:tblPr>
      <w:tblGrid>
        <w:gridCol w:w="1248"/>
        <w:gridCol w:w="1099"/>
        <w:gridCol w:w="1103"/>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344"/>
        <w:gridCol w:w="346"/>
        <w:gridCol w:w="61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recognized $4.2 million of income from the decrease in the fair value of warrant liabilities as compared to $3.7 million of expense from the increase in fair value of warrant liabilities for the same period in 2024. These changes in the fair value of warrant liabilities were primarily driven by the change in the underlying trading price of our Class A common stock during the periods reported.</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Other Expense, Net</w:t>
      </w:r>
    </w:p>
    <w:p>
      <w:pPr>
        <w:pStyle w:val="TextBody"/>
        <w:bidi w:val="0"/>
        <w:spacing w:lineRule="auto" w:line="276" w:before="240" w:after="283"/>
        <w:jc w:val="both"/>
        <w:rPr/>
      </w:pPr>
      <w:r>
        <w:rPr>
          <w:rFonts w:ascii="Times New Roman;serif" w:hAnsi="Times New Roman;serif"/>
          <w:b w:val="false"/>
          <w:color w:val="000000"/>
          <w:sz w:val="20"/>
          <w:shd w:fill="FFFFFF" w:val="clear"/>
        </w:rPr>
        <w:t xml:space="preserve">Other expense, net, typically consists of currency revaluations and income from credit card cash rewards programs. Other expense, net,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7219" w:type="dxa"/>
        <w:jc w:val="left"/>
        <w:tblInd w:w="0" w:type="dxa"/>
        <w:tblLayout w:type="fixed"/>
        <w:tblCellMar>
          <w:top w:w="28" w:type="dxa"/>
          <w:left w:w="28" w:type="dxa"/>
          <w:bottom w:w="28" w:type="dxa"/>
          <w:right w:w="28" w:type="dxa"/>
        </w:tblCellMar>
      </w:tblPr>
      <w:tblGrid>
        <w:gridCol w:w="863"/>
        <w:gridCol w:w="760"/>
        <w:gridCol w:w="762"/>
        <w:gridCol w:w="211"/>
        <w:gridCol w:w="466"/>
        <w:gridCol w:w="109"/>
        <w:gridCol w:w="109"/>
        <w:gridCol w:w="109"/>
        <w:gridCol w:w="109"/>
        <w:gridCol w:w="211"/>
        <w:gridCol w:w="436"/>
        <w:gridCol w:w="109"/>
        <w:gridCol w:w="109"/>
        <w:gridCol w:w="109"/>
        <w:gridCol w:w="109"/>
        <w:gridCol w:w="241"/>
        <w:gridCol w:w="534"/>
        <w:gridCol w:w="126"/>
        <w:gridCol w:w="109"/>
        <w:gridCol w:w="109"/>
        <w:gridCol w:w="109"/>
        <w:gridCol w:w="398"/>
        <w:gridCol w:w="398"/>
        <w:gridCol w:w="61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(5126.3)</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 net, increased by $1.0 million, or 5126.3%, for the year ended December 31, 2025 as compared to the same period in 2024. In addition to the items mentioned above, the year ended December 31, 2025 also includes a legal settlement payment received of $1.0 million.</w:t>
      </w:r>
    </w:p>
    <w:p>
      <w:pPr>
        <w:pStyle w:val="TextBody"/>
        <w:bidi w:val="0"/>
        <w:spacing w:lineRule="auto" w:line="276"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presents a summary of our consolidated cash flows for operating, investing, and financing activities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2024 </w:t>
      </w:r>
      <w:r>
        <w:rPr>
          <w:rFonts w:ascii="Times New Roman;serif" w:hAnsi="Times New Roman;serif"/>
          <w:b w:val="false"/>
          <w:color w:val="000000"/>
          <w:sz w:val="20"/>
          <w:shd w:fill="FFFFFF" w:val="clear"/>
        </w:rPr>
        <w:t>(in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69240"/>
                <wp:effectExtent l="0" t="0" r="0" b="0"/>
                <wp:wrapNone/>
                <wp:docPr id="83" name="Frame7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tbl>
      <w:tblPr>
        <w:tblW w:w="7689" w:type="dxa"/>
        <w:jc w:val="left"/>
        <w:tblInd w:w="0" w:type="dxa"/>
        <w:tblLayout w:type="fixed"/>
        <w:tblCellMar>
          <w:top w:w="28" w:type="dxa"/>
          <w:left w:w="28" w:type="dxa"/>
          <w:bottom w:w="28" w:type="dxa"/>
          <w:right w:w="28" w:type="dxa"/>
        </w:tblCellMar>
      </w:tblPr>
      <w:tblGrid>
        <w:gridCol w:w="1839"/>
        <w:gridCol w:w="1619"/>
        <w:gridCol w:w="1627"/>
        <w:gridCol w:w="211"/>
        <w:gridCol w:w="796"/>
        <w:gridCol w:w="109"/>
        <w:gridCol w:w="109"/>
        <w:gridCol w:w="109"/>
        <w:gridCol w:w="109"/>
        <w:gridCol w:w="211"/>
        <w:gridCol w:w="79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44"/>
              <w:jc w:val="left"/>
              <w:rPr>
                <w:color w:val="000000"/>
              </w:rPr>
            </w:pPr>
            <w:r>
              <w:rPr>
                <w:color w:val="000000"/>
              </w:rPr>
              <w:t> </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(87,795)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(84,619)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cash used in 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used in operating activities of $94.7 million was primarily due to a net loss of $101.3 million, resulting from continued spend on research and development and commercialization efforts, accretion on marketable securities of $8.0 million, net changes in operating assets and liabilities of $4.6 million and a change in fair value of warrant liabilities of $4.2 million, which was primarily driven by the change in the underlying trading price of our Class A common stock. This cash used in operating activities was partially offset by stock-based compensation of $10.8 million, depreciation and amortization of $4.5 million, a loss on lease termination of $2.3 million related to the New Haven, Connecticut lease, non-cash lease expense of $2.3 million, write-downs of inventory of $2.3 million and a $1.2 million write-off of construction in process related to the termination of the New Haven, Connecticut 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used in operating activities of $87.8 million was primarily due to a net loss of $101.0 million resulting from continued spend on research and development and commercialization efforts, accretion on marketable securities of $8.4 million and a $3.2 million write-down of inventory. This cash used in operating activities was partially offset by stock-based compensation of $8.9 million, a net increase in cash provided by operating assets and liabilities of $4.6 million due to timing of cash receipts and disbursements, depreciation and amortization of $4.6 million, a change in fair value of warrant liabilities of $3.7 million, and non-cash lease expense of $2.4 million.</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cash used in investing activities</w:t>
      </w:r>
    </w:p>
    <w:p>
      <w:pPr>
        <w:pStyle w:val="TextBody"/>
        <w:bidi w:val="0"/>
        <w:spacing w:lineRule="auto" w:line="288" w:before="240" w:after="283"/>
        <w:jc w:val="both"/>
        <w:rPr/>
      </w:pPr>
      <w:r>
        <w:rPr>
          <w:rFonts w:ascii="Times New Roman;serif" w:hAnsi="Times New Roman;serif"/>
          <w:b w:val="false"/>
          <w:color w:val="000000"/>
          <w:sz w:val="20"/>
        </w:rPr>
        <w:t>For the year ended December 31, 2025, net cash used in investing activities was $28.3 million as compared to $32.7 million for the same period in 2024. This decrease in cash used was primarily due to a $37.4 million increase in cash provided by proceeds from the sales and maturities of marketable securities and</w:t>
      </w:r>
      <w:r>
        <w:rPr>
          <w:color w:val="000000"/>
          <w:shd w:fill="FFFFFF" w:val="clear"/>
        </w:rPr>
        <w:t xml:space="preserve"> </w:t>
      </w:r>
      <w:r>
        <w:rPr>
          <w:rFonts w:ascii="Times New Roman;serif" w:hAnsi="Times New Roman;serif"/>
          <w:b w:val="false"/>
          <w:color w:val="000000"/>
          <w:sz w:val="20"/>
          <w:shd w:fill="FFFFFF" w:val="clear"/>
        </w:rPr>
        <w:t xml:space="preserve">a $2.1 million decrease in purchases of property and equipment </w:t>
      </w:r>
      <w:r>
        <w:rPr>
          <w:rFonts w:ascii="Times New Roman;serif" w:hAnsi="Times New Roman;serif"/>
          <w:b w:val="false"/>
          <w:color w:val="000000"/>
          <w:sz w:val="20"/>
        </w:rPr>
        <w:t xml:space="preserve">partially offset by a $35.1 million increase in cash used for purchases of marketable securities. </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cash provided by financing activities</w:t>
      </w:r>
    </w:p>
    <w:p>
      <w:pPr>
        <w:pStyle w:val="TextBody"/>
        <w:bidi w:val="0"/>
        <w:spacing w:lineRule="auto" w:line="288" w:before="240" w:after="283"/>
        <w:jc w:val="both"/>
        <w:rPr/>
      </w:pPr>
      <w:r>
        <w:rPr>
          <w:rFonts w:ascii="Times New Roman;serif" w:hAnsi="Times New Roman;serif"/>
          <w:b w:val="false"/>
          <w:color w:val="000000"/>
          <w:sz w:val="20"/>
        </w:rPr>
        <w:t xml:space="preserve">For the year ended December 31, 2025, net cash provided by financing activities was $95.4 million as compared to $35.9 million for the same period in 2024. </w:t>
      </w:r>
      <w:r>
        <w:rPr>
          <w:rFonts w:ascii="Times New Roman;serif" w:hAnsi="Times New Roman;serif"/>
          <w:b w:val="false"/>
          <w:color w:val="000000"/>
          <w:sz w:val="20"/>
          <w:shd w:fill="FFFFFF" w:val="clear"/>
        </w:rPr>
        <w:t>This increase in cash provided was primarily due to $93.5 million of net proceeds from the issuance of common stock from net direct equity and pre-funded warrant offerings that occurred in January and July of 2025 and $1.9 million in proceeds from the exercise of stock options. Further information regarding the direct equity and pre-funded warrant offerings can be found below under the header Liquidity Outlook.</w:t>
      </w:r>
    </w:p>
    <w:p>
      <w:pPr>
        <w:pStyle w:val="TextBody"/>
        <w:bidi w:val="0"/>
        <w:spacing w:lineRule="auto" w:line="276"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Liquidity Outlook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we have funded our operations primarily with proceeds from the issuance of equity to private investors, as well as with the proceeds received from the closing of the Business Combination. Additionally, we began to generate revenue during 2023 from commercial sales of our Platinum instrument. Our primary uses of liquidity have been operating expenses, capital expenditures and our acquisition of certain assets. Cash flows from operations have been historically negative as we continue to invest in the development of our technology in NGPS.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expect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69240"/>
                <wp:effectExtent l="0" t="0" r="0" b="0"/>
                <wp:wrapNone/>
                <wp:docPr id="84" name="Frame7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commercialization efforts, to further invest in research and development, for other operating expenses, business acquisitions and for working capital and general corporate purposes.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cash and cash equivalents and investments in marketable securities totaling </w:t>
      </w:r>
      <w:r>
        <w:rPr>
          <w:rFonts w:ascii="Times New Roman;serif" w:hAnsi="Times New Roman;serif"/>
          <w:b w:val="false"/>
          <w:color w:val="000000"/>
          <w:sz w:val="20"/>
        </w:rPr>
        <w:t>$215.8 million</w:t>
      </w:r>
      <w:r>
        <w:rPr>
          <w:rFonts w:ascii="Times New Roman;serif" w:hAnsi="Times New Roman;serif"/>
          <w:b w:val="false"/>
          <w:color w:val="000000"/>
          <w:sz w:val="20"/>
          <w:shd w:fill="FFFFFF" w:val="clear"/>
        </w:rPr>
        <w:t>. Our future capital requirements may vary from those currently planned and will depend on various factors including the pace and success of product commercialization.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ongoing commercialization of Platinum and Platinum Pro as well as our continuing research and development efforts to enhance our instruments may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11, 2023, we filed a universal shelf registration statement on Form S-3 (the “2023 Shelf Registration Statement”) covering the offering of Class A common stock, preferred stock, debt securities, warrants, rights and units. After the closing of the July 2025 Registered Direct Offering, the remaining capacity of the 2023 Shelf Registration Statement was approximately $13.8 million. We filed a universal shelf registration statement on Form S-3 and a subsequent amendment to the Form S-3 (the “2025 Shelf Registration Statement”), on September 26, 2025 and October 9, 2025, respectively, covering the offering of Class A common stock, preferred stock, debt securities, warrants, rights and units.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December 11, 2024, we entered into an Equity Distribution Agreement (the “Canaccord Sales Agreement”) with Canaccord to sell shares of our Class A common stock having an aggregate offering price of up to $75.0 million, from time to time through an “at-the-market” offering program under which Canaccord acted as sales agent (the “2024 ATM Offering”). We had no obligation to sell any shares under the Canaccord Sales Agreement and could at any time suspend solicitation and offers under the Canaccord Sales Agreement. The 2024 ATM Offering was made pursuant to the 2023 Shelf Registration Statement and a prospectus supplement related to the 2024 ATM Offering dated December 11, 2024. During the year ended December 31, 2024, we sold and issued 23,425,650 shares of our Class A common stock under the 2024 ATM Offering, resulting in gross proceeds of $36.2 million. Net proceeds were $34.8 million after commissions and issuance costs of $1.4 million. We sold no shares of our Class A common stock under the 2024 ATM Offering during the </w:t>
      </w:r>
      <w:r>
        <w:rPr>
          <w:rFonts w:ascii="Times New Roman;serif" w:hAnsi="Times New Roman;serif"/>
          <w:b w:val="false"/>
          <w:color w:val="000000"/>
          <w:sz w:val="20"/>
        </w:rPr>
        <w:t>year ended 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 connection with the July 2025 Registered Direct Offering, we provided written notice, effective as of July 3, 2025, to Canaccord of our election to terminate the Canaccord Sales Agreement for our at-the-market offering. At the time of termination, we had sold 23,425,650 shares of our Class A common stock under the Canaccord Sales Agreement for aggregate gross proceeds of $36.2 million.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January 3, 2025, we entered into a securities purchase agreement with certain institutional investors in connection with the January 2025 Registered Direct Offering. The gross proceeds from the January 2025 Registered Direct Offering were $50.0 million. After deducting estimated placement agents’ fees and other offering expenses payable by us, net proceeds recorded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were approximately $46.8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3, 2025, we entered into a securities purchase agreement with a certain institutional investor in connection with the July 2025 Registered Direct Offering. The Pre-Funded Warrants were exercised in full on August 1, 2025 at the exercise price of $0.0001 for one share of Class A common stock per Pre-Funded Warrant. The gross proceeds from the July 2025 Registered Direct Offering were $50.0 million. After deducting estimated placement agents’ fees and other offering expenses payable by us, net proceeds as of December 31, 2025 were approximately $46.7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2025, we entered into the Leerink Sales Agreement. We have no obligation to sell any shares under the Leerink Sales Agreement and may at any time suspend solicitation and offers under the Leerink Sales Agreement. The 2025 ATM Offering is being made pursuant to the 2025 Shelf Registration Statement and a prospectus supplement related to the 2025 ATM Offering. During the year ended December 31, 2025, there were no shares sold under the Leerink Sales Agreement. Shares offered and sold in the 2025 ATM Offering, if any, will be sold pursuant to the 2025 Shelf Registration Statement.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69240"/>
                <wp:effectExtent l="0" t="0" r="0" b="0"/>
                <wp:wrapNone/>
                <wp:docPr id="85" name="Frame7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Related Party Transactions</w:t>
      </w:r>
    </w:p>
    <w:p>
      <w:pPr>
        <w:pStyle w:val="TextBody"/>
        <w:bidi w:val="0"/>
        <w:spacing w:lineRule="auto" w:line="288" w:before="240" w:after="283"/>
        <w:jc w:val="both"/>
        <w:rPr/>
      </w:pPr>
      <w:r>
        <w:rPr>
          <w:rFonts w:ascii="Times New Roman;serif" w:hAnsi="Times New Roman;serif"/>
          <w:b w:val="false"/>
          <w:color w:val="000000"/>
          <w:sz w:val="20"/>
          <w:shd w:fill="FFFFFF" w:val="clear"/>
        </w:rPr>
        <w:t>For a description of our related party transactions, please refer to</w:t>
      </w:r>
      <w:hyperlink w:anchor="i8936ec582bfd40c6a2cec4d0326925ac_163">
        <w:r>
          <w:rPr>
            <w:rStyle w:val="InternetLink"/>
            <w:color w:val="0000FF"/>
            <w:u w:val="single"/>
          </w:rPr>
          <w:t xml:space="preserve"> </w:t>
        </w:r>
      </w:hyperlink>
      <w:hyperlink w:anchor="i8936ec582bfd40c6a2cec4d0326925ac_163">
        <w:r>
          <w:rPr>
            <w:rStyle w:val="InternetLink"/>
            <w:rFonts w:ascii="Times New Roman;serif" w:hAnsi="Times New Roman;serif"/>
            <w:b w:val="false"/>
            <w:color w:val="0000FF"/>
            <w:sz w:val="20"/>
            <w:u w:val="single"/>
          </w:rPr>
          <w:t>Note 1</w:t>
        </w:r>
      </w:hyperlink>
      <w:hyperlink w:anchor="i8936ec582bfd40c6a2cec4d0326925ac_163">
        <w:r>
          <w:rPr>
            <w:rStyle w:val="InternetLink"/>
            <w:rFonts w:ascii="Times New Roman;serif" w:hAnsi="Times New Roman;serif"/>
            <w:b w:val="false"/>
            <w:color w:val="000080"/>
            <w:sz w:val="20"/>
            <w:u w:val="single"/>
          </w:rPr>
          <w:t>6</w:t>
        </w:r>
      </w:hyperlink>
      <w:hyperlink w:anchor="i8936ec582bfd40c6a2cec4d0326925ac_163">
        <w:r>
          <w:rPr>
            <w:rStyle w:val="InternetLink"/>
            <w:rFonts w:ascii="Times New Roman;serif" w:hAnsi="Times New Roman;serif"/>
            <w:b w:val="false"/>
            <w:color w:val="000080"/>
            <w:sz w:val="20"/>
            <w:u w:val="single"/>
          </w:rPr>
          <w:t>. Related Party Transactions</w:t>
        </w:r>
      </w:hyperlink>
      <w:r>
        <w:rPr>
          <w:color w:val="000000"/>
        </w:rPr>
        <w:t xml:space="preserve"> </w:t>
      </w:r>
      <w:r>
        <w:rPr>
          <w:rFonts w:ascii="Times New Roman;serif" w:hAnsi="Times New Roman;serif"/>
          <w:b w:val="false"/>
          <w:color w:val="000000"/>
          <w:sz w:val="20"/>
        </w:rPr>
        <w:t xml:space="preserve">in the </w:t>
      </w:r>
      <w:r>
        <w:rPr>
          <w:rFonts w:ascii="Times New Roman;serif" w:hAnsi="Times New Roman;serif"/>
          <w:b w:val="false"/>
          <w:color w:val="000000"/>
          <w:sz w:val="20"/>
          <w:shd w:fill="FFFFFF" w:val="clear"/>
        </w:rPr>
        <w:t>accompanying notes to the Consolidated Financial Statements included elsewhere in the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capital expenditures were $2.5 million. We forecast capital expenditures in order to execute on our business plan and maintain growth; however, the actual amount and timing of such capital expenditures will ultimately be determined by the volume of business. We currently anticipate our capital expenditures for the year ended December 31, 2026 will be approximately $5.0 million. We have funded and plan to continue funding these capital expenditures with cash and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Leases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lease certain facilities and equipment under noncancellable lease agreements that expire at various dates through 2029.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future lease payments, before adjustments for tenant incentives, were approximately $4.6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Licenses related to certain intellectual property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license certain intellectual property, some of which may be utilized in our current or future product offerings. To preserve the right to use such intellectual property, we are required to make annual minimum fixed payments totaling approximately $0.2 million as well as royalties based on net sales if the royalties exceed annual minimum fixed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Inflation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rate risk</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our marketable securities are comprised primarily of investments in money market funds backed by U.S. government issued securities, U.S. Treasury bills, and high-quality corporate commercial paper. The primary objective of our investments is the preservation of capital to fulfill liquidity needs. We do not enter into investments for trading or speculative purposes. Based on the nature of our holdings, future interest rate changes are not expected to have a material impact on our marketable securities.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Consolidated Financial Statements. However, the growth of our operations, scope of transactions outside the United States, and the use of currencies other than 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69240"/>
                <wp:effectExtent l="0" t="0" r="0" b="0"/>
                <wp:wrapNone/>
                <wp:docPr id="86" name="Frame7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62"/>
        <w:gridCol w:w="3130"/>
        <w:gridCol w:w="3139"/>
        <w:gridCol w:w="109"/>
        <w:gridCol w:w="109"/>
        <w:gridCol w:w="156"/>
      </w:tblGrid>
      <w:tr>
        <w:trPr/>
        <w:tc>
          <w:tcPr>
            <w:tcW w:w="3562"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82">
              <w:r>
                <w:rPr>
                  <w:rStyle w:val="InternetLink"/>
                  <w:rFonts w:ascii="Times New Roman;serif" w:hAnsi="Times New Roman;serif"/>
                  <w:b w:val="false"/>
                  <w:color w:val="0000FF"/>
                  <w:sz w:val="20"/>
                  <w:u w:val="single"/>
                </w:rPr>
                <w:t>Report of Independent Registered Public Accounting Firm - PricewaterhouseCoopers LLP</w:t>
              </w:r>
            </w:hyperlink>
            <w:r>
              <w:rPr>
                <w:color w:val="000000"/>
              </w:rPr>
              <w:t xml:space="preserve"> </w:t>
            </w:r>
            <w:r>
              <w:rPr>
                <w:rFonts w:ascii="Times New Roman;serif" w:hAnsi="Times New Roman;serif"/>
                <w:b w:val="false"/>
                <w:color w:val="000000"/>
                <w:sz w:val="20"/>
              </w:rPr>
              <w:t>(PCAOB ID: 238)</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82">
              <w:r>
                <w:rPr>
                  <w:rStyle w:val="InternetLink"/>
                  <w:rFonts w:ascii="Times New Roman;serif" w:hAnsi="Times New Roman;serif"/>
                  <w:b w:val="false"/>
                  <w:strike w:val="false"/>
                  <w:dstrike w:val="false"/>
                  <w:color w:val="000000"/>
                  <w:sz w:val="20"/>
                  <w:u w:val="none"/>
                  <w:effect w:val="none"/>
                </w:rPr>
                <w:t>79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85">
              <w:r>
                <w:rPr>
                  <w:rStyle w:val="InternetLink"/>
                  <w:rFonts w:ascii="Times New Roman;serif" w:hAnsi="Times New Roman;serif"/>
                  <w:b w:val="false"/>
                  <w:color w:val="0000FF"/>
                  <w:sz w:val="20"/>
                  <w:u w:val="single"/>
                </w:rPr>
                <w:t>Report of Independent Registered Public Accounting Firm - Deloitte &amp; Touche LLP</w:t>
              </w:r>
            </w:hyperlink>
            <w:r>
              <w:rPr>
                <w:color w:val="000000"/>
              </w:rPr>
              <w:t xml:space="preserve"> </w:t>
            </w:r>
            <w:r>
              <w:rPr>
                <w:rFonts w:ascii="Times New Roman;serif" w:hAnsi="Times New Roman;serif"/>
                <w:b w:val="false"/>
                <w:color w:val="000000"/>
                <w:sz w:val="20"/>
              </w:rPr>
              <w:t>(PCAOB ID: 34)</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85">
              <w:r>
                <w:rPr>
                  <w:rStyle w:val="InternetLink"/>
                  <w:rFonts w:ascii="Times New Roman;serif" w:hAnsi="Times New Roman;serif"/>
                  <w:b w:val="false"/>
                  <w:strike w:val="false"/>
                  <w:dstrike w:val="false"/>
                  <w:color w:val="000000"/>
                  <w:sz w:val="20"/>
                  <w:u w:val="none"/>
                  <w:effect w:val="none"/>
                </w:rPr>
                <w:t>81</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88">
              <w:r>
                <w:rPr>
                  <w:rStyle w:val="InternetLink"/>
                  <w:rFonts w:ascii="Times New Roman;serif" w:hAnsi="Times New Roman;serif"/>
                  <w:b w:val="false"/>
                  <w:color w:val="000080"/>
                  <w:sz w:val="20"/>
                  <w:u w:val="single"/>
                </w:rPr>
                <w:t>Consolidated Balance Sheets as of December 31, 202</w:t>
              </w:r>
            </w:hyperlink>
            <w:hyperlink w:anchor="i8936ec582bfd40c6a2cec4d0326925ac_88">
              <w:r>
                <w:rPr>
                  <w:rStyle w:val="InternetLink"/>
                  <w:rFonts w:ascii="Times New Roman;serif" w:hAnsi="Times New Roman;serif"/>
                  <w:b w:val="false"/>
                  <w:color w:val="000080"/>
                  <w:sz w:val="20"/>
                  <w:u w:val="single"/>
                </w:rPr>
                <w:t>5</w:t>
              </w:r>
            </w:hyperlink>
            <w:hyperlink w:anchor="i8936ec582bfd40c6a2cec4d0326925ac_88">
              <w:r>
                <w:rPr>
                  <w:rStyle w:val="InternetLink"/>
                  <w:rFonts w:ascii="Times New Roman;serif" w:hAnsi="Times New Roman;serif"/>
                  <w:b w:val="false"/>
                  <w:color w:val="000080"/>
                  <w:sz w:val="20"/>
                  <w:u w:val="single"/>
                </w:rPr>
                <w:t xml:space="preserve"> and 202</w:t>
              </w:r>
            </w:hyperlink>
            <w:hyperlink w:anchor="i8936ec582bfd40c6a2cec4d0326925ac_88">
              <w:r>
                <w:rPr>
                  <w:rStyle w:val="InternetLink"/>
                  <w:rFonts w:ascii="Times New Roman;serif" w:hAnsi="Times New Roman;serif"/>
                  <w:b w:val="false"/>
                  <w:color w:val="000080"/>
                  <w:sz w:val="20"/>
                  <w:u w:val="single"/>
                </w:rPr>
                <w:t>4</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88">
              <w:r>
                <w:rPr>
                  <w:rStyle w:val="InternetLink"/>
                  <w:rFonts w:ascii="Times New Roman;serif" w:hAnsi="Times New Roman;serif"/>
                  <w:b w:val="false"/>
                  <w:strike w:val="false"/>
                  <w:dstrike w:val="false"/>
                  <w:color w:val="000000"/>
                  <w:sz w:val="20"/>
                  <w:u w:val="none"/>
                  <w:effect w:val="none"/>
                </w:rPr>
                <w:t>82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91">
              <w:r>
                <w:rPr>
                  <w:rStyle w:val="InternetLink"/>
                  <w:rFonts w:ascii="Times New Roman;serif" w:hAnsi="Times New Roman;serif"/>
                  <w:b w:val="false"/>
                  <w:color w:val="000080"/>
                  <w:sz w:val="20"/>
                  <w:u w:val="single"/>
                </w:rPr>
                <w:t>Consolidated Statements of Operations and Comprehensive Loss for the years ended December 31, 202</w:t>
              </w:r>
            </w:hyperlink>
            <w:hyperlink w:anchor="i8936ec582bfd40c6a2cec4d0326925ac_91">
              <w:r>
                <w:rPr>
                  <w:rStyle w:val="InternetLink"/>
                  <w:rFonts w:ascii="Times New Roman;serif" w:hAnsi="Times New Roman;serif"/>
                  <w:b w:val="false"/>
                  <w:color w:val="000080"/>
                  <w:sz w:val="20"/>
                  <w:u w:val="single"/>
                </w:rPr>
                <w:t>5</w:t>
              </w:r>
            </w:hyperlink>
            <w:hyperlink w:anchor="i8936ec582bfd40c6a2cec4d0326925ac_91">
              <w:r>
                <w:rPr>
                  <w:rStyle w:val="InternetLink"/>
                  <w:rFonts w:ascii="Times New Roman;serif" w:hAnsi="Times New Roman;serif"/>
                  <w:b w:val="false"/>
                  <w:color w:val="000080"/>
                  <w:sz w:val="20"/>
                  <w:u w:val="single"/>
                </w:rPr>
                <w:t>, 202</w:t>
              </w:r>
            </w:hyperlink>
            <w:hyperlink w:anchor="i8936ec582bfd40c6a2cec4d0326925ac_91">
              <w:r>
                <w:rPr>
                  <w:rStyle w:val="InternetLink"/>
                  <w:rFonts w:ascii="Times New Roman;serif" w:hAnsi="Times New Roman;serif"/>
                  <w:b w:val="false"/>
                  <w:color w:val="000080"/>
                  <w:sz w:val="20"/>
                  <w:u w:val="single"/>
                </w:rPr>
                <w:t>4</w:t>
              </w:r>
            </w:hyperlink>
            <w:hyperlink w:anchor="i8936ec582bfd40c6a2cec4d0326925ac_91">
              <w:r>
                <w:rPr>
                  <w:rStyle w:val="InternetLink"/>
                  <w:rFonts w:ascii="Times New Roman;serif" w:hAnsi="Times New Roman;serif"/>
                  <w:b w:val="false"/>
                  <w:color w:val="000080"/>
                  <w:sz w:val="20"/>
                  <w:u w:val="single"/>
                </w:rPr>
                <w:t xml:space="preserve"> and 20</w:t>
              </w:r>
            </w:hyperlink>
            <w:hyperlink w:anchor="i8936ec582bfd40c6a2cec4d0326925ac_91">
              <w:r>
                <w:rPr>
                  <w:rStyle w:val="InternetLink"/>
                  <w:rFonts w:ascii="Times New Roman;serif" w:hAnsi="Times New Roman;serif"/>
                  <w:b w:val="false"/>
                  <w:color w:val="000080"/>
                  <w:sz w:val="20"/>
                  <w:u w:val="single"/>
                </w:rPr>
                <w:t>23</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91">
              <w:r>
                <w:rPr>
                  <w:rStyle w:val="InternetLink"/>
                  <w:rFonts w:ascii="Times New Roman;serif" w:hAnsi="Times New Roman;serif"/>
                  <w:b w:val="false"/>
                  <w:strike w:val="false"/>
                  <w:dstrike w:val="false"/>
                  <w:color w:val="000000"/>
                  <w:sz w:val="20"/>
                  <w:u w:val="none"/>
                  <w:effect w:val="none"/>
                </w:rPr>
                <w:t>83</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94">
              <w:r>
                <w:rPr>
                  <w:rStyle w:val="InternetLink"/>
                  <w:rFonts w:ascii="Times New Roman;serif" w:hAnsi="Times New Roman;serif"/>
                  <w:b w:val="false"/>
                  <w:color w:val="000080"/>
                  <w:sz w:val="20"/>
                  <w:u w:val="single"/>
                </w:rPr>
                <w:t>Consolidated Statements of Changes in Stockholders’ Equity (Deficit) for the years ended December 31, 202</w:t>
              </w:r>
            </w:hyperlink>
            <w:hyperlink w:anchor="i8936ec582bfd40c6a2cec4d0326925ac_94">
              <w:r>
                <w:rPr>
                  <w:rStyle w:val="InternetLink"/>
                  <w:rFonts w:ascii="Times New Roman;serif" w:hAnsi="Times New Roman;serif"/>
                  <w:b w:val="false"/>
                  <w:color w:val="000080"/>
                  <w:sz w:val="20"/>
                  <w:u w:val="single"/>
                </w:rPr>
                <w:t>5</w:t>
              </w:r>
            </w:hyperlink>
            <w:hyperlink w:anchor="i8936ec582bfd40c6a2cec4d0326925ac_94">
              <w:r>
                <w:rPr>
                  <w:rStyle w:val="InternetLink"/>
                  <w:rFonts w:ascii="Times New Roman;serif" w:hAnsi="Times New Roman;serif"/>
                  <w:b w:val="false"/>
                  <w:color w:val="000080"/>
                  <w:sz w:val="20"/>
                  <w:u w:val="single"/>
                </w:rPr>
                <w:t>, 202</w:t>
              </w:r>
            </w:hyperlink>
            <w:hyperlink w:anchor="i8936ec582bfd40c6a2cec4d0326925ac_94">
              <w:r>
                <w:rPr>
                  <w:rStyle w:val="InternetLink"/>
                  <w:rFonts w:ascii="Times New Roman;serif" w:hAnsi="Times New Roman;serif"/>
                  <w:b w:val="false"/>
                  <w:color w:val="000080"/>
                  <w:sz w:val="20"/>
                  <w:u w:val="single"/>
                </w:rPr>
                <w:t>4</w:t>
              </w:r>
            </w:hyperlink>
            <w:hyperlink w:anchor="i8936ec582bfd40c6a2cec4d0326925ac_94">
              <w:r>
                <w:rPr>
                  <w:rStyle w:val="InternetLink"/>
                  <w:rFonts w:ascii="Times New Roman;serif" w:hAnsi="Times New Roman;serif"/>
                  <w:b w:val="false"/>
                  <w:color w:val="000080"/>
                  <w:sz w:val="20"/>
                  <w:u w:val="single"/>
                </w:rPr>
                <w:t xml:space="preserve"> and 202</w:t>
              </w:r>
            </w:hyperlink>
            <w:hyperlink w:anchor="i8936ec582bfd40c6a2cec4d0326925ac_94">
              <w:r>
                <w:rPr>
                  <w:rStyle w:val="InternetLink"/>
                  <w:rFonts w:ascii="Times New Roman;serif" w:hAnsi="Times New Roman;serif"/>
                  <w:b w:val="false"/>
                  <w:color w:val="000080"/>
                  <w:sz w:val="20"/>
                  <w:u w:val="single"/>
                </w:rPr>
                <w:t>3</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94">
              <w:r>
                <w:rPr>
                  <w:rStyle w:val="InternetLink"/>
                  <w:rFonts w:ascii="Times New Roman;serif" w:hAnsi="Times New Roman;serif"/>
                  <w:b w:val="false"/>
                  <w:strike w:val="false"/>
                  <w:dstrike w:val="false"/>
                  <w:color w:val="000000"/>
                  <w:sz w:val="20"/>
                  <w:u w:val="none"/>
                  <w:effect w:val="none"/>
                </w:rPr>
                <w:t>84</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97">
              <w:r>
                <w:rPr>
                  <w:rStyle w:val="InternetLink"/>
                  <w:rFonts w:ascii="Times New Roman;serif" w:hAnsi="Times New Roman;serif"/>
                  <w:b w:val="false"/>
                  <w:color w:val="000080"/>
                  <w:sz w:val="20"/>
                  <w:u w:val="single"/>
                </w:rPr>
                <w:t>Consolidated Statements of Cash Flows for the years ended December 202</w:t>
              </w:r>
            </w:hyperlink>
            <w:hyperlink w:anchor="i8936ec582bfd40c6a2cec4d0326925ac_97">
              <w:r>
                <w:rPr>
                  <w:rStyle w:val="InternetLink"/>
                  <w:rFonts w:ascii="Times New Roman;serif" w:hAnsi="Times New Roman;serif"/>
                  <w:b w:val="false"/>
                  <w:color w:val="000080"/>
                  <w:sz w:val="20"/>
                  <w:u w:val="single"/>
                </w:rPr>
                <w:t>5</w:t>
              </w:r>
            </w:hyperlink>
            <w:hyperlink w:anchor="i8936ec582bfd40c6a2cec4d0326925ac_97">
              <w:r>
                <w:rPr>
                  <w:rStyle w:val="InternetLink"/>
                  <w:rFonts w:ascii="Times New Roman;serif" w:hAnsi="Times New Roman;serif"/>
                  <w:b w:val="false"/>
                  <w:color w:val="000080"/>
                  <w:sz w:val="20"/>
                  <w:u w:val="single"/>
                </w:rPr>
                <w:t>, 202</w:t>
              </w:r>
            </w:hyperlink>
            <w:hyperlink w:anchor="i8936ec582bfd40c6a2cec4d0326925ac_97">
              <w:r>
                <w:rPr>
                  <w:rStyle w:val="InternetLink"/>
                  <w:rFonts w:ascii="Times New Roman;serif" w:hAnsi="Times New Roman;serif"/>
                  <w:b w:val="false"/>
                  <w:color w:val="000080"/>
                  <w:sz w:val="20"/>
                  <w:u w:val="single"/>
                </w:rPr>
                <w:t>4</w:t>
              </w:r>
            </w:hyperlink>
            <w:hyperlink w:anchor="i8936ec582bfd40c6a2cec4d0326925ac_97">
              <w:r>
                <w:rPr>
                  <w:rStyle w:val="InternetLink"/>
                  <w:rFonts w:ascii="Times New Roman;serif" w:hAnsi="Times New Roman;serif"/>
                  <w:b w:val="false"/>
                  <w:color w:val="000080"/>
                  <w:sz w:val="20"/>
                  <w:u w:val="single"/>
                </w:rPr>
                <w:t xml:space="preserve"> and 20</w:t>
              </w:r>
            </w:hyperlink>
            <w:hyperlink w:anchor="i8936ec582bfd40c6a2cec4d0326925ac_97">
              <w:r>
                <w:rPr>
                  <w:rStyle w:val="InternetLink"/>
                  <w:rFonts w:ascii="Times New Roman;serif" w:hAnsi="Times New Roman;serif"/>
                  <w:b w:val="false"/>
                  <w:color w:val="000080"/>
                  <w:sz w:val="20"/>
                  <w:u w:val="single"/>
                </w:rPr>
                <w:t>23</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97">
              <w:r>
                <w:rPr>
                  <w:rStyle w:val="InternetLink"/>
                  <w:rFonts w:ascii="Times New Roman;serif" w:hAnsi="Times New Roman;serif"/>
                  <w:b w:val="false"/>
                  <w:strike w:val="false"/>
                  <w:dstrike w:val="false"/>
                  <w:color w:val="000000"/>
                  <w:sz w:val="20"/>
                  <w:u w:val="none"/>
                  <w:effect w:val="none"/>
                </w:rPr>
                <w:t>85</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936ec582bfd40c6a2cec4d0326925ac_100">
              <w:r>
                <w:rPr>
                  <w:rStyle w:val="InternetLink"/>
                  <w:rFonts w:ascii="Times New Roman;serif" w:hAnsi="Times New Roman;serif"/>
                  <w:b w:val="false"/>
                  <w:color w:val="0000FF"/>
                  <w:sz w:val="20"/>
                  <w:u w:val="single"/>
                </w:rPr>
                <w:t>Notes to the Consolidated Financial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100">
              <w:r>
                <w:rPr>
                  <w:rStyle w:val="InternetLink"/>
                  <w:rFonts w:ascii="Times New Roman;serif" w:hAnsi="Times New Roman;serif"/>
                  <w:b w:val="false"/>
                  <w:strike w:val="false"/>
                  <w:dstrike w:val="false"/>
                  <w:color w:val="000000"/>
                  <w:sz w:val="20"/>
                  <w:u w:val="none"/>
                  <w:effect w:val="none"/>
                </w:rPr>
                <w:t>86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69240"/>
                <wp:effectExtent l="0" t="0" r="0" b="0"/>
                <wp:wrapNone/>
                <wp:docPr id="87" name="Frame7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40" w:after="283"/>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Quantum-Si Incorporated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Opinion on the Financial Statements</w:t>
      </w:r>
    </w:p>
    <w:p>
      <w:pPr>
        <w:pStyle w:val="TextBody"/>
        <w:bidi w:val="0"/>
        <w:spacing w:lineRule="auto" w:line="288" w:before="240" w:after="283"/>
        <w:jc w:val="left"/>
        <w:rPr/>
      </w:pPr>
      <w:r>
        <w:rPr>
          <w:rFonts w:ascii="Times New Roman;serif" w:hAnsi="Times New Roman;serif"/>
          <w:b w:val="false"/>
          <w:color w:val="000000"/>
          <w:sz w:val="20"/>
        </w:rPr>
        <w:t xml:space="preserve">We have audited the accompanying consolidated balance sheets of Quantum-Si Incorporated and its subsidiaries (the </w:t>
      </w:r>
      <w:r>
        <w:rPr>
          <w:color w:val="000000"/>
          <w:shd w:fill="FFFFFF" w:val="clear"/>
        </w:rPr>
        <w:t>“</w:t>
      </w:r>
      <w:r>
        <w:rPr>
          <w:rFonts w:ascii="Times New Roman;serif" w:hAnsi="Times New Roman;serif"/>
          <w:b w:val="false"/>
          <w:color w:val="000000"/>
          <w:sz w:val="20"/>
        </w:rPr>
        <w:t>Company</w:t>
      </w:r>
      <w:r>
        <w:rPr>
          <w:color w:val="000000"/>
          <w:shd w:fill="FFFFFF" w:val="clear"/>
        </w:rPr>
        <w:t>”</w:t>
      </w:r>
      <w:r>
        <w:rPr>
          <w:rFonts w:ascii="Times New Roman;serif" w:hAnsi="Times New Roman;serif"/>
          <w:b w:val="false"/>
          <w:color w:val="000000"/>
          <w:sz w:val="20"/>
        </w:rPr>
        <w:t xml:space="preserve">) as of December 31, 2025 and 2024, and the related consolidated statements of operations and comprehensive loss, of changes in stockholders’ equity (deficit) and of cash flows for the years then ended, including the related notes (collectively referred to as the </w:t>
      </w:r>
      <w:r>
        <w:rPr>
          <w:color w:val="000000"/>
          <w:shd w:fill="FFFFFF" w:val="clear"/>
        </w:rPr>
        <w:t>“</w:t>
      </w:r>
      <w:r>
        <w:rPr>
          <w:rFonts w:ascii="Times New Roman;serif" w:hAnsi="Times New Roman;serif"/>
          <w:b w:val="false"/>
          <w:color w:val="000000"/>
          <w:sz w:val="20"/>
        </w:rPr>
        <w:t>consolidated financial statements</w:t>
      </w:r>
      <w:r>
        <w:rPr>
          <w:color w:val="000000"/>
          <w:shd w:fill="FFFFFF" w:val="clear"/>
        </w:rPr>
        <w:t>”</w:t>
      </w:r>
      <w:r>
        <w:rPr>
          <w:rFonts w:ascii="Times New Roman;serif" w:hAnsi="Times New Roman;serif"/>
          <w:b w:val="false"/>
          <w:color w:val="000000"/>
          <w:sz w:val="20"/>
        </w:rPr>
        <w:t>).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240" w:after="283"/>
        <w:jc w:val="left"/>
        <w:rPr/>
      </w:pPr>
      <w:r>
        <w:rPr>
          <w:rFonts w:ascii="Times New Roman;serif" w:hAnsi="Times New Roman;serif"/>
          <w:b/>
          <w:i/>
          <w:color w:val="000000"/>
          <w:sz w:val="20"/>
        </w:rPr>
        <w:t>Critical Audit Matter</w:t>
      </w:r>
      <w:r>
        <w:rPr>
          <w:rFonts w:ascii="Times New Roman;serif" w:hAnsi="Times New Roman;serif"/>
          <w:b w:val="false"/>
          <w:color w:val="000000"/>
          <w:sz w:val="20"/>
        </w:rPr>
        <w: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Lease Termination - Winchester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 17 to the consolidated financial statements, in December 2021, the Company signed a 10-year lease with Winchester Office LLC (“Winchester”) as landlord. The lease commenced on January 8, 2022 with an original lease expiration date of July 31, 2032. On September 13, 2022, the Company filed a lawsuit against Winchester, alleging that Winchester had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On September 23, 2025, the Company and Winchester entered into the mutual release agreement in connection with the lease.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69240"/>
                <wp:effectExtent l="0" t="0" r="0" b="0"/>
                <wp:wrapNone/>
                <wp:docPr id="88" name="Frame7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79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$13.6 million of total lease termination expense, net, in consideration for Winchester’s agreement to terminate the lease as of the early termination date and settle all disputes between the parties.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lease termination - Winchester is a critical audit matter are a high degree of auditor effort in performing procedures and evaluating audit evidence related to the Company’s accounting for the lease termination.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Addressing the matter involved performing procedures and evaluating audit evidence in connection with forming our overall opinion on the consolidated financial statements. These procedures included, among others (i) obtaining and evaluating the lease and mutual release agreements; (ii) evaluating management’s assessment of the accounting treatment relating to the derecognition and settlement under the lease and mutual release agreements; (iii) confirming with internal and external counsel the extent to which the settlement is reasonably estimable; and (iv) evaluating the sufficiency of the Company’s disclosures in the consolidated financial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3,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69240"/>
                <wp:effectExtent l="0" t="0" r="0" b="0"/>
                <wp:wrapNone/>
                <wp:docPr id="89" name="Frame8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Quantum-Si Incorporated: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statements of operations and comprehensive loss, changes in stockholders’ equity (deficit), and cash flows for the period ended December 31, 2023, and the related notes (collectively referred to as the “financial statements”) of Quantum-Si Incorporated and subsidiaries (the “Company”). In our opinion, the financial statements present fairly, in all material respects, the results of the Company’s operations and its cash flows for the period ended December 31, 2023, in conformity with accounting principles generally accepted in the United States of America.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New York, New York </w:t>
      </w:r>
    </w:p>
    <w:p>
      <w:pPr>
        <w:pStyle w:val="TextBody"/>
        <w:bidi w:val="0"/>
        <w:spacing w:lineRule="auto" w:line="261" w:before="0" w:after="0"/>
        <w:jc w:val="left"/>
        <w:rPr/>
      </w:pPr>
      <w:r>
        <w:rPr>
          <w:rFonts w:ascii="Times New Roman;serif" w:hAnsi="Times New Roman;serif"/>
          <w:b w:val="false"/>
          <w:color w:val="000000"/>
          <w:sz w:val="20"/>
        </w:rPr>
        <w:t xml:space="preserve">February 29, 2024 (March 3, 2025, as to the effects of the adoption of ASU No.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began serving as the Company’s auditor in 2020. In 2024 we became the predecessor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69240"/>
                <wp:effectExtent l="0" t="0" r="0" b="0"/>
                <wp:wrapNone/>
                <wp:docPr id="90" name="Frame8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BALANCE SHEETS</w:t>
      </w:r>
    </w:p>
    <w:p>
      <w:pPr>
        <w:pStyle w:val="TextBody"/>
        <w:bidi w:val="0"/>
        <w:spacing w:lineRule="auto" w:line="276"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38"/>
        <w:gridCol w:w="2380"/>
        <w:gridCol w:w="2355"/>
        <w:gridCol w:w="202"/>
        <w:gridCol w:w="763"/>
        <w:gridCol w:w="112"/>
        <w:gridCol w:w="109"/>
        <w:gridCol w:w="109"/>
        <w:gridCol w:w="109"/>
        <w:gridCol w:w="202"/>
        <w:gridCol w:w="761"/>
        <w:gridCol w:w="165"/>
      </w:tblGrid>
      <w:tr>
        <w:trPr/>
        <w:tc>
          <w:tcPr>
            <w:tcW w:w="2938"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current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160,362 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$270 and $124, respectively</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Legal settlement insurance receivable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218,009 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non-current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245,607 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247,871 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payroll-related costs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contracted services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legal settlement liability</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liabilities, current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18,187 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liabilities, non-current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25,381 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17)</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600,000,000 shares authorized as of December 31, 2025 and December 31, 2024; 196,431,273 and 146,953,271 shares issued and outstanding as of December 31, 2025 and December 31, 2024, respectively</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$0.0001 par value; 27,000,000 shares authorized as of December 31, 2025 and December 31, 2024; 19,937,500 shares issued and outstanding as of December 31, 2025 and December 31, 2024</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918,190 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811,998 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(697,980)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(596,641)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220,226 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215,420 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245,607 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247,871 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69240"/>
                <wp:effectExtent l="0" t="0" r="0" b="0"/>
                <wp:wrapNone/>
                <wp:docPr id="91" name="Frame8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OPERATIONS AND COMPREHENSIVE LOSS</w:t>
      </w:r>
    </w:p>
    <w:p>
      <w:pPr>
        <w:pStyle w:val="TextBody"/>
        <w:bidi w:val="0"/>
        <w:spacing w:lineRule="auto" w:line="276"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per share amounts)</w:t>
      </w:r>
    </w:p>
    <w:tbl>
      <w:tblPr>
        <w:tblW w:w="10205" w:type="dxa"/>
        <w:jc w:val="left"/>
        <w:tblInd w:w="0" w:type="dxa"/>
        <w:tblLayout w:type="fixed"/>
        <w:tblCellMar>
          <w:top w:w="28" w:type="dxa"/>
          <w:left w:w="28" w:type="dxa"/>
          <w:bottom w:w="28" w:type="dxa"/>
          <w:right w:w="28" w:type="dxa"/>
        </w:tblCellMar>
      </w:tblPr>
      <w:tblGrid>
        <w:gridCol w:w="2394"/>
        <w:gridCol w:w="1813"/>
        <w:gridCol w:w="1818"/>
        <w:gridCol w:w="211"/>
        <w:gridCol w:w="874"/>
        <w:gridCol w:w="109"/>
        <w:gridCol w:w="109"/>
        <w:gridCol w:w="109"/>
        <w:gridCol w:w="109"/>
        <w:gridCol w:w="211"/>
        <w:gridCol w:w="874"/>
        <w:gridCol w:w="109"/>
        <w:gridCol w:w="109"/>
        <w:gridCol w:w="109"/>
        <w:gridCol w:w="109"/>
        <w:gridCol w:w="211"/>
        <w:gridCol w:w="769"/>
        <w:gridCol w:w="158"/>
      </w:tblGrid>
      <w:tr>
        <w:trPr/>
        <w:tc>
          <w:tcPr>
            <w:tcW w:w="239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expense,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111,659 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(111,171)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trading securities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trading securities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(95,960)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(95,960)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attributable to common stockholders,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common stockholders, basic and diluted</w:t>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141,300</w:t>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gain (loss):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gain on marketable securities,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gain, net of tax</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(95,960)</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69240"/>
                <wp:effectExtent l="0" t="0" r="0" b="0"/>
                <wp:wrapNone/>
                <wp:docPr id="92" name="Frame8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CHANGES IN STOCKHOLDERS’ EQUITY (DEFICIT)</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amounts)</w:t>
      </w:r>
    </w:p>
    <w:tbl>
      <w:tblPr>
        <w:tblW w:w="11053" w:type="dxa"/>
        <w:jc w:val="left"/>
        <w:tblInd w:w="0" w:type="dxa"/>
        <w:tblLayout w:type="fixed"/>
        <w:tblCellMar>
          <w:top w:w="28" w:type="dxa"/>
          <w:left w:w="28" w:type="dxa"/>
          <w:bottom w:w="28" w:type="dxa"/>
          <w:right w:w="28" w:type="dxa"/>
        </w:tblCellMar>
      </w:tblPr>
      <w:tblGrid>
        <w:gridCol w:w="611"/>
        <w:gridCol w:w="234"/>
        <w:gridCol w:w="236"/>
        <w:gridCol w:w="334"/>
        <w:gridCol w:w="334"/>
        <w:gridCol w:w="338"/>
        <w:gridCol w:w="109"/>
        <w:gridCol w:w="109"/>
        <w:gridCol w:w="109"/>
        <w:gridCol w:w="251"/>
        <w:gridCol w:w="331"/>
        <w:gridCol w:w="109"/>
        <w:gridCol w:w="109"/>
        <w:gridCol w:w="109"/>
        <w:gridCol w:w="109"/>
        <w:gridCol w:w="304"/>
        <w:gridCol w:w="304"/>
        <w:gridCol w:w="308"/>
        <w:gridCol w:w="109"/>
        <w:gridCol w:w="109"/>
        <w:gridCol w:w="109"/>
        <w:gridCol w:w="279"/>
        <w:gridCol w:w="303"/>
        <w:gridCol w:w="109"/>
        <w:gridCol w:w="109"/>
        <w:gridCol w:w="109"/>
        <w:gridCol w:w="109"/>
        <w:gridCol w:w="196"/>
        <w:gridCol w:w="736"/>
        <w:gridCol w:w="109"/>
        <w:gridCol w:w="109"/>
        <w:gridCol w:w="109"/>
        <w:gridCol w:w="109"/>
        <w:gridCol w:w="360"/>
        <w:gridCol w:w="609"/>
        <w:gridCol w:w="202"/>
        <w:gridCol w:w="109"/>
        <w:gridCol w:w="109"/>
        <w:gridCol w:w="109"/>
        <w:gridCol w:w="196"/>
        <w:gridCol w:w="751"/>
        <w:gridCol w:w="109"/>
        <w:gridCol w:w="109"/>
        <w:gridCol w:w="109"/>
        <w:gridCol w:w="109"/>
        <w:gridCol w:w="200"/>
        <w:gridCol w:w="752"/>
        <w:gridCol w:w="159"/>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January 1, 2023</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120,006,757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358,706</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upon exercise of stock options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8,516</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(95,960)</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 December 31, 2023</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121,832,417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767,239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271,619</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upon exercise of stock options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1,072</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upon vesting of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1,096,515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from at-the-market offering, net of commissions and issuance costs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23,425,650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34,789</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8,887</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marketable securities, net of tax</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Refund of issuance costs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(101,007)</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 December 31, 2024</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146,953,271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19,937,500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(596,641)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215,420 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upon exercise of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upon vesting of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3,082,653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from direct equity offerings and upon exercise of public and pre-funded warrants, net of fees and issuance costs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45,565,121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93,510 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marketable securities, net of tax</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 December 31, 2025</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196,431,273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19,937,500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918,190 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220,226 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69240"/>
                <wp:effectExtent l="0" t="0" r="0" b="0"/>
                <wp:wrapNone/>
                <wp:docPr id="93" name="Frame8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tbl>
      <w:tblPr>
        <w:tblW w:w="10205" w:type="dxa"/>
        <w:jc w:val="left"/>
        <w:tblInd w:w="0" w:type="dxa"/>
        <w:tblLayout w:type="fixed"/>
        <w:tblCellMar>
          <w:top w:w="28" w:type="dxa"/>
          <w:left w:w="28" w:type="dxa"/>
          <w:bottom w:w="28" w:type="dxa"/>
          <w:right w:w="28" w:type="dxa"/>
        </w:tblCellMar>
      </w:tblPr>
      <w:tblGrid>
        <w:gridCol w:w="2480"/>
        <w:gridCol w:w="2099"/>
        <w:gridCol w:w="2111"/>
        <w:gridCol w:w="181"/>
        <w:gridCol w:w="664"/>
        <w:gridCol w:w="109"/>
        <w:gridCol w:w="109"/>
        <w:gridCol w:w="109"/>
        <w:gridCol w:w="109"/>
        <w:gridCol w:w="181"/>
        <w:gridCol w:w="664"/>
        <w:gridCol w:w="109"/>
        <w:gridCol w:w="109"/>
        <w:gridCol w:w="109"/>
        <w:gridCol w:w="109"/>
        <w:gridCol w:w="181"/>
        <w:gridCol w:w="616"/>
        <w:gridCol w:w="156"/>
      </w:tblGrid>
      <w:tr>
        <w:trPr/>
        <w:tc>
          <w:tcPr>
            <w:tcW w:w="2480"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Years Ended December 31,</w:t>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operating activities:</w:t>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(95,960)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used in operating activities: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Allowance for credit losses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lease termination</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Write-off of construction on process due to lease termination</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trading securities, net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Realized loss on trading securities, net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Accretion on marketable securities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disposal of fixed assets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Write-down of inventory</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warrant liabilities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contingent consideration</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Legal settlement insurance receivable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Inventory</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current liabilities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legal settlement liability</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liabilities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Net cash used in operating activities</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(94,036)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Internally developed software - capitalized costs </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marketable securities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(404,581)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(369,433)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(123,809)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Sales and maturities of marketable securities </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Net cash (used in) provided by investing activities</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143,428 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exercise of stock options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vesting of restricted stock</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from direct equity offerings and the exercise of public and pre-funded warrants, net of fees and issuance costs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from “at-the-market” offering, net of commissions and issuance costs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offering costs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Refund of issuance costs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Net cash provided by financing activities</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exchange rate changes on cash and cash equivalents</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(decrease) increase in cash and cash equivalents</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(84,619)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49,541 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beginning of period</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end of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133,860 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71" w:type="dxa"/>
        <w:jc w:val="center"/>
        <w:tblInd w:w="0" w:type="dxa"/>
        <w:tblLayout w:type="fixed"/>
        <w:tblCellMar>
          <w:top w:w="28" w:type="dxa"/>
          <w:left w:w="28" w:type="dxa"/>
          <w:bottom w:w="28" w:type="dxa"/>
          <w:right w:w="28" w:type="dxa"/>
        </w:tblCellMar>
      </w:tblPr>
      <w:tblGrid>
        <w:gridCol w:w="1580"/>
        <w:gridCol w:w="1387"/>
        <w:gridCol w:w="1397"/>
        <w:gridCol w:w="181"/>
        <w:gridCol w:w="466"/>
        <w:gridCol w:w="109"/>
        <w:gridCol w:w="109"/>
        <w:gridCol w:w="109"/>
        <w:gridCol w:w="109"/>
        <w:gridCol w:w="181"/>
        <w:gridCol w:w="406"/>
        <w:gridCol w:w="109"/>
        <w:gridCol w:w="109"/>
        <w:gridCol w:w="109"/>
        <w:gridCol w:w="109"/>
        <w:gridCol w:w="181"/>
        <w:gridCol w:w="46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Supplemental disclosure of cash flow information:</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received from exchange of research and development tax credits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taxes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Supplemental disclosure of non-cash investing and financing activities: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and equipment purchased but not paid</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Transfers from inventory to property and equipment</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offering costs payable</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69240"/>
                <wp:effectExtent l="0" t="0" r="0" b="0"/>
                <wp:wrapNone/>
                <wp:docPr id="94" name="Frame8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Description of Business and Basis of Presentation</w:t>
      </w:r>
    </w:p>
    <w:p>
      <w:pPr>
        <w:pStyle w:val="TextBody"/>
        <w:bidi w:val="0"/>
        <w:spacing w:lineRule="auto" w:line="276"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Background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Quantum-Si Incorporated (including its subsidiaries, “Quantum-Si”, “QSI”, or the “Company”)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pStyle w:val="TextBody"/>
        <w:bidi w:val="0"/>
        <w:spacing w:lineRule="auto" w:line="288" w:before="240" w:after="283"/>
        <w:jc w:val="both"/>
        <w:rPr/>
      </w:pPr>
      <w:r>
        <w:rPr>
          <w:rFonts w:ascii="Times New Roman;serif" w:hAnsi="Times New Roman;serif"/>
          <w:b w:val="false"/>
          <w:color w:val="000000"/>
          <w:sz w:val="20"/>
        </w:rPr>
        <w:t>Quantum-Si is a life sciences company focused on proteomics research,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is applied to proteomics to enable next-gen protein sequencing (“NGPS”) to sequence proteins in a massively parallel fashion (rather than sequentially, one at a time), which can also be used for the study of nucleic acids. The Company believes in the ability to sequence proteins in a massively parallel fashion and offer a fast analysis time provides NGPS with the potential to unlock significant biological information through improved resolution and unbiased access to the proteome at a speed and scale not available today. Traditionally, proteomic workflows to sequence proteins required days or weeks to complete. The current platform includes the Platinum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NGPS line of instruments, Platinum Analysis Software and consumable kits for use with the Platinum line of instruments. In 2021, the Company introduced the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The Company began a controlled launch of the Platinum instrument and started to take orders in December 2022, subsequently began a controlled commercial launch of Platinum in January 2023 and then moved to a full commercial launch of Platinum beginning in the second quarter of 2024. In January 2025, the Company announced the launch of the Platinum Pro benchtop sequencer. First shipments of Platinum Pro occurred in March 2025.</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financed its operations primarily with proceeds from the issuance of equity to private investors, as well as with the proceeds received from the closing of the Business Combination. The Company has incurred significant losses and negative cash flows from operations in all periods since inception and had an accumulated deficit of $698.0 million as of December 31, 2025. The Company has incurred significant operating losses, including net losses of $101.3 million, $101.0 million and $96.0 million for the years ended December 31, 2025, 2024 and 2023, respectively. As of December 31, 2025, the Company had cash, cash equivalents and investments in marketable securities of $215.8 million. Management believes the Company’s current cash, cash equivalents and marketable securities, together with revenue from the sales of its products and services, will be sufficient to fund its planned operations for at least the next twelve months from the date of the issuance of the accompanying Consolidated Financial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Until such time as the Company can generate significant revenue from product sales, if ever, it expects to finance its operations through private and public equity offerings, debt financings, and/or potential future collaboration, license and development agreements. However, there can be no assurance the Company will be able to complete any such transactions on acceptable terms or otherwise, and the Company may be unable to obtain sufficient additional capital when needed.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Global Developments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U.S. Federal Reserve lowered interest rates slightly in 2024 and in the third and fourth quarters of 2025, it is not known whether additional action will be taken to lower interest rates and if this decrease, and any other decreases, will have an impact on inflation. While these rate fluctuations have not had a significant adverse impact on the Company to date, the impact of such rate fluctuations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69240"/>
                <wp:effectExtent l="0" t="0" r="0" b="0"/>
                <wp:wrapNone/>
                <wp:docPr id="95" name="Frame8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the Company has not been materially affected by enacted tariffs either by the U.S. government or foreign retaliatory tariffs; however, the Company’s finished goods and/or their components could become materially affected by changing tariffs in the future. If increased tariffs are imposed on the Company’s finished goods and/or components, they may impact the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Company has not been significantly impacted by geopolitical conflicts throughout the world, the Company has experienced certain constraints in product and material availability and increasing costs required to obtain certain materials and supplies as a result of these conflicts on the global economy. To date, the business has not been materially impacted by these conflicts, however, as the conflicts continue or worsen, they may impact the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for consistency with the current year’s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Summary of Significant Accounting Policies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Use of Estimates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Consolidated Financial Statements in conformity with U.S. GAAP requires the Company to make estimates and assumptions about future events that affect the amounts recorded in its Consolidated Financial Statements and accompanying notes. Future events and their effects cannot be determined with certainty. On an ongoing basis, management evaluates these estimates and assumptions. Significant estimates and assumptions include:</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inventory valuation;</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used for leases;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valuation of warrant liabilities;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valuation allowances with respect to deferred tax assets;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associated with revenue recognition; and</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underlying the fair value used in the calculation of 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Consolidated Financial Statements.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Concentration of Business Risk</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Financial instruments that potentially subject the Company to concentration of credit risk consist principally of cash and cash equivalents and marketable securities. As of </w:t>
      </w:r>
      <w:r>
        <w:rPr>
          <w:rFonts w:ascii="Times New Roman;serif" w:hAnsi="Times New Roman;serif"/>
          <w:b w:val="false"/>
          <w:color w:val="000000"/>
          <w:sz w:val="20"/>
        </w:rPr>
        <w:t>December 31, 2025 and 2024,</w:t>
      </w:r>
      <w:r>
        <w:rPr>
          <w:color w:val="000000"/>
          <w:shd w:fill="FFFFFF" w:val="clear"/>
        </w:rPr>
        <w:t xml:space="preserve"> </w:t>
      </w:r>
      <w:r>
        <w:rPr>
          <w:rFonts w:ascii="Times New Roman;serif" w:hAnsi="Times New Roman;serif"/>
          <w:b w:val="false"/>
          <w:color w:val="000000"/>
          <w:sz w:val="20"/>
          <w:shd w:fill="FFFFFF" w:val="clear"/>
        </w:rPr>
        <w:t>the Company’s marketable securities consist of mutual funds, U.S. Treasury securities, U.S. government agency bonds and commercial paper. For further information regarding marketable securities, please refer to</w:t>
      </w:r>
      <w:hyperlink w:anchor="i8936ec582bfd40c6a2cec4d0326925ac_118">
        <w:r>
          <w:rPr>
            <w:rStyle w:val="InternetLink"/>
            <w:color w:val="0000FF"/>
            <w:u w:val="single"/>
            <w:shd w:fill="FFFFFF" w:val="clear"/>
          </w:rPr>
          <w:t xml:space="preserve"> </w:t>
        </w:r>
      </w:hyperlink>
      <w:hyperlink w:anchor="i8936ec582bfd40c6a2cec4d0326925ac_118">
        <w:r>
          <w:rPr>
            <w:rStyle w:val="InternetLink"/>
            <w:rFonts w:ascii="Times New Roman;serif" w:hAnsi="Times New Roman;serif"/>
            <w:b w:val="false"/>
            <w:color w:val="0000FF"/>
            <w:sz w:val="20"/>
            <w:u w:val="single"/>
            <w:shd w:fill="FFFFFF" w:val="clear"/>
          </w:rPr>
          <w:t xml:space="preserve">Note </w:t>
        </w:r>
      </w:hyperlink>
      <w:hyperlink w:anchor="i8936ec582bfd40c6a2cec4d0326925ac_118">
        <w:r>
          <w:rPr>
            <w:rStyle w:val="InternetLink"/>
          </w:rPr>
          <w:t>3</w:t>
        </w:r>
      </w:hyperlink>
      <w:hyperlink w:anchor="i8936ec582bfd40c6a2cec4d0326925ac_118">
        <w:r>
          <w:rPr>
            <w:rStyle w:val="InternetLink"/>
          </w:rPr>
          <w:t>. Investments in Marketable Securities</w:t>
        </w:r>
      </w:hyperlink>
      <w:r>
        <w:rPr>
          <w:rFonts w:ascii="Times New Roman;serif" w:hAnsi="Times New Roman;serif"/>
          <w:b w:val="false"/>
          <w:color w:val="000000"/>
          <w:sz w:val="20"/>
          <w:shd w:fill="FFFFFF" w:val="clear"/>
        </w:rPr>
        <w:t>. The Company also maintains balances in certain operating accounts above federally insured limits and, as a result, the Company is exposed to credit risk in the event of default by the financial institutions to the extent account balances exceed the amount insured by the Federal Deposit Insurance Corporation.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sources certain key materials and components utilized in the Company’s products from single or limited suppliers. Historically, the Company has not experienced significant issues sourcing these materials and components. However, if these suppliers were not able to supply the requested amount of materials or components, it could take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69240"/>
                <wp:effectExtent l="0" t="0" r="0" b="0"/>
                <wp:wrapNone/>
                <wp:docPr id="96" name="Frame8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considerable length of time to obtain alternative sources, which could affect the Company’s development efforts and commercial operations.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Segment Reporting</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Company’s Chief Operating Decision Maker (the “CODM”), its Chief Executive Officer, reviews financial information presented on a consolidated basis for purposes of assessing financial performance, making operating decisions and allocating resources. Accordingly, the Company has determined that it operates as a single reportable segment. For further discussion related to segment reporting, please refer to </w:t>
      </w:r>
      <w:hyperlink w:anchor="i8936ec582bfd40c6a2cec4d0326925ac_157">
        <w:r>
          <w:rPr>
            <w:rStyle w:val="InternetLink"/>
          </w:rPr>
          <w:t>Note 1</w:t>
        </w:r>
      </w:hyperlink>
      <w:hyperlink w:anchor="i8936ec582bfd40c6a2cec4d0326925ac_157">
        <w:r>
          <w:rPr>
            <w:rStyle w:val="InternetLink"/>
          </w:rPr>
          <w:t>5</w:t>
        </w:r>
      </w:hyperlink>
      <w:hyperlink w:anchor="i8936ec582bfd40c6a2cec4d0326925ac_157">
        <w:r>
          <w:rPr>
            <w:rStyle w:val="InternetLink"/>
          </w:rPr>
          <w:t>. Segment Information</w:t>
        </w:r>
      </w:hyperlink>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Translation and Transactions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Company’s international operations, the local currency has been determined to be the functional currency. The results of its non-U.S. dollar-based operations are translated to U.S. dollars at the average exchange rates during the period. Assets and liabilities are translated at the rate of exchange prevailing on the balance sheet date. Equity is translated at the prevailing rate of exchange at the date of the equity transaction. The translational effects of revaluing non-functional currency assets and liabilities were immaterial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realizes foreign currency gains/(losses) in the normal course of business based on movement in the applicable exchange rates.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 xml:space="preserve">, the effect of foreign currency translation and transactions on the Company’s Consolidated Financial Statements was </w:t>
      </w:r>
      <w:r>
        <w:rPr>
          <w:rFonts w:ascii="Times New Roman;serif" w:hAnsi="Times New Roman;serif"/>
          <w:b w:val="false"/>
          <w:color w:val="000000"/>
          <w:sz w:val="20"/>
        </w:rPr>
        <w:t>immaterial</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and Cash Equivalents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All highly liquid investments purchased with a maturity of three months or less are classified as cash equivalents.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cash and cash equivalents consist of a mix of cash and short-term money market accounts, U.S. Treasury securities, U.S. government agency bonds and commercial paper.</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Accounts Receivable, Net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Accounts receivable, net, is stated at the amount the Company expects to collect from customers based on their outstanding invoices. The Company reviews accounts receivable regularly to determine if any receivable may not be collectible. Such accounts receivable have been reduced by an allowance for doubtful accounts, which is our best estimate of the amount of probable credit losses in our existing accounts receivable. The Company estimates the amount of the allowance for doubtful accounts necessary to reduce accounts receivable to its estimated net realizable value by analyzing the status of significant past due receivables and current and historical bad debt trends. The Company writes off accounts receivable against the allowance when it determines a balance is uncollectible and ceases collection efforts. As of December 31, 2025 and 2024, the Company recorded an allowance against accounts receivable of $0.3 million and $0.1 million, respectively. The Company did not write off any accounts receivable balances during the years ended December 31, 2025, 2024 and 2023.</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Marketable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investments in marketable securities with original maturities of greater than three months and remaining maturities of less than one year are classified as Marketable securities, current, and investments with maturities beyond one year are classified as Marketable securities, non-current, on the Consolidated Balance Sheets.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the Company’s marketable securities were classified as available-for-sale securities, carried at fair value, with the unrealized holding gains/(losses), net of income taxes, reflected in accumulated other comprehensive income/(loss) until realized. Regardless of the intent to sell a security, the Company performs additional analysis on all securities with unrealized losses to evaluate losses associated with the creditworthiness of the security. Credit losses are recorded when the Company does not expect to receive cash flows sufficient to recover the amortized cost basis of a security. For the purposes of computing realized and unrealized gains and losses, cost and fair value are determined on a specific identification basis. Purchase premiums and discounts on marketable debt securities are amortized or accreted into the cost basis over the life of the related security as adjustments to the yield using the effective-interest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69240"/>
                <wp:effectExtent l="0" t="0" r="0" b="0"/>
                <wp:wrapNone/>
                <wp:docPr id="97" name="Frame8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Dividends on marketable securities are recognized as income when declared and are recorded as Dividend income in the Consolidated Statements of Operations and Comprehensive Loss. Interest income is recognized when earned.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further discussion related to marketable securities, please refer to </w:t>
      </w:r>
      <w:hyperlink w:anchor="i8936ec582bfd40c6a2cec4d0326925ac_118">
        <w:r>
          <w:rPr>
            <w:rStyle w:val="InternetLink"/>
          </w:rPr>
          <w:t xml:space="preserve">Note </w:t>
        </w:r>
      </w:hyperlink>
      <w:hyperlink w:anchor="i8936ec582bfd40c6a2cec4d0326925ac_118">
        <w:r>
          <w:rPr>
            <w:rStyle w:val="InternetLink"/>
          </w:rPr>
          <w:t>3</w:t>
        </w:r>
      </w:hyperlink>
      <w:hyperlink w:anchor="i8936ec582bfd40c6a2cec4d0326925ac_118">
        <w:r>
          <w:rPr>
            <w:rStyle w:val="InternetLink"/>
          </w:rPr>
          <w:t>. Investments in Marketable Securities</w:t>
        </w:r>
      </w:hyperlink>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Inventory valuation is established based on a number of factors including, but not limited to, finished goods not meeting product specifications, product excess and obsolescence, or application of the lower of cost or net realizable value concepts. The determination of events requiring the establishment of inventory valuation, together with the calculation of the amount of such adjustments may require judgment. The Company performs an assessment of the recoverability of capitalized inventory during each reporting period and, if needed, records a write-down of inventory to its estimated net realizable value in the period it is identified. For further discussion related to inventory, please refer to </w:t>
      </w:r>
      <w:hyperlink w:anchor="i8936ec582bfd40c6a2cec4d0326925ac_124">
        <w:r>
          <w:rPr>
            <w:rStyle w:val="InternetLink"/>
            <w:rFonts w:ascii="Times New Roman;serif" w:hAnsi="Times New Roman;serif"/>
            <w:b w:val="false"/>
            <w:color w:val="0000FF"/>
            <w:sz w:val="20"/>
            <w:u w:val="single"/>
            <w:shd w:fill="FFFFFF" w:val="clear"/>
          </w:rPr>
          <w:t>Note 5. Inventory</w:t>
        </w:r>
      </w:hyperlink>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Prepaid Expenses and Other Current Assets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Prepaid expenses and other current assets include amounts paid in advance for operating expenses as well as monies to be received from the country of France and the State of Connecticut for research and development tax credits. These research and development tax credits are exchanged for a cash refund and are typically collected within one year from the date the tax return is filed with the state. The credits are recognized as an offset to research and development expenses in the Consolidated Statements of Operations and Comprehensive Loss in the annual period the corresponding expenses were incurred.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Property and Equipment, Net</w:t>
      </w:r>
    </w:p>
    <w:p>
      <w:pPr>
        <w:pStyle w:val="TextBody"/>
        <w:bidi w:val="0"/>
        <w:spacing w:lineRule="auto" w:line="288" w:before="240" w:after="283"/>
        <w:jc w:val="both"/>
        <w:rPr/>
      </w:pPr>
      <w:r>
        <w:rPr>
          <w:rFonts w:ascii="Times New Roman;serif" w:hAnsi="Times New Roman;serif"/>
          <w:b w:val="false"/>
          <w:color w:val="000000"/>
          <w:sz w:val="20"/>
          <w:shd w:fill="FFFFFF" w:val="clear"/>
        </w:rPr>
        <w:t>Property and equipment are stated at cost less accumulated depreciation and amortization. Depreciation expense is computed using the straight-line method over the estimated useful lives of the rela</w:t>
      </w:r>
      <w:r>
        <w:rPr>
          <w:rFonts w:ascii="Times New Roman;serif" w:hAnsi="Times New Roman;serif"/>
          <w:b w:val="false"/>
          <w:color w:val="000000"/>
          <w:sz w:val="20"/>
        </w:rPr>
        <w:t>ted assets. Leasehold improvements are amortized over the shorter of the asset’s useful life or the life of the lease term.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Estimated useful lives of property and equipment are as follows:</w:t>
      </w:r>
    </w:p>
    <w:tbl>
      <w:tblPr>
        <w:tblW w:w="5410" w:type="dxa"/>
        <w:jc w:val="left"/>
        <w:tblInd w:w="0" w:type="dxa"/>
        <w:tblLayout w:type="fixed"/>
        <w:tblCellMar>
          <w:top w:w="28" w:type="dxa"/>
          <w:left w:w="28" w:type="dxa"/>
          <w:bottom w:w="28" w:type="dxa"/>
          <w:right w:w="28" w:type="dxa"/>
        </w:tblCellMar>
      </w:tblPr>
      <w:tblGrid>
        <w:gridCol w:w="1169"/>
        <w:gridCol w:w="1025"/>
        <w:gridCol w:w="1030"/>
        <w:gridCol w:w="109"/>
        <w:gridCol w:w="109"/>
        <w:gridCol w:w="109"/>
        <w:gridCol w:w="543"/>
        <w:gridCol w:w="543"/>
        <w:gridCol w:w="773"/>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and production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3-7 years</w:t>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Expenditures for major renewals and improvements are capitalized. Expenditures for repairs and maintenance are expensed as incurred. Costs for property and equipment not yet placed into service have been recorded as construction in process and will be depreciated in accordance with the above guidelines once placed into service. When assets are retired or otherwise disposed of, the cost of these assets and related accumulated depreciation and amortization is eliminated from the balance sheet, and any resulting gains or losses are included in the Consolidated Statements of Operations and Comprehensive Loss in the period of disposal.</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Capitalized Software Development Costs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capitalizes certain internal use software development costs related to its SaaS platform incurred during the application development stage when management with the relevant authority authorizes and commits to the funding of the project, it is probable the project will be completed, and the software will be used as intended. The Company also capitalizes costs related to specific upgrades and enhancements when it is probable the expenditure will result in additional functionality. Costs related to preliminary project activities and to post-implementation activities are expensed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69240"/>
                <wp:effectExtent l="0" t="0" r="0" b="0"/>
                <wp:wrapNone/>
                <wp:docPr id="98" name="Frame8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89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Internal use software is amortized on a straight-line basis over its estimated useful life, which is generally two years. Management evaluates the useful lives of these assets on an annual basis and tests for impairment whenever events or changes in circumstances occur that could impact the recoverability of the asse</w:t>
      </w:r>
      <w:r>
        <w:rPr>
          <w:rFonts w:ascii="Times New Roman;serif" w:hAnsi="Times New Roman;serif"/>
          <w:b w:val="false"/>
          <w:color w:val="000000"/>
          <w:sz w:val="20"/>
        </w:rPr>
        <w:t xml:space="preserve">ts. Capitalized costs are recorded as Internally developed software on the Consolidated Balance Sheets. Amortization expense related to internally developed software was $0.6 million and $0.2 million for the years ended December 31, 2024 and 2023, respectively. As of December 31, 2024,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capitalized software was fully amortized and there was no such amortization expense for the year ended December 31, 2025.</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Impairment of Long-Lived Assets</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reviews its long-lived assets for impairment when the Company determines a triggering event has occurred. When a triggering event has occurred, each impairment test is based on a comparison of the future expected undiscounted cash flows to the recorded value of the asset. If the recorded value of the asset is less than the undiscounted cash flows, the asset is written down to its estimated fair value</w:t>
      </w:r>
      <w:r>
        <w:rPr>
          <w:rFonts w:ascii="Times New Roman;serif" w:hAnsi="Times New Roman;serif"/>
          <w:b w:val="false"/>
          <w:color w:val="000000"/>
          <w:sz w:val="20"/>
        </w:rPr>
        <w:t>. No impairments were recorded for the years ended December 31, 2025, 2024 and 2023.</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Leases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currently leases executive office space in Branford, Connecticut, office, laboratory and manufacturing space in San Diego, California and semiconductor chip assembly and packaging space in Garnet Valley, Pennsylvania. The Company’s current leases expire at various dates through 2029.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real estate lease agreements may include options to either renew and/or early terminate the lease. Leases with renewal options allow the Company to extend the lease term typically between 1 and 5 years. When it is reasonably certain that the Company will exercise an option to renew or terminate a lease, these options are considered in determining the classification and measurement of the lease at lease commencement.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leases generally do not have a readily determinable implicit discount rate. As such, the Company uses an incremental borrowing rate based on the information available at the lease commencement date to determine the present value of the lease payments. The Company’s incremental borrowing rate is the estimated rate that would be required to pay for a collateralized borrowing equal to the total lease payment over the lease term. The Company measures right-of-use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of the Company’s lease agreements contain tenant improvement incentives and allowances, rent holidays, or rent escalation clauses. For tenant improvement incentives, if the incentive is determined to be a leasehold improvement owned by the lessee and the Company is reasonably certain to use the incentive, the Company generally records the incentive as a reduction to the fixed lease payments liability as a reduction to lease cost. Reimbursable construction costs incurred are recorded as leasehold improvements and are amortized over the term of the lease. The Company records rental expense related to rent holidays and rent escalation clauses on a straight-line basis over the term of the lease. The Company uses the date of initial possession as the commencement date for lease incentives, which is generally when the Company is given right of access to the space and begins to make improvements in preparation for intended use.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inception, leases are evaluated and classified as operating or finance for financial reporting purposes. Operating leases that are short term in nature and have month-to-month payment terms are expensed as incurred in Research and development expenses or in Selling, general and administrative expenses in the Consolidated Statements of Operations and Comprehensive Loss. The Company’s lease agreements contain variable lease costs for common area maintenance, utilities, taxes and insurance, which are expensed as incurred.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Warrant Liabilities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outstanding warrants include publicly traded warrants (the “Public Warrants”) which were issued as one-third of one redeemable warrant per unit issued during HighCape’s initial public offering on September 9, 2020,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69240"/>
                <wp:effectExtent l="0" t="0" r="0" b="0"/>
                <wp:wrapNone/>
                <wp:docPr id="99" name="Frame9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warrants sold in a private placement (the “Private Warrants”) to HighCape’s sponsor, HighCape Capital Acquisition LLC (the “Sponsor”). The Public Warrants and Private Warrants meet the definition of a derivative and the Company recorded these warrants as long-term liabilities on the Consolidated Balance Sheets at fair value upon the closing of the Business Combination, with subsequent changes in their respective fair values recognized in the Consolidated Statements of Operations and Comprehensive Loss at each reporting date.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warrants are classified as current liabilities on the Consolidated Balance Sheets. For further discussion related to the Public Warrants and Private Warrants, please refer to </w:t>
      </w:r>
      <w:hyperlink w:anchor="i8936ec582bfd40c6a2cec4d0326925ac_142">
        <w:r>
          <w:rPr>
            <w:rStyle w:val="InternetLink"/>
          </w:rPr>
          <w:t>Note 1</w:t>
        </w:r>
      </w:hyperlink>
      <w:hyperlink w:anchor="i8936ec582bfd40c6a2cec4d0326925ac_142">
        <w:r>
          <w:rPr>
            <w:rStyle w:val="InternetLink"/>
          </w:rPr>
          <w:t>1</w:t>
        </w:r>
      </w:hyperlink>
      <w:hyperlink w:anchor="i8936ec582bfd40c6a2cec4d0326925ac_142">
        <w:r>
          <w:rPr>
            <w:rStyle w:val="InternetLink"/>
          </w:rPr>
          <w:t>. Warrant Liabilities</w:t>
        </w:r>
      </w:hyperlink>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Warranty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provides a free one-year assurance-type warranty to customers with the initial purchase of a Platinum instrument. The cost of the warranty is accrued upon the initial sale of an instrument in Accrued expenses and other current liabilities on the Consolidated Balance Sheets.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The Company recognizes revenue when or as a customer obtains control of the promised goods and services. The amount of revenue recognized reflects the consideration to which the Company expects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The Company has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readily available to the customer and is separately identified in the contract. The Company allocates transaction price to the performance obligations in a contract with a customer based on the relative standalone selling price of each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and specific factors such as competitive positioning, internal costs, profit objectives, and internally approved pricing guidelines related to the performance obligation.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considers performance obligation for sales of products satisfied upon shipment of the goods to the customer in accordance with the shipping terms (either upon shipment or delivery), which is when control of the product is deemed to be transferred; this includes instruments and consumables. Customers generally do not have a right to return products,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The Company typically provides a standard </w:t>
      </w:r>
      <w:r>
        <w:rPr>
          <w:rFonts w:ascii="Times New Roman;serif" w:hAnsi="Times New Roman;serif"/>
          <w:b w:val="false"/>
          <w:color w:val="000000"/>
          <w:sz w:val="20"/>
        </w:rPr>
        <w:t>one</w:t>
      </w:r>
      <w:r>
        <w:rPr>
          <w:rFonts w:ascii="Times New Roman;serif" w:hAnsi="Times New Roman;serif"/>
          <w:b w:val="false"/>
          <w:color w:val="000000"/>
          <w:sz w:val="20"/>
          <w:shd w:fill="FFFFFF" w:val="clear"/>
        </w:rPr>
        <w:t>-year</w:t>
      </w:r>
      <w:r>
        <w:rPr>
          <w:color w:val="000000"/>
          <w:shd w:fill="FFFFFF" w:val="clear"/>
        </w:rPr>
        <w:t xml:space="preserve"> </w:t>
      </w:r>
      <w:r>
        <w:rPr>
          <w:rFonts w:ascii="Times New Roman;serif" w:hAnsi="Times New Roman;serif"/>
          <w:b w:val="false"/>
          <w:color w:val="000000"/>
          <w:sz w:val="20"/>
          <w:shd w:fill="FFFFFF" w:val="clear"/>
        </w:rPr>
        <w:t>warranty which covers defects in materials, workmanship and manufacturing or performance conditions under normal use and service. The first year of the warranty of the products is considered an assurance-type warranty and is recorded as Cost of revenue within the Consolidated Statements of Operations and Comprehensive Loss. The Company has determined the standard first-year warranty is not a distinct performance obligation.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disaggregates revenue from contracts with customers by type of revenue. The Company believes product revenue and service revenue aggregate the payor types by nature, amount, timing and uncertainty of its revenue streams. For further discussion on the disaggregation of revenue, please refer to </w:t>
      </w:r>
      <w:hyperlink w:anchor="i8936ec582bfd40c6a2cec4d0326925ac_157">
        <w:r>
          <w:rPr>
            <w:rStyle w:val="InternetLink"/>
          </w:rPr>
          <w:t>N</w:t>
        </w:r>
      </w:hyperlink>
      <w:hyperlink w:anchor="i8936ec582bfd40c6a2cec4d0326925ac_157">
        <w:r>
          <w:rPr>
            <w:rStyle w:val="InternetLink"/>
          </w:rPr>
          <w:t>ote 1</w:t>
        </w:r>
      </w:hyperlink>
      <w:hyperlink w:anchor="i8936ec582bfd40c6a2cec4d0326925ac_157">
        <w:r>
          <w:rPr>
            <w:rStyle w:val="InternetLink"/>
          </w:rPr>
          <w:t>5</w:t>
        </w:r>
      </w:hyperlink>
      <w:hyperlink w:anchor="i8936ec582bfd40c6a2cec4d0326925ac_157">
        <w:r>
          <w:rPr>
            <w:rStyle w:val="InternetLink"/>
          </w:rPr>
          <w:t>. Segment Information</w:t>
        </w:r>
      </w:hyperlink>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Deferred Revenue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Deferred revenue primarily consists of billings and payments received in advance of revenue recognition from service maintenance contracts including software subscription and advanced training, and is reduced as the revenue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69240"/>
                <wp:effectExtent l="0" t="0" r="0" b="0"/>
                <wp:wrapNone/>
                <wp:docPr id="100" name="Frame9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criteria are met. Deferred revenue also includes advanced training provided to customers until the service has been performed. Deferred revenue that will be recognized as revenue within the succeeding 12-month period is recorded as current and is included within Accrued expenses and other current liabilities in the Company’s Consolidated Balance Sheets. The portion of deferred revenue where revenue is expected to be recognized beyond </w:t>
      </w:r>
      <w:r>
        <w:rPr>
          <w:rFonts w:ascii="Times New Roman;serif" w:hAnsi="Times New Roman;serif"/>
          <w:b w:val="false"/>
          <w:color w:val="000000"/>
          <w:sz w:val="20"/>
        </w:rPr>
        <w:t>twelve months</w:t>
      </w:r>
      <w:r>
        <w:rPr>
          <w:color w:val="000000"/>
          <w:shd w:fill="FFFFFF" w:val="clear"/>
        </w:rPr>
        <w:t xml:space="preserve"> </w:t>
      </w:r>
      <w:r>
        <w:rPr>
          <w:rFonts w:ascii="Times New Roman;serif" w:hAnsi="Times New Roman;serif"/>
          <w:b w:val="false"/>
          <w:color w:val="000000"/>
          <w:sz w:val="20"/>
          <w:shd w:fill="FFFFFF" w:val="clear"/>
        </w:rPr>
        <w:t>from the reporting date is recorded as non-current deferred revenue and is included in Other long-term liabilities in the Company’s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deferred revenue of $0.1 million included within Accrued expenses and other current liabilities in the Company’s Consolidated Balance Sheets. As of December 31, 2025, amounts included within Other long-term liabilities in the Company’s Consolidated Balance Sheets were immaterial. The Company expects to recognize approximately 80% of its remaining performance obligations as revenue during the year ending December 31, 2026.</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Shipping and Handling Costs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Shipping and handling costs associated with outbound freight after control of a product has transferred to a customer are accounted for as fulfillment costs and are included in Cost of revenue in the Consolidated Statements of Operations and Comprehensive Loss. Shipping and handling costs billed to customers are considered part of the transaction price and are recognized as revenue with the underlying product sales.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Research and development expenses primarily consist of personnel costs and benefits, stock-based compensation, lab supplies, consulting and professional services, fabrication services, facilities costs, software, and other outsourced expenses. Research and development expenses are expensed as incurred and are primarily related to the development of new products and services.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 Advertising costs are expensed as incurred. Advertising expenses were immaterial for the years ended </w:t>
      </w:r>
      <w:r>
        <w:rPr>
          <w:rFonts w:ascii="Times New Roman;serif" w:hAnsi="Times New Roman;serif"/>
          <w:b w:val="false"/>
          <w:color w:val="000000"/>
          <w:sz w:val="20"/>
        </w:rPr>
        <w:t>December 31, 2025, 2024 and 2023.</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Loss per Share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Basic net loss per share is computed by dividing the net loss attributable to common stockholders by the weighted-average number of shares of Class A and Class B common stock of the Company outstanding during the period, without consideration of potentially dilutive securities.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Diluted net loss per share is computed by dividing the net loss attributable to common stockholders by the weighted average number of Class A and Class B common shares plus the common equivalent shares of the period, including any dilutive effect from such shares. The Company’s diluted net loss per share is the same as basic net loss per share for all periods presented, since the effect of potentially dilutive securities is anti-dilutive. For further discussion, please refer to </w:t>
      </w:r>
      <w:hyperlink w:anchor="i8936ec582bfd40c6a2cec4d0326925ac_145">
        <w:r>
          <w:rPr>
            <w:rStyle w:val="InternetLink"/>
          </w:rPr>
          <w:t>Note 1</w:t>
        </w:r>
      </w:hyperlink>
      <w:hyperlink w:anchor="i8936ec582bfd40c6a2cec4d0326925ac_145">
        <w:r>
          <w:rPr>
            <w:rStyle w:val="InternetLink"/>
          </w:rPr>
          <w:t>2</w:t>
        </w:r>
      </w:hyperlink>
      <w:hyperlink w:anchor="i8936ec582bfd40c6a2cec4d0326925ac_145">
        <w:r>
          <w:rPr>
            <w:rStyle w:val="InternetLink"/>
          </w:rPr>
          <w:t>. Net Loss Per Share</w:t>
        </w:r>
      </w:hyperlink>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Stock-based compensation expense for restricted stock and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69240"/>
                <wp:effectExtent l="0" t="0" r="0" b="0"/>
                <wp:wrapNone/>
                <wp:docPr id="101" name="Frame9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financing event performance conditions on an accelerated basis is recognized as though each vesting portion of the award was, in substance, a separate award.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fair value of restricted stock is estimated using the current market price of the Company’s common stock on the date of grant.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measures compensation expense for stock-based awards to employees, non-employees and directors based upon the awards’ initial grant-date fair values. Stock-based compensation expense for stock options, restricted stock units and performance awards is recorded over the requisite service period. For awards with only a service condition, the Company expenses stock-based compensation using the straight-line method over the requisite service period for the entire award. For awards with a market condition, the Company expenses the grant date fair value at the target over the vesting period regardless of the value the award recipients ultimately receive. The fair value of restricted stock without a market condition is estimated using the current market price of the Company’s common stock on the date of grant. The fair value of stock option grants with a market condition is estimated at the date of grant using the Monte Carlo simulation model (“Monte Carlo”). The fair values of stock option grants with only a service condition are estimated as of the date of grant by applying the Black-Scholes option valuation model (“Black-Scholes model”). The Black-Scholes model and Monte Carlo models incorporate assumptions as to stock price volatility, the expected life of options or restricted stock, a risk-free interest rate and dividend yield. The effect of forfeiture in compensation costs is recognized based on actual forfeitures when they occur.</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Black-Scholes model is affected by the stock price on the date of the grant as well as assumptions regarding a number of variables. These variables include the expected term of the option, expected risk-free interest rate, the expected volatility of common stock, and expected dividend yield; each of which is described below. The assumptions for expected term of the option and expected volatility of common stock are the two assumptions that significantly affect the grant date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Expected Term</w:t>
      </w:r>
      <w:r>
        <w:rPr>
          <w:rFonts w:ascii="Times New Roman;serif" w:hAnsi="Times New Roman;serif"/>
          <w:b w:val="false"/>
          <w:color w:val="000000"/>
          <w:sz w:val="20"/>
          <w:shd w:fill="FFFFFF" w:val="clear"/>
        </w:rPr>
        <w:t>: The expected term is calculated using the weighted-average period that the stock options are expected to be outstanding prior to being exercised. The Company determines expected term based on historical exercise patterns and its expectation of the time it will take for employees to exercise options still outstanding. The Company estimates non-employees’ options based on the contractual term.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Risk-free Interest Rate</w:t>
      </w:r>
      <w:r>
        <w:rPr>
          <w:rFonts w:ascii="Times New Roman;serif" w:hAnsi="Times New Roman;serif"/>
          <w:b w:val="false"/>
          <w:color w:val="000000"/>
          <w:sz w:val="20"/>
          <w:shd w:fill="FFFFFF" w:val="clear"/>
        </w:rPr>
        <w:t>: The risk-free interest rate for periods within the expected term of the awards is based on the U.S. Treasury yield curve in effect at the time of the grant.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Expected Stock Price Volatility</w:t>
      </w:r>
      <w:r>
        <w:rPr>
          <w:rFonts w:ascii="Times New Roman;serif" w:hAnsi="Times New Roman;serif"/>
          <w:b w:val="false"/>
          <w:color w:val="000000"/>
          <w:sz w:val="20"/>
          <w:shd w:fill="FFFFFF" w:val="clear"/>
        </w:rPr>
        <w:t>: The Company determined expected annual equity volatility based on the combination of the historical volatility of its common stock and the historical volatility of the common stock comparable to the Company’s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Dividend Yield</w:t>
      </w:r>
      <w:r>
        <w:rPr>
          <w:rFonts w:ascii="Times New Roman;serif" w:hAnsi="Times New Roman;serif"/>
          <w:b w:val="false"/>
          <w:color w:val="000000"/>
          <w:sz w:val="20"/>
          <w:shd w:fill="FFFFFF" w:val="clear"/>
        </w:rPr>
        <w:t xml:space="preserve">: Because the Company has never paid a dividend and does not expect to begin doing so in the foreseeable future, the Company assumes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dividend yield in valuing the stock-based awards.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Exercise Price</w:t>
      </w:r>
      <w:r>
        <w:rPr>
          <w:rFonts w:ascii="Times New Roman;serif" w:hAnsi="Times New Roman;serif"/>
          <w:b w:val="false"/>
          <w:color w:val="000000"/>
          <w:sz w:val="20"/>
          <w:shd w:fill="FFFFFF" w:val="clear"/>
        </w:rPr>
        <w:t>: The exercise price is taken directly from the grant notice issued to employees and non-employees.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jc w:val="both"/>
        <w:rPr/>
      </w:pPr>
      <w:r>
        <w:rPr>
          <w:rFonts w:ascii="Times New Roman;serif" w:hAnsi="Times New Roman;serif"/>
          <w:b w:val="false"/>
          <w:color w:val="000000"/>
          <w:sz w:val="20"/>
        </w:rPr>
        <w:t>The Company u</w:t>
      </w:r>
      <w:r>
        <w:rPr>
          <w:rFonts w:ascii="Times New Roman;serif" w:hAnsi="Times New Roman;serif"/>
          <w:b w:val="false"/>
          <w:color w:val="000000"/>
          <w:sz w:val="20"/>
          <w:shd w:fill="FFFFFF" w:val="clear"/>
        </w:rPr>
        <w:t>tilizes the asset and liability method of accounting for income taxes. Under this method,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some or all of the net deferred tax assets will not be realized.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accounts for uncertainty in income taxes recognized in the financial statements by applying a two-step process to determine the amount of tax benefit to be recognized. First, the tax position must be evaluated to determine the likelihood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applicable. As of both </w:t>
      </w:r>
      <w:r>
        <w:rPr>
          <w:rFonts w:ascii="Times New Roman;serif" w:hAnsi="Times New Roman;serif"/>
          <w:b w:val="false"/>
          <w:color w:val="000000"/>
          <w:sz w:val="20"/>
        </w:rPr>
        <w:t>December 31, 2025 and 2024,</w:t>
      </w:r>
      <w:r>
        <w:rPr>
          <w:color w:val="000000"/>
          <w:shd w:fill="FFFFFF" w:val="clear"/>
        </w:rPr>
        <w:t xml:space="preserve"> </w:t>
      </w:r>
      <w:r>
        <w:rPr>
          <w:rFonts w:ascii="Times New Roman;serif" w:hAnsi="Times New Roman;serif"/>
          <w:b w:val="false"/>
          <w:color w:val="000000"/>
          <w:sz w:val="20"/>
          <w:shd w:fill="FFFFFF" w:val="clear"/>
        </w:rPr>
        <w:t xml:space="preserve">no accrued interest and penalties associated with any uncertain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69240"/>
                <wp:effectExtent l="0" t="0" r="0" b="0"/>
                <wp:wrapNone/>
                <wp:docPr id="102" name="Frame9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positions were recorded on the Consolidated Balance Sheets.</w:t>
      </w:r>
      <w:r>
        <w:rPr>
          <w:color w:val="000000"/>
        </w:rPr>
        <w:t xml:space="preserve"> </w:t>
      </w:r>
      <w:r>
        <w:rPr>
          <w:rFonts w:ascii="Times New Roman;serif" w:hAnsi="Times New Roman;serif"/>
          <w:b w:val="false"/>
          <w:color w:val="000000"/>
          <w:sz w:val="20"/>
        </w:rPr>
        <w:t xml:space="preserve">The Company recognized an </w:t>
      </w:r>
      <w:r>
        <w:rPr>
          <w:rFonts w:ascii="Times New Roman;serif" w:hAnsi="Times New Roman;serif"/>
          <w:b w:val="false"/>
          <w:color w:val="000000"/>
          <w:sz w:val="20"/>
          <w:shd w:fill="FFFFFF" w:val="clear"/>
        </w:rPr>
        <w:t>immaterial</w:t>
      </w:r>
      <w:r>
        <w:rPr>
          <w:color w:val="000000"/>
        </w:rPr>
        <w:t xml:space="preserve"> </w:t>
      </w:r>
      <w:r>
        <w:rPr>
          <w:rFonts w:ascii="Times New Roman;serif" w:hAnsi="Times New Roman;serif"/>
          <w:b w:val="false"/>
          <w:color w:val="000000"/>
          <w:sz w:val="20"/>
        </w:rPr>
        <w:t xml:space="preserve">amount of interest and penalties in the Statements of Operations and Comprehensive Income for the year ended December 31, 2024. There were </w:t>
      </w:r>
      <w:r>
        <w:rPr>
          <w:rFonts w:ascii="Times New Roman;serif" w:hAnsi="Times New Roman;serif"/>
          <w:b w:val="false"/>
          <w:color w:val="000000"/>
          <w:sz w:val="20"/>
          <w:shd w:fill="FFFFFF" w:val="clear"/>
        </w:rPr>
        <w:t xml:space="preserve">no interest and penalties recognized in the Statements of Operations and Comprehensive Income for the years ended </w:t>
      </w:r>
      <w:r>
        <w:rPr>
          <w:rFonts w:ascii="Times New Roman;serif" w:hAnsi="Times New Roman;serif"/>
          <w:b w:val="false"/>
          <w:color w:val="000000"/>
          <w:sz w:val="20"/>
        </w:rPr>
        <w:t>December 31, 2025 and December 31, 2023.</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the FASB issued ASU 2025-05, Financial Instruments - Credit Losses (Topic 326): Measurement of Credit Losses for Accounts Receivable and Contract Assets. This standard provides entities with a practical expedient when calculating current expected credit loss by assuming the current conditions as of the balance sheet date will not change for the remaining life of the asset. The ASU is effective for fiscal years beginning after December 15, 2025 and interim periods within those annual periods, with early adoption permitted. The ASU is to be applied on a prospective basis. The Company adopted ASU 2025-05 effective January 1, 2026. The adoption of ASU 2025-05 did not have a material impact to the Consolidated Financial Statements and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Disaggregation of Income Statement Expenses (“DISE”), which requires additional disclosure of the nature of expenses included in the income statement. The ASU requires disclosures about specific types of expenses included in the expense captions presented on the face of the income statement as well as disclosures about selling expenses. The amendments in this update are effective for annual reporting periods beginning after December 15, 2026 and interim reporting periods beginning after December 15, 2027, with early adoption permitted. The ASU is required to be applied prospectively with the option for retrospective application. The Company is currently evaluating the impact ASU 2024-03 may have on its Consolidated Financial Statements and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March 2024, the FASB issued ASU No. 2024-02, Codification Improvements - Amendments to Remove References to the Concepts Statements, which contains amendments to the Codification that remove references to various Concepts Statements. The amendments in ASU 2024-02 are not intended to result in significant accounting changes for most entities. The Company adopted ASU 2024-02 effective January 1, 2025. The adoption of ASU 2024-02 did not have a material impact to the Consolidated Financial Statements and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December 2023, the FASB issued ASU No. 2023-09, Income Taxes (Topic 740): Improvements to Income Tax Disclosures, which expands income tax disclosure requirements to include additional information related to the rate reconciliation of effective tax rates to statutory rates, as well as additional disaggregation of taxes paid in both U.S. and foreign jurisdictions. The amendments in ASU 2023-09 also remove disclosures related to certain unrecognized tax benefits and deferred taxes. The Company adopted ASU 2023-09 prospectively during the year ended December 31, 2025. The impact of ASU 2023-09 was not material to the Company’s Consolidated Financial Statements. For further details regarding the Company’s income taxes, please refer to </w:t>
      </w:r>
      <w:hyperlink w:anchor="i8936ec582bfd40c6a2cec4d0326925ac_151">
        <w:r>
          <w:rPr>
            <w:rStyle w:val="InternetLink"/>
          </w:rPr>
          <w:t>Note 1</w:t>
        </w:r>
      </w:hyperlink>
      <w:hyperlink w:anchor="i8936ec582bfd40c6a2cec4d0326925ac_151">
        <w:r>
          <w:rPr>
            <w:rStyle w:val="InternetLink"/>
          </w:rPr>
          <w:t>4</w:t>
        </w:r>
      </w:hyperlink>
      <w:hyperlink w:anchor="i8936ec582bfd40c6a2cec4d0326925ac_151">
        <w:r>
          <w:rPr>
            <w:rStyle w:val="InternetLink"/>
          </w:rPr>
          <w:t xml:space="preserve">. </w:t>
        </w:r>
      </w:hyperlink>
      <w:hyperlink w:anchor="i8936ec582bfd40c6a2cec4d0326925ac_151">
        <w:r>
          <w:rPr>
            <w:rStyle w:val="InternetLink"/>
          </w:rPr>
          <w:t>Income Taxes</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Investments in Marketable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the Company’s marketable securities were classified as available-for-sale securities, carried at fair value, with the unrealized holding gains/(losses), net of income taxes, reflected in accumulated other comprehensive income/(loss) until realized.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 xml:space="preserve">, the Company’s investments in marketable securities were classified as trading securities and consisted of ownership interests in fixed income mutual funds. In the </w:t>
      </w:r>
      <w:r>
        <w:rPr>
          <w:rFonts w:ascii="Times New Roman;serif" w:hAnsi="Times New Roman;serif"/>
          <w:b w:val="false"/>
          <w:color w:val="000000"/>
          <w:sz w:val="20"/>
        </w:rPr>
        <w:t>fourth</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 xml:space="preserve">, these trading securities were sold and the Company reinvested the funds received from the sale in marketable securities deemed to be available-for-sale securities. </w:t>
      </w:r>
      <w:r>
        <w:rPr>
          <w:rFonts w:ascii="Times New Roman;serif" w:hAnsi="Times New Roman;serif"/>
          <w:b w:val="false"/>
          <w:color w:val="000000"/>
          <w:sz w:val="20"/>
        </w:rPr>
        <w:t>Unrealized gain (loss) on trading securities and realized loss on trading securities related to the Company’s trading securities for the years ended December 31, 2025, 2024 and 2023 were as follows (in thousands):</w:t>
      </w:r>
    </w:p>
    <w:tbl>
      <w:tblPr>
        <w:tblW w:w="6296" w:type="dxa"/>
        <w:jc w:val="left"/>
        <w:tblInd w:w="0" w:type="dxa"/>
        <w:tblLayout w:type="fixed"/>
        <w:tblCellMar>
          <w:top w:w="28" w:type="dxa"/>
          <w:left w:w="28" w:type="dxa"/>
          <w:bottom w:w="28" w:type="dxa"/>
          <w:right w:w="28" w:type="dxa"/>
        </w:tblCellMar>
      </w:tblPr>
      <w:tblGrid>
        <w:gridCol w:w="1123"/>
        <w:gridCol w:w="987"/>
        <w:gridCol w:w="994"/>
        <w:gridCol w:w="211"/>
        <w:gridCol w:w="406"/>
        <w:gridCol w:w="109"/>
        <w:gridCol w:w="109"/>
        <w:gridCol w:w="109"/>
        <w:gridCol w:w="109"/>
        <w:gridCol w:w="211"/>
        <w:gridCol w:w="406"/>
        <w:gridCol w:w="109"/>
        <w:gridCol w:w="109"/>
        <w:gridCol w:w="109"/>
        <w:gridCol w:w="109"/>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trading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trading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69240"/>
                <wp:effectExtent l="0" t="0" r="0" b="0"/>
                <wp:wrapNone/>
                <wp:docPr id="103" name="Frame9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is a summary of the Company’s available-for-sale securities recorded within Marketable securities on the Consolidated Balance Sheets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2024 </w:t>
      </w:r>
      <w:r>
        <w:rPr>
          <w:rFonts w:ascii="Times New Roman;serif" w:hAnsi="Times New Roman;serif"/>
          <w:b w:val="false"/>
          <w:color w:val="000000"/>
          <w:sz w:val="20"/>
          <w:shd w:fill="FFFFFF" w:val="clear"/>
        </w:rPr>
        <w:t>(in thousands):</w:t>
      </w:r>
    </w:p>
    <w:tbl>
      <w:tblPr>
        <w:tblW w:w="8158" w:type="dxa"/>
        <w:jc w:val="left"/>
        <w:tblInd w:w="0" w:type="dxa"/>
        <w:tblLayout w:type="fixed"/>
        <w:tblCellMar>
          <w:top w:w="28" w:type="dxa"/>
          <w:left w:w="28" w:type="dxa"/>
          <w:bottom w:w="28" w:type="dxa"/>
          <w:right w:w="28" w:type="dxa"/>
        </w:tblCellMar>
      </w:tblPr>
      <w:tblGrid>
        <w:gridCol w:w="1281"/>
        <w:gridCol w:w="1126"/>
        <w:gridCol w:w="1133"/>
        <w:gridCol w:w="211"/>
        <w:gridCol w:w="826"/>
        <w:gridCol w:w="109"/>
        <w:gridCol w:w="109"/>
        <w:gridCol w:w="109"/>
        <w:gridCol w:w="109"/>
        <w:gridCol w:w="109"/>
        <w:gridCol w:w="109"/>
        <w:gridCol w:w="435"/>
        <w:gridCol w:w="747"/>
        <w:gridCol w:w="227"/>
        <w:gridCol w:w="109"/>
        <w:gridCol w:w="109"/>
        <w:gridCol w:w="109"/>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18" w:type="dxa"/>
            <w:gridSpan w:val="6"/>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w:t>
              <w:br/>
              <w:t xml:space="preserve">Unrealized Net </w:t>
              <w:br/>
              <w:t>Gains/(Losses)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short-term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long-term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34" w:type="dxa"/>
        <w:jc w:val="left"/>
        <w:tblInd w:w="0" w:type="dxa"/>
        <w:tblLayout w:type="fixed"/>
        <w:tblCellMar>
          <w:top w:w="28" w:type="dxa"/>
          <w:left w:w="28" w:type="dxa"/>
          <w:bottom w:w="28" w:type="dxa"/>
          <w:right w:w="28" w:type="dxa"/>
        </w:tblCellMar>
      </w:tblPr>
      <w:tblGrid>
        <w:gridCol w:w="1009"/>
        <w:gridCol w:w="887"/>
        <w:gridCol w:w="893"/>
        <w:gridCol w:w="211"/>
        <w:gridCol w:w="826"/>
        <w:gridCol w:w="109"/>
        <w:gridCol w:w="109"/>
        <w:gridCol w:w="109"/>
        <w:gridCol w:w="109"/>
        <w:gridCol w:w="109"/>
        <w:gridCol w:w="109"/>
        <w:gridCol w:w="320"/>
        <w:gridCol w:w="549"/>
        <w:gridCol w:w="167"/>
        <w:gridCol w:w="109"/>
        <w:gridCol w:w="109"/>
        <w:gridCol w:w="109"/>
        <w:gridCol w:w="211"/>
        <w:gridCol w:w="82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518"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Net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available-for-sale securities included within Marketable securities on the Consolidated Balance Sheets as of December 31, 2025 and 2024, by remaining contractual maturity, are as follows (in thousands):</w:t>
      </w:r>
    </w:p>
    <w:tbl>
      <w:tblPr>
        <w:tblW w:w="7790" w:type="dxa"/>
        <w:jc w:val="left"/>
        <w:tblInd w:w="0" w:type="dxa"/>
        <w:tblLayout w:type="fixed"/>
        <w:tblCellMar>
          <w:top w:w="28" w:type="dxa"/>
          <w:left w:w="28" w:type="dxa"/>
          <w:bottom w:w="28" w:type="dxa"/>
          <w:right w:w="28" w:type="dxa"/>
        </w:tblCellMar>
      </w:tblPr>
      <w:tblGrid>
        <w:gridCol w:w="1281"/>
        <w:gridCol w:w="1126"/>
        <w:gridCol w:w="1133"/>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Over</w:t>
              <w:br/>
              <w:t>One Year</w:t>
              <w:br/>
              <w:t>Through</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short-term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long-term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69240"/>
                <wp:effectExtent l="0" t="0" r="0" b="0"/>
                <wp:wrapNone/>
                <wp:docPr id="104" name="Frame9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40" w:after="283"/>
        <w:jc w:val="left"/>
        <w:rPr/>
      </w:pPr>
      <w:r>
        <w:rPr/>
      </w:r>
    </w:p>
    <w:tbl>
      <w:tblPr>
        <w:tblW w:w="6028" w:type="dxa"/>
        <w:jc w:val="left"/>
        <w:tblInd w:w="0" w:type="dxa"/>
        <w:tblLayout w:type="fixed"/>
        <w:tblCellMar>
          <w:top w:w="28" w:type="dxa"/>
          <w:left w:w="28" w:type="dxa"/>
          <w:bottom w:w="28" w:type="dxa"/>
          <w:right w:w="28" w:type="dxa"/>
        </w:tblCellMar>
      </w:tblPr>
      <w:tblGrid>
        <w:gridCol w:w="1009"/>
        <w:gridCol w:w="887"/>
        <w:gridCol w:w="893"/>
        <w:gridCol w:w="230"/>
        <w:gridCol w:w="901"/>
        <w:gridCol w:w="118"/>
        <w:gridCol w:w="118"/>
        <w:gridCol w:w="118"/>
        <w:gridCol w:w="118"/>
        <w:gridCol w:w="118"/>
        <w:gridCol w:w="109"/>
        <w:gridCol w:w="109"/>
        <w:gridCol w:w="109"/>
        <w:gridCol w:w="211"/>
        <w:gridCol w:w="82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518"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U.S. Treasury securities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Commercial paper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Fair Value of Financial Instruments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Level 1</w:t>
      </w:r>
      <w:r>
        <w:rPr>
          <w:rFonts w:ascii="Times New Roman;serif" w:hAnsi="Times New Roman;serif"/>
          <w:b w:val="false"/>
          <w:color w:val="000000"/>
          <w:sz w:val="20"/>
          <w:shd w:fill="FFFFFF" w:val="clear"/>
        </w:rPr>
        <w:t>: Valuations based on quoted prices in active markets for identical assets or liabilities that an entity has the ability to access.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Level 2</w:t>
      </w:r>
      <w:r>
        <w:rPr>
          <w:rFonts w:ascii="Times New Roman;serif" w:hAnsi="Times New Roman;serif"/>
          <w:b w:val="false"/>
          <w:color w:val="000000"/>
          <w:sz w:val="20"/>
          <w:shd w:fill="FFFFFF" w:val="clear"/>
        </w:rPr>
        <w:t>: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Level 3</w:t>
      </w:r>
      <w:r>
        <w:rPr>
          <w:rFonts w:ascii="Times New Roman;serif" w:hAnsi="Times New Roman;serif"/>
          <w:b w:val="false"/>
          <w:color w:val="000000"/>
          <w:sz w:val="20"/>
          <w:shd w:fill="FFFFFF" w:val="clear"/>
        </w:rPr>
        <w:t>: Valuations based on inputs that are supported by little or no market activity and that are significant to the fair value of the assets or liabilities.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carrying value of cash and cash equivalents, accounts payable and accrued expenses and other current liabilities approximates their fair values due to the short-term or on demand nature of these instruments. As of </w:t>
      </w:r>
      <w:r>
        <w:rPr>
          <w:rFonts w:ascii="Times New Roman;serif" w:hAnsi="Times New Roman;serif"/>
          <w:b w:val="false"/>
          <w:color w:val="000000"/>
          <w:sz w:val="20"/>
        </w:rPr>
        <w:t>December 31, 2025 and 2024,</w:t>
      </w:r>
      <w:r>
        <w:rPr>
          <w:color w:val="000000"/>
          <w:shd w:fill="FFFFFF" w:val="clear"/>
        </w:rPr>
        <w:t xml:space="preserve"> </w:t>
      </w:r>
      <w:r>
        <w:rPr>
          <w:rFonts w:ascii="Times New Roman;serif" w:hAnsi="Times New Roman;serif"/>
          <w:b w:val="false"/>
          <w:color w:val="000000"/>
          <w:sz w:val="20"/>
          <w:shd w:fill="FFFFFF" w:val="clear"/>
        </w:rPr>
        <w:t>the Company’s investment portfolio included available-for-sale securities which were comprised of money market funds, U.S. Treasury bills, U.S. government agency bonds and/or commercial paper. The Company has certain U.S. Treasury bills, U.S. government agency bonds, and commercial papers classified as Level 2 due to the fair value for these instruments being determined by utilizing observable inputs in similar assets or identical assets in non-active markets.</w:t>
      </w:r>
    </w:p>
    <w:p>
      <w:pPr>
        <w:pStyle w:val="TextBody"/>
        <w:bidi w:val="0"/>
        <w:spacing w:lineRule="auto" w:line="276" w:before="240" w:after="283"/>
        <w:jc w:val="both"/>
        <w:rPr/>
      </w:pPr>
      <w:r>
        <w:rPr>
          <w:rFonts w:ascii="Times New Roman;serif" w:hAnsi="Times New Roman;serif"/>
          <w:b w:val="false"/>
          <w:color w:val="000000"/>
          <w:sz w:val="20"/>
          <w:shd w:fill="FFFFFF" w:val="clear"/>
        </w:rPr>
        <w:t xml:space="preserve">Warrants are recorded as Warrant liabilities, current, and Warrant liabilities, non-current, on the Consolidated Balance Sheets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respectively. The warrant liabilities are measured at fair value at inception and on a recurring basis, with changes in fair value presented as Change in fair value of warrant liabilities in the Consolidated Statements of Operations and Comprehensive Loss.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Public Warrants and Private Warrants were carried at fair value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significant assumptions used in preparing the binomial lattice model for valuing the Private Warrants liability include (i) volatility of 263.6%, (ii) risk-free interest rate of 3.60%, (iii) strike price of $11.50, (iv) fair value of common stock of $1.10, and (v) expected life of 0.4 years. As of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the significant assumptions used in preparing the binomial lattice model for valuing the Private Warrants liability include (i) volatility of 194.3%, (ii) risk-free interest rate of 4.20%, (iii) strike price of $11.50, (iv) fair value of common stock of $2.70, and (v) expected life of 1.4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69240"/>
                <wp:effectExtent l="0" t="0" r="0" b="0"/>
                <wp:wrapNone/>
                <wp:docPr id="105" name="Frame9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tables set forth the Company’s fair value hierarchy for assets and liabilities measured at fair value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9097" w:type="dxa"/>
        <w:jc w:val="left"/>
        <w:tblInd w:w="0" w:type="dxa"/>
        <w:tblLayout w:type="fixed"/>
        <w:tblCellMar>
          <w:top w:w="28" w:type="dxa"/>
          <w:left w:w="28" w:type="dxa"/>
          <w:bottom w:w="28" w:type="dxa"/>
          <w:right w:w="28" w:type="dxa"/>
        </w:tblCellMar>
      </w:tblPr>
      <w:tblGrid>
        <w:gridCol w:w="1451"/>
        <w:gridCol w:w="1274"/>
        <w:gridCol w:w="1279"/>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 on a recurring basis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 on a recurring basis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49" w:type="dxa"/>
        <w:jc w:val="left"/>
        <w:tblInd w:w="0" w:type="dxa"/>
        <w:tblLayout w:type="fixed"/>
        <w:tblCellMar>
          <w:top w:w="28" w:type="dxa"/>
          <w:left w:w="28" w:type="dxa"/>
          <w:bottom w:w="28" w:type="dxa"/>
          <w:right w:w="28" w:type="dxa"/>
        </w:tblCellMar>
      </w:tblPr>
      <w:tblGrid>
        <w:gridCol w:w="1450"/>
        <w:gridCol w:w="1275"/>
        <w:gridCol w:w="1279"/>
        <w:gridCol w:w="211"/>
        <w:gridCol w:w="721"/>
        <w:gridCol w:w="109"/>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 on a recurring basis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 on a recurring basis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transfers of financial assets or liabilities into or out of Level 3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Inventory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Inventory consists of the following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3743" w:type="dxa"/>
        <w:jc w:val="left"/>
        <w:tblInd w:w="0" w:type="dxa"/>
        <w:tblLayout w:type="fixed"/>
        <w:tblCellMar>
          <w:top w:w="28" w:type="dxa"/>
          <w:left w:w="28" w:type="dxa"/>
          <w:bottom w:w="28" w:type="dxa"/>
          <w:right w:w="28" w:type="dxa"/>
        </w:tblCellMar>
      </w:tblPr>
      <w:tblGrid>
        <w:gridCol w:w="543"/>
        <w:gridCol w:w="476"/>
        <w:gridCol w:w="480"/>
        <w:gridCol w:w="211"/>
        <w:gridCol w:w="616"/>
        <w:gridCol w:w="109"/>
        <w:gridCol w:w="109"/>
        <w:gridCol w:w="109"/>
        <w:gridCol w:w="109"/>
        <w:gridCol w:w="211"/>
        <w:gridCol w:w="61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69240"/>
                <wp:effectExtent l="0" t="0" r="0" b="0"/>
                <wp:wrapNone/>
                <wp:docPr id="106" name="Frame9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Charges recorded for inventory write-downs included in Research and development expenses in the Consolidated Statements of Operations and Comprehensive Loss were $1.6 million, $3.2 million and $3.4 million for the years ended December 31, 2025, 2024 and 2023,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Charges recorded for inventory write-downs included in Cost of revenue in the Consolidated Statements of Operations and Comprehensive Loss were $0.7 million and $0.2 million for the years ended December 31, 2025 and 2024, respectively. Charges recorded for inventory write-downs included in Cost of revenue in the Consolidated Statements of Operations and Comprehensive Loss were immaterial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Property and Equipment, Net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Property and equipment, net, consists of the following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6609" w:type="dxa"/>
        <w:jc w:val="left"/>
        <w:tblInd w:w="0" w:type="dxa"/>
        <w:tblLayout w:type="fixed"/>
        <w:tblCellMar>
          <w:top w:w="28" w:type="dxa"/>
          <w:left w:w="28" w:type="dxa"/>
          <w:bottom w:w="28" w:type="dxa"/>
          <w:right w:w="28" w:type="dxa"/>
        </w:tblCellMar>
      </w:tblPr>
      <w:tblGrid>
        <w:gridCol w:w="1506"/>
        <w:gridCol w:w="1322"/>
        <w:gridCol w:w="1327"/>
        <w:gridCol w:w="211"/>
        <w:gridCol w:w="721"/>
        <w:gridCol w:w="109"/>
        <w:gridCol w:w="109"/>
        <w:gridCol w:w="109"/>
        <w:gridCol w:w="109"/>
        <w:gridCol w:w="211"/>
        <w:gridCol w:w="721"/>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and production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is included within Cost of revenue, Research and development and Selling, general and administrative expenses in the Consolidated Statements of Operations and Comprehensive Loss. For the years ended December 31, 2025, 2024 and 2023, depreciation and amortization expense was $4.5 million, $4.6 million and $4.2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recorded immaterial losses on disposals relating to property and equipment of $0.1 million with accumulated depreciation and amortization of $0.1 million. For the year ended December 31, 2024, the Company recorded losses on disposals of $0.4 million relating to property and equipment of $3.2 million with accumulated depreciation and amortization of $2.8 million. For the year ended December 31, 2023, the Company recorded losses on disposals of $0.1 million relating to property and equipment of $0.3 million with accumulated depreciation and amortization of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Leases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Lease-related costs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2023 </w:t>
      </w:r>
      <w:r>
        <w:rPr>
          <w:rFonts w:ascii="Times New Roman;serif" w:hAnsi="Times New Roman;serif"/>
          <w:b w:val="false"/>
          <w:color w:val="000000"/>
          <w:sz w:val="20"/>
          <w:shd w:fill="FFFFFF" w:val="clear"/>
        </w:rPr>
        <w:t xml:space="preserve">are as follows (in thousands): </w:t>
      </w:r>
    </w:p>
    <w:tbl>
      <w:tblPr>
        <w:tblW w:w="5262"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69240"/>
                <wp:effectExtent l="0" t="0" r="0" b="0"/>
                <wp:wrapNone/>
                <wp:docPr id="107" name="Frame9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maturities of the operating lease liabilities and a reconciliation to the present value of lease liabilities were as follows (dollars in thousands):</w:t>
      </w:r>
    </w:p>
    <w:tbl>
      <w:tblPr>
        <w:tblW w:w="5684" w:type="dxa"/>
        <w:jc w:val="left"/>
        <w:tblInd w:w="0" w:type="dxa"/>
        <w:tblLayout w:type="fixed"/>
        <w:tblCellMar>
          <w:top w:w="28" w:type="dxa"/>
          <w:left w:w="28" w:type="dxa"/>
          <w:bottom w:w="28" w:type="dxa"/>
          <w:right w:w="28" w:type="dxa"/>
        </w:tblCellMar>
      </w:tblPr>
      <w:tblGrid>
        <w:gridCol w:w="1507"/>
        <w:gridCol w:w="1324"/>
        <w:gridCol w:w="1338"/>
        <w:gridCol w:w="279"/>
        <w:gridCol w:w="817"/>
        <w:gridCol w:w="419"/>
      </w:tblGrid>
      <w:tr>
        <w:trPr/>
        <w:tc>
          <w:tcPr>
            <w:tcW w:w="15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Remaining</w:t>
              <w:br/>
              <w:t>Lease Payments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undiscounted lease payments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operating lease liabilities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remaining lease term (in years) </w:t>
            </w:r>
          </w:p>
        </w:tc>
        <w:tc>
          <w:tcPr>
            <w:tcW w:w="151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discount rate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provides certain cash flow and supplemental cash flow information related to the Company’s right-of-use assets and lease liabilities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9488" w:type="dxa"/>
        <w:jc w:val="left"/>
        <w:tblInd w:w="0" w:type="dxa"/>
        <w:tblLayout w:type="fixed"/>
        <w:tblCellMar>
          <w:top w:w="28" w:type="dxa"/>
          <w:left w:w="28" w:type="dxa"/>
          <w:bottom w:w="28" w:type="dxa"/>
          <w:right w:w="28" w:type="dxa"/>
        </w:tblCellMar>
      </w:tblPr>
      <w:tblGrid>
        <w:gridCol w:w="2623"/>
        <w:gridCol w:w="2303"/>
        <w:gridCol w:w="2318"/>
        <w:gridCol w:w="211"/>
        <w:gridCol w:w="616"/>
        <w:gridCol w:w="109"/>
        <w:gridCol w:w="109"/>
        <w:gridCol w:w="109"/>
        <w:gridCol w:w="109"/>
        <w:gridCol w:w="211"/>
        <w:gridCol w:w="616"/>
        <w:gridCol w:w="154"/>
      </w:tblGrid>
      <w:tr>
        <w:trPr/>
        <w:tc>
          <w:tcPr>
            <w:tcW w:w="262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paid to settle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Right-of-use assets obtained in exchange for lease liabilities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right-of-use asset and lease liability due to operating lease termination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year ended December 31, 2024 includes an increase in right-of-use assets due to the change in estimated timing of receipt of reimbursements for tenant improvements related to the New Haven, Connecticut lease.</w:t>
      </w:r>
    </w:p>
    <w:p>
      <w:pPr>
        <w:pStyle w:val="TextBody"/>
        <w:bidi w:val="0"/>
        <w:spacing w:lineRule="auto" w:line="288" w:before="240" w:after="283"/>
        <w:jc w:val="both"/>
        <w:rPr/>
      </w:pPr>
      <w:r>
        <w:rPr>
          <w:rFonts w:ascii="Times New Roman;serif" w:hAnsi="Times New Roman;serif"/>
          <w:b w:val="false"/>
          <w:color w:val="000000"/>
          <w:sz w:val="20"/>
        </w:rPr>
        <w:t xml:space="preserve">During the year ended December 31, 2025, the Company entered into the Mutual Release Agreement to terminate the lease of </w:t>
      </w:r>
      <w:r>
        <w:rPr>
          <w:rFonts w:ascii="Times New Roman;serif" w:hAnsi="Times New Roman;serif"/>
          <w:b w:val="false"/>
          <w:color w:val="000000"/>
          <w:sz w:val="20"/>
          <w:shd w:fill="FFFFFF" w:val="clear"/>
        </w:rPr>
        <w:t>67,000</w:t>
      </w:r>
      <w:r>
        <w:rPr>
          <w:color w:val="000000"/>
        </w:rPr>
        <w:t xml:space="preserve"> </w:t>
      </w:r>
      <w:r>
        <w:rPr>
          <w:rFonts w:ascii="Times New Roman;serif" w:hAnsi="Times New Roman;serif"/>
          <w:b w:val="false"/>
          <w:color w:val="000000"/>
          <w:sz w:val="20"/>
        </w:rPr>
        <w:t xml:space="preserve">square feet of space in New Haven, Connecticut, resulting in the derecognition of the right-of-use asset in the amount of $7.3 million and the related lease liability in the amount of $5.6 million which were included in Operating lease right-of-use assets and Operating lease liabilities, respectively, on the Consolidated Balance Sheets. For further details regarding this lease termination, please refer to </w:t>
      </w:r>
      <w:hyperlink w:anchor="i8936ec582bfd40c6a2cec4d0326925ac_166">
        <w:r>
          <w:rPr>
            <w:rStyle w:val="InternetLink"/>
            <w:rFonts w:ascii="Times New Roman;serif" w:hAnsi="Times New Roman;serif"/>
            <w:b w:val="false"/>
            <w:color w:val="0000FF"/>
            <w:sz w:val="20"/>
            <w:u w:val="single"/>
          </w:rPr>
          <w:t>Note 17. Commitments and Contingencies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Accrued Expenses and Other Current Liabilities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Accrued expenses and other current liabilities consist of the following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6503" w:type="dxa"/>
        <w:jc w:val="left"/>
        <w:tblInd w:w="0" w:type="dxa"/>
        <w:tblLayout w:type="fixed"/>
        <w:tblCellMar>
          <w:top w:w="28" w:type="dxa"/>
          <w:left w:w="28" w:type="dxa"/>
          <w:bottom w:w="28" w:type="dxa"/>
          <w:right w:w="28" w:type="dxa"/>
        </w:tblCellMar>
      </w:tblPr>
      <w:tblGrid>
        <w:gridCol w:w="1542"/>
        <w:gridCol w:w="1352"/>
        <w:gridCol w:w="1365"/>
        <w:gridCol w:w="211"/>
        <w:gridCol w:w="616"/>
        <w:gridCol w:w="109"/>
        <w:gridCol w:w="109"/>
        <w:gridCol w:w="109"/>
        <w:gridCol w:w="109"/>
        <w:gridCol w:w="211"/>
        <w:gridCol w:w="61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69240"/>
                <wp:effectExtent l="0" t="0" r="0" b="0"/>
                <wp:wrapNone/>
                <wp:docPr id="108" name="Frame9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99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Equity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authorized 600,000,000 shares of Class A common stock at $0.0001 par value per share, of which a total of 196,431,273 and 146,953,271 shares were outstanding,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Holders of Class A common stock will be entitled to cast one vote per Class A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will not be entitled to cumulate their votes in the election of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Class B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authorized 27,000,000 shares of Class B common stock at $0.0001 par value per share, of which a total of 19,937,500 shares were outstanding for both years.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Holders of Class B common stock will be entitled to cast 20 votes per share of Class B common stock.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B common stock will not be entitled to cumulate their votes in the election of directors.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Dividend Rights of Class A and Class B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authorized 1,000,000 shares of preferred stock at $0.0001 par value per share. There were no preferred shares outstanding for both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Preferred stock may be issued from time to time in one or more series. Any shares of preferred stock which may be redeemed, purchased or acquired by the Company may be reissued except as otherwise provided by law.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Equity Offering Programs</w:t>
      </w:r>
    </w:p>
    <w:p>
      <w:pPr>
        <w:pStyle w:val="TextBody"/>
        <w:bidi w:val="0"/>
        <w:spacing w:lineRule="auto" w:line="288" w:before="240" w:after="283"/>
        <w:jc w:val="both"/>
        <w:rPr/>
      </w:pPr>
      <w:r>
        <w:rPr>
          <w:rFonts w:ascii="Times New Roman;serif" w:hAnsi="Times New Roman;serif"/>
          <w:b w:val="false"/>
          <w:color w:val="000000"/>
          <w:sz w:val="20"/>
        </w:rPr>
        <w:t xml:space="preserve">The Company filed a universal shelf registration statement on Form S-3 and a subsequent amendment to the Form S-3 (the “2025 Shelf Registration Statement”), on September 26, 2025 and October 9, 2025, respectively, covering the offering of Class A common stock, preferred stock, debt securities, warrants, rights and units. The 2025 Shelf Registration Statement replaced an equivalent shelf registration statement on Form S-3 originally declared effective on August 22, 2023 (the </w:t>
      </w:r>
      <w:r>
        <w:rPr>
          <w:color w:val="000000"/>
          <w:shd w:fill="FFFFFF" w:val="clear"/>
        </w:rPr>
        <w:t>“</w:t>
      </w:r>
      <w:r>
        <w:rPr>
          <w:rFonts w:ascii="Times New Roman;serif" w:hAnsi="Times New Roman;serif"/>
          <w:b w:val="false"/>
          <w:color w:val="000000"/>
          <w:sz w:val="20"/>
        </w:rPr>
        <w:t>2023 Shelf Registration Statement</w:t>
      </w:r>
      <w:r>
        <w:rPr>
          <w:color w:val="000000"/>
          <w:shd w:fill="FFFFFF" w:val="clear"/>
        </w:rPr>
        <w:t>”</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2025, the Company entered into a Sales Agreement (the “Leerink Sales Agreement”) with Leerink Partners LLC (“Leerink”), pursuant to which the Company may offer and sell shares of its Class A common stock, having an aggregate offering price of up to $100.0 million, from time to time through an “at-the-market” offering program under which Leerink will act as sales agent (the “2025 ATM Offering”). The Company has no obligation to sell any shares under the Leerink Sales Agreement and may at any time suspend solicitation and offers under the Leerink Sales Agreement.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69240"/>
                <wp:effectExtent l="0" t="0" r="0" b="0"/>
                <wp:wrapNone/>
                <wp:docPr id="109" name="Frame10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2025 ATM Offering is being made pursuant to the 2025 Shelf Registration Statement and a sales agreement prospectus related to the 2025 ATM Offering. During the year ended December 31, 2025, there were no shares sold under the Sales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11, 2024, the Company entered into an Equity Distribution Agreement (the “Canaccord Sales Agreement”) with Canaccord Genuity LLC (“Canaccord”) to sell shares of its Class A common stock having an aggregate offering price of up to $75.0 million, from time to time through an “at-the-market” offering program under which Canaccord acted as sales agent (the “2024 ATM Offering”). The Company had no obligation to sell any shares under the Canaccord Sales Agreement and could at any time suspend solicitation and offers under the Canaccord Sales Agreement. The 2024 ATM Offering was made pursuant to the 2023 Shelf Registration Statement and a prospectus supplement related to the 2024 ATM Offering dated December 11, 2024. During the year ended December 31, 2024, we sold and issued 23,425,650 shares of our Class A common stock under the 2024 ATM Offering, resulting in gross proceeds of $36.2 million. Net proceeds were $34.8 million after commissions and issuance costs of $1.4 million. The Company sold no shares of our Class A common stock under the 2024 ATM Offering during the years ended December 31, 2025 and December 31, 2023. In connection with the July 2025 Registered Direct Offering, as described below, the Company provided written notice, effective as of July 3, 2025, to Canaccord of its election to terminate the Canaccord Sales Agreement for its at-the-market offering.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Registered Direct Offerings and Pre-funded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3, 2025, the Company entered into a securities purchase agreement with a certain institutional investor pursuant to which the Company agreed to issue and sell, in a registered direct offering (the “July 2025 Registered Direct Offering”), an aggregate of (i) 18,200,000 shares of the Company’s Class A common stock at a price of $1.67 per share and (ii) pre-funded warrants to purchase 11,740,119 shares of common stock (the “Pre-Funded Warrants”). The Pre-Funded Warrants were exercised in full on August 1, 2025 at the exercise price of $0.0001 for one share of Class A common stock per Pre-Funded Warrant. The gross proceeds to the Company from the July 2025 Registered Direct Offering were approximately $50.0 million. After deducting estimated placement agents’ fees and other offering expenses payable by the Company, net proceeds as of December 31, 2025 were approximately $46.7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3, 2025, the Company entered into a securities purchase agreement with certain institutional investors pursuant to which the Company agreed to issue and sell, in a registered direct offering (the “January 2025 Registered Direct Offering”) an aggregate of 15,625,000 shares of the Company’s Class A common stock at a price of $3.20 per share. The gross proceeds to the Company from the January 2025 Registered Direct Offering were $50.0 million. After deducting estimated placement agents’ fees and other offering expenses payable by the Company, net proceeds recorded as of December 31, 2025 were approximately $46.8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Registered Direct Offerings, the Company entered into placement agency agreements with A.G.P./Alliance Global Partners (“AGP”), pursuant to which AGP agreed to serve as the sole placement agent for the Company on a reasonable best efforts basis. In connection with the Registered Direct Offerings, the Company agreed to pay AGP an aggregate cash fee equal to 6.0% of the gross proceeds received in the respective offering. The securities in both Registered Direct Offerings were sold pursuant to the Company’s universal shelf registration statement on Form S-3, which was originally filed with the SEC on August 11, 2023, and related base prospectuses and prospectus supplements dated July 3, 2025 and January 3, 2025, respectively,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Stock-based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December 31, 2025, there were 14,602,612 shares available for future grant under the 2021 Plan.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Inducement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8, 2023, the Company adopted the 2023 Inducement Equity Incentive Plan (the “2023 Inducement Plan”) to reserve 3,000,000 shares of its Class A common stock to be used exclusively for grants of awards to individuals that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69240"/>
                <wp:effectExtent l="0" t="0" r="0" b="0"/>
                <wp:wrapNone/>
                <wp:docPr id="110" name="Frame10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previously employees or directors of the Company as a material inducement to such individuals’ entry into employment with the Company within the meaning of Rule 5635(c)(4) of the Nasdaq Listing Rules. On August 23, 2024, the Company amended the 2023 Inducement Plan to reserve an additional 3,000,000 shares of its Class A common stock under the 2023 Inducement Plan. The terms and conditions of the 2023 Inducement Plan, as amended, are substantially similar to those of the 2021 Plan. As of December 31, 2025, there were 2,239,404 shares remaining available for issuance under the 2023 Inducement Plan.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an aggregate of 1,166,855and 2,282,600 stock option awards to participants during the years ended December 31, 2025 and 2024, respectively, with vesting subject to the participant’s continued employment with or continued service provided to the Company through the applicable vesting 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granted an aggregate of 10,138,730 stock option awards to participants, with vesting subject to the participant’s continued employment with or continued service provided to the Company through the applicable vesting dates and, in specific instances, certain market conditions. These stock option awards included 2,000,000 stock options granted to the Chief Financial Officer which are subject to service and/or certain market conditions. The stock option awards granted to the Chief Financial Officer included 1,000,000 stock options issued from the 2021 Plan and 1,000,000 inducement stock options issued from the 2023 Inducement Plan which are subject to a service condition and certain market conditions. The service condition requires the Chief Financial Officer’s continued employment with the Company through the applicable vesting dates. The market conditions require the Company’s Class A common stock trade above a specified level for a defined period of time. The fair value of awards with market conditions was estimated at the grant date using the Monte Carlo simulation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related to stock options for the years ended December 31, 2025, 2024 and 2023 was $6.3 million, $6.4 million and $7.1 million, respectively. The Company estimates and records the compensation cost associated with the grants described above with an offsetting entry to paid-in capital. The Company utilized the Black-Scholes model for determining the estimated fair value for service or performance-based stock-based awards. The Black-Scholes model requires the use of subjective assumptions which determine the fair value of stock-based awards. The assumptions used to value option grants to employees and non-employees for the years ended December 31, 2025, 2024 and 2023 were as follows:</w:t>
      </w:r>
    </w:p>
    <w:tbl>
      <w:tblPr>
        <w:tblW w:w="8780" w:type="dxa"/>
        <w:jc w:val="left"/>
        <w:tblInd w:w="0" w:type="dxa"/>
        <w:tblLayout w:type="fixed"/>
        <w:tblCellMar>
          <w:top w:w="28" w:type="dxa"/>
          <w:left w:w="28" w:type="dxa"/>
          <w:bottom w:w="28" w:type="dxa"/>
          <w:right w:w="28" w:type="dxa"/>
        </w:tblCellMar>
      </w:tblPr>
      <w:tblGrid>
        <w:gridCol w:w="1528"/>
        <w:gridCol w:w="1340"/>
        <w:gridCol w:w="1347"/>
        <w:gridCol w:w="109"/>
        <w:gridCol w:w="109"/>
        <w:gridCol w:w="109"/>
        <w:gridCol w:w="419"/>
        <w:gridCol w:w="419"/>
        <w:gridCol w:w="422"/>
        <w:gridCol w:w="109"/>
        <w:gridCol w:w="109"/>
        <w:gridCol w:w="109"/>
        <w:gridCol w:w="379"/>
        <w:gridCol w:w="379"/>
        <w:gridCol w:w="382"/>
        <w:gridCol w:w="109"/>
        <w:gridCol w:w="109"/>
        <w:gridCol w:w="109"/>
        <w:gridCol w:w="346"/>
        <w:gridCol w:w="346"/>
        <w:gridCol w:w="492"/>
      </w:tblGrid>
      <w:tr>
        <w:trPr/>
        <w:tc>
          <w:tcPr>
            <w:tcW w:w="152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 – 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 – 6.2</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 – 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 – 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 – 4.4%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 – 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 – 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 – 64%</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per share at 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stock option activity is presented in the table below:</w:t>
      </w:r>
    </w:p>
    <w:tbl>
      <w:tblPr>
        <w:tblW w:w="10205" w:type="dxa"/>
        <w:jc w:val="left"/>
        <w:tblInd w:w="0" w:type="dxa"/>
        <w:tblLayout w:type="fixed"/>
        <w:tblCellMar>
          <w:top w:w="28" w:type="dxa"/>
          <w:left w:w="28" w:type="dxa"/>
          <w:bottom w:w="28" w:type="dxa"/>
          <w:right w:w="28" w:type="dxa"/>
        </w:tblCellMar>
      </w:tblPr>
      <w:tblGrid>
        <w:gridCol w:w="1235"/>
        <w:gridCol w:w="1085"/>
        <w:gridCol w:w="1091"/>
        <w:gridCol w:w="539"/>
        <w:gridCol w:w="542"/>
        <w:gridCol w:w="348"/>
        <w:gridCol w:w="109"/>
        <w:gridCol w:w="109"/>
        <w:gridCol w:w="109"/>
        <w:gridCol w:w="375"/>
        <w:gridCol w:w="912"/>
        <w:gridCol w:w="196"/>
        <w:gridCol w:w="109"/>
        <w:gridCol w:w="109"/>
        <w:gridCol w:w="109"/>
        <w:gridCol w:w="523"/>
        <w:gridCol w:w="523"/>
        <w:gridCol w:w="524"/>
        <w:gridCol w:w="109"/>
        <w:gridCol w:w="109"/>
        <w:gridCol w:w="109"/>
        <w:gridCol w:w="257"/>
        <w:gridCol w:w="880"/>
        <w:gridCol w:w="194"/>
      </w:tblGrid>
      <w:tr>
        <w:trPr/>
        <w:tc>
          <w:tcPr>
            <w:tcW w:w="123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br/>
              <w:t xml:space="preserve">of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 xml:space="preserve">Remaining </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 Value</w:t>
              <w:br/>
              <w:t>(in thousands)</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20,803,142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1,166,855 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(830,228)</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(2,009,819)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10,796,502 </w:t>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19,129,950 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69240"/>
                <wp:effectExtent l="0" t="0" r="0" b="0"/>
                <wp:wrapNone/>
                <wp:docPr id="111" name="Frame10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fair value of stock options that vested during the years ended December 31, 2025 and 2024 was approximately $5.4 million and $6.4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total unrecognized stock-based compensation related to stock options was $6.0 million, which is expected to be recognized over a remaining weighted average vesting period of 1.5 years.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Modification of Performance 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2022 and May 2023, the Company granted 2,780,000 and 1,000,000 performance-based stock option awards to its Chief Executive Officer and Chief Financial Officer, respectively. The vesting of these awards are subject to continued service to the Company and certain market conditions. The market conditions require the Company’s Class A common stock trade above specified levels for certain periods of time. The fair values of the awards were estimated at the grant date using the Monte Carlo simulation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is approximately $2.4 million within Selling, general and administrative operating expenses in the Consolidated Statements of Operations and Comprehensive Loss. Incremental stock-based compensation expense was $0.8 million and $0.6 million for the years ended December 31, 2025 and 2024, respectively. There were no such modifications to performance-based stock option awards for the year ended December 31, 2023.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granted an aggregate of 8,535,732, 9,216,559 and 786,938, respectively, of restricted stock unit (“RSU”) awards to participants with vesting subject to the participant’s continued employment with or continued service provided to the Company through the applicable vesting 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related to RSU awards for the years ended December 31, 2025, 2024 and 2023 was $4.5 million, $2.4 million and $1.4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and weighted average grant date fair values of restricted non-vested common stock at the beginning and end of 2025, as well as restricted stock units granted, vested, and forfeited during the year were as follows:</w:t>
      </w:r>
    </w:p>
    <w:tbl>
      <w:tblPr>
        <w:tblW w:w="7030" w:type="dxa"/>
        <w:jc w:val="left"/>
        <w:tblInd w:w="0" w:type="dxa"/>
        <w:tblLayout w:type="fixed"/>
        <w:tblCellMar>
          <w:top w:w="28" w:type="dxa"/>
          <w:left w:w="28" w:type="dxa"/>
          <w:bottom w:w="28" w:type="dxa"/>
          <w:right w:w="28" w:type="dxa"/>
        </w:tblCellMar>
      </w:tblPr>
      <w:tblGrid>
        <w:gridCol w:w="1218"/>
        <w:gridCol w:w="1068"/>
        <w:gridCol w:w="1074"/>
        <w:gridCol w:w="539"/>
        <w:gridCol w:w="539"/>
        <w:gridCol w:w="541"/>
        <w:gridCol w:w="109"/>
        <w:gridCol w:w="109"/>
        <w:gridCol w:w="109"/>
        <w:gridCol w:w="414"/>
        <w:gridCol w:w="1006"/>
        <w:gridCol w:w="304"/>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br/>
              <w:t xml:space="preserve">Underlying 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Grant-Date Fair</w:t>
              <w:br/>
              <w:t>Value (per share)</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RSUs at December 31, 2024</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7,179,009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8,535,732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RSUs at December 31, 2025</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stock-based compensation related to restricted stock was $13.4 million, which is expected to be recognized over the remaining weighted average vesting period of 2.9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605" cy="14605"/>
                <wp:effectExtent l="0" t="0" r="0" b="0"/>
                <wp:wrapNone/>
                <wp:docPr id="112" name="Frame10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vested during the years ended December 31, 2025 and 2024 was approximately $4.2 million and $2.6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is allocated to Research and development and Selling, general and administrative operating expenses in the Consolidated Statements of Operations and Comprehensive Loss. Stock-based compensation expense for the years ended December 31, 2025, 2024 and 2023 is as follows (in thousands):</w:t>
      </w:r>
    </w:p>
    <w:tbl>
      <w:tblPr>
        <w:tblW w:w="6566" w:type="dxa"/>
        <w:jc w:val="left"/>
        <w:tblInd w:w="0" w:type="dxa"/>
        <w:tblLayout w:type="fixed"/>
        <w:tblCellMar>
          <w:top w:w="28" w:type="dxa"/>
          <w:left w:w="28" w:type="dxa"/>
          <w:bottom w:w="28" w:type="dxa"/>
          <w:right w:w="28" w:type="dxa"/>
        </w:tblCellMar>
      </w:tblPr>
      <w:tblGrid>
        <w:gridCol w:w="1071"/>
        <w:gridCol w:w="939"/>
        <w:gridCol w:w="944"/>
        <w:gridCol w:w="211"/>
        <w:gridCol w:w="721"/>
        <w:gridCol w:w="109"/>
        <w:gridCol w:w="109"/>
        <w:gridCol w:w="109"/>
        <w:gridCol w:w="109"/>
        <w:gridCol w:w="211"/>
        <w:gridCol w:w="616"/>
        <w:gridCol w:w="109"/>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related tax benefits of the stock-based compensation expense have been recognized and no related tax benefits have been realized from the exercise of stock options due to the Company’s net operating loss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Warrant Liabilities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Public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there was an aggregate of 3,833,317 and 3,833,319, respectively,</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Redemptions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any time while the warrants are exercisable, the Company may redeem not less than all of the outstanding Public Warrants: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in whole and not in part;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 xml:space="preserve">at a price of </w:t>
      </w:r>
      <w:r>
        <w:rPr>
          <w:rFonts w:ascii="Times New Roman;serif" w:hAnsi="Times New Roman;serif"/>
          <w:b w:val="false"/>
          <w:color w:val="000000"/>
          <w:sz w:val="20"/>
        </w:rPr>
        <w:t>$0.01</w:t>
      </w:r>
      <w:r>
        <w:rPr>
          <w:color w:val="000000"/>
          <w:shd w:fill="FFFFFF" w:val="clear"/>
        </w:rPr>
        <w:t xml:space="preserve"> </w:t>
      </w:r>
      <w:r>
        <w:rPr>
          <w:rFonts w:ascii="Times New Roman;serif" w:hAnsi="Times New Roman;serif"/>
          <w:b w:val="false"/>
          <w:color w:val="000000"/>
          <w:sz w:val="20"/>
          <w:shd w:fill="FFFFFF" w:val="clear"/>
        </w:rPr>
        <w:t>per warrant;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 xml:space="preserve">upon not less than </w:t>
      </w:r>
      <w:r>
        <w:rPr>
          <w:rFonts w:ascii="Times New Roman;serif" w:hAnsi="Times New Roman;serif"/>
          <w:b w:val="false"/>
          <w:color w:val="000000"/>
          <w:sz w:val="20"/>
        </w:rPr>
        <w:t>30 days</w:t>
      </w:r>
      <w:r>
        <w:rPr>
          <w:color w:val="000000"/>
          <w:shd w:fill="FFFFFF" w:val="clear"/>
        </w:rPr>
        <w:t xml:space="preserve">’ </w:t>
      </w:r>
      <w:r>
        <w:rPr>
          <w:rFonts w:ascii="Times New Roman;serif" w:hAnsi="Times New Roman;serif"/>
          <w:b w:val="false"/>
          <w:color w:val="000000"/>
          <w:sz w:val="20"/>
          <w:shd w:fill="FFFFFF" w:val="clear"/>
        </w:rPr>
        <w:t>prior written notice of redemption (the “</w:t>
      </w:r>
      <w:r>
        <w:rPr>
          <w:rFonts w:ascii="Times New Roman;serif" w:hAnsi="Times New Roman;serif"/>
          <w:b w:val="false"/>
          <w:color w:val="000000"/>
          <w:sz w:val="20"/>
        </w:rPr>
        <w:t>30</w:t>
      </w:r>
      <w:r>
        <w:rPr>
          <w:rFonts w:ascii="Times New Roman;serif" w:hAnsi="Times New Roman;serif"/>
          <w:b w:val="false"/>
          <w:color w:val="000000"/>
          <w:sz w:val="20"/>
          <w:shd w:fill="FFFFFF" w:val="clear"/>
        </w:rPr>
        <w:t>-day redemption period”) to each warrant holder;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 xml:space="preserve">if, and only if, the closing price of the Company’s common stock equals or exceeds </w:t>
      </w:r>
      <w:r>
        <w:rPr>
          <w:rFonts w:ascii="Times New Roman;serif" w:hAnsi="Times New Roman;serif"/>
          <w:b w:val="false"/>
          <w:color w:val="000000"/>
          <w:sz w:val="20"/>
        </w:rPr>
        <w:t>$18.00</w:t>
      </w:r>
      <w:r>
        <w:rPr>
          <w:color w:val="000000"/>
          <w:shd w:fill="FFFFFF" w:val="clear"/>
        </w:rPr>
        <w:t xml:space="preserve"> </w:t>
      </w:r>
      <w:r>
        <w:rPr>
          <w:rFonts w:ascii="Times New Roman;serif" w:hAnsi="Times New Roman;serif"/>
          <w:b w:val="false"/>
          <w:color w:val="000000"/>
          <w:sz w:val="20"/>
          <w:shd w:fill="FFFFFF" w:val="clear"/>
        </w:rPr>
        <w:t xml:space="preserve">per share (as adjusted for stock splits, stock capitalizations, reorganizations, recapitalizations and the like) for any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trading days within a </w:t>
      </w:r>
      <w:r>
        <w:rPr>
          <w:rFonts w:ascii="Times New Roman;serif" w:hAnsi="Times New Roman;serif"/>
          <w:b w:val="false"/>
          <w:color w:val="000000"/>
          <w:sz w:val="20"/>
        </w:rPr>
        <w:t>30</w:t>
      </w:r>
      <w:r>
        <w:rPr>
          <w:rFonts w:ascii="Times New Roman;serif" w:hAnsi="Times New Roman;serif"/>
          <w:b w:val="false"/>
          <w:color w:val="000000"/>
          <w:sz w:val="20"/>
          <w:shd w:fill="FFFFFF" w:val="clear"/>
        </w:rPr>
        <w:t xml:space="preserve">-trading day period ending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business days before the Company sends the notice of redemption to the warrant holders.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the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69240"/>
                <wp:effectExtent l="0" t="0" r="0" b="0"/>
                <wp:wrapNone/>
                <wp:docPr id="113" name="Frame10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Public Warrants do not meet the criteria to be classified in stockholders’ equity as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current and long-term liabilities on the Condensed Consolidated Balance Sheets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respectively.</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Private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were 135,000 Private Warrants outstanding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current and long-term liabilities on the Condensed Consolidated Balance Sheets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respectively.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fair value of warrant liabilities was $0.8 million and $5.0 million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respectively. The Company recognized a gain of $4.2 million and losses of $3.7 million and $0.3 million for the years ended </w:t>
      </w:r>
      <w:r>
        <w:rPr>
          <w:rFonts w:ascii="Times New Roman;serif" w:hAnsi="Times New Roman;serif"/>
          <w:b w:val="false"/>
          <w:color w:val="000000"/>
          <w:sz w:val="20"/>
        </w:rPr>
        <w:t>December 31, 2025, 2024 and 2023, respectively,</w:t>
      </w:r>
      <w:r>
        <w:rPr>
          <w:color w:val="000000"/>
          <w:shd w:fill="FFFFFF" w:val="clear"/>
        </w:rPr>
        <w:t xml:space="preserve"> </w:t>
      </w:r>
      <w:r>
        <w:rPr>
          <w:rFonts w:ascii="Times New Roman;serif" w:hAnsi="Times New Roman;serif"/>
          <w:b w:val="false"/>
          <w:color w:val="000000"/>
          <w:sz w:val="20"/>
          <w:shd w:fill="FFFFFF" w:val="clear"/>
        </w:rPr>
        <w:t xml:space="preserve">as a Change in fair value of warrant liabilities in the Consolidated Statements of Operations and Comprehensive Loss. There were two exercises and no redemptions of the Public Warrants and no exercises or redemptions of the Private Warrants during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were no exercises or redemptions of the Public Warrants or Private Warrants during the years ended </w:t>
      </w:r>
      <w:r>
        <w:rPr>
          <w:rFonts w:ascii="Times New Roman;serif" w:hAnsi="Times New Roman;serif"/>
          <w:b w:val="false"/>
          <w:color w:val="000000"/>
          <w:sz w:val="20"/>
        </w:rPr>
        <w:t>December 31, 2024 and 2023</w:t>
      </w:r>
      <w:r>
        <w:rPr>
          <w:rFonts w:ascii="Times New Roman;serif" w:hAnsi="Times New Roman;serif"/>
          <w:b w:val="false"/>
          <w:color w:val="000000"/>
          <w:sz w:val="20"/>
          <w:shd w:fill="FFFFFF" w:val="clear"/>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further details regarding the warrant liabilities, please refer to </w:t>
      </w:r>
      <w:hyperlink w:anchor="i8936ec582bfd40c6a2cec4d0326925ac_121">
        <w:r>
          <w:rPr>
            <w:rStyle w:val="InternetLink"/>
          </w:rPr>
          <w:t xml:space="preserve">Note </w:t>
        </w:r>
      </w:hyperlink>
      <w:hyperlink w:anchor="i8936ec582bfd40c6a2cec4d0326925ac_121">
        <w:r>
          <w:rPr>
            <w:rStyle w:val="InternetLink"/>
          </w:rPr>
          <w:t>4</w:t>
        </w:r>
      </w:hyperlink>
      <w:hyperlink w:anchor="i8936ec582bfd40c6a2cec4d0326925ac_121">
        <w:r>
          <w:rPr>
            <w:rStyle w:val="InternetLink"/>
          </w:rPr>
          <w:t>. Fair Value of Financial Instruments</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Net Loss Per Share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presents both basic earnings per share (“EPS”) and diluted EPS. Basic and diluted net loss per share was the same for each period presented as the inclusion of all common share equivalents would have been anti-dilutive.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presents the calculations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of basic and diluted net loss per share for the Company’s common stock (in thousands, except per share amounts):</w:t>
      </w:r>
    </w:p>
    <w:tbl>
      <w:tblPr>
        <w:tblW w:w="10205" w:type="dxa"/>
        <w:jc w:val="left"/>
        <w:tblInd w:w="0" w:type="dxa"/>
        <w:tblLayout w:type="fixed"/>
        <w:tblCellMar>
          <w:top w:w="28" w:type="dxa"/>
          <w:left w:w="28" w:type="dxa"/>
          <w:bottom w:w="28" w:type="dxa"/>
          <w:right w:w="28" w:type="dxa"/>
        </w:tblCellMar>
      </w:tblPr>
      <w:tblGrid>
        <w:gridCol w:w="2197"/>
        <w:gridCol w:w="1875"/>
        <w:gridCol w:w="1896"/>
        <w:gridCol w:w="211"/>
        <w:gridCol w:w="893"/>
        <w:gridCol w:w="109"/>
        <w:gridCol w:w="109"/>
        <w:gridCol w:w="109"/>
        <w:gridCol w:w="109"/>
        <w:gridCol w:w="211"/>
        <w:gridCol w:w="893"/>
        <w:gridCol w:w="109"/>
        <w:gridCol w:w="109"/>
        <w:gridCol w:w="109"/>
        <w:gridCol w:w="109"/>
        <w:gridCol w:w="211"/>
        <w:gridCol w:w="788"/>
        <w:gridCol w:w="158"/>
      </w:tblGrid>
      <w:tr>
        <w:trPr/>
        <w:tc>
          <w:tcPr>
            <w:tcW w:w="2197"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(95,960)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EPS -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(95,960)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141,300</w:t>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and diluted EPS - weighted-average common stock</w:t>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141,300</w:t>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loss per share attributable to Class A and Class B common stockholders was the same on a basic and diluted basis, as the inclusion of all potential common equivalent shares outstanding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69240"/>
                <wp:effectExtent l="0" t="0" r="0" b="0"/>
                <wp:wrapNone/>
                <wp:docPr id="114" name="Frame10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potential dilutive shares were excluded from the calculation of diluted net loss per share because their effect would be anti-dilutive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w:t>
      </w:r>
    </w:p>
    <w:tbl>
      <w:tblPr>
        <w:tblW w:w="7796" w:type="dxa"/>
        <w:jc w:val="left"/>
        <w:tblInd w:w="0" w:type="dxa"/>
        <w:tblLayout w:type="fixed"/>
        <w:tblCellMar>
          <w:top w:w="28" w:type="dxa"/>
          <w:left w:w="28" w:type="dxa"/>
          <w:bottom w:w="28" w:type="dxa"/>
          <w:right w:w="28" w:type="dxa"/>
        </w:tblCellMar>
      </w:tblPr>
      <w:tblGrid>
        <w:gridCol w:w="1446"/>
        <w:gridCol w:w="1268"/>
        <w:gridCol w:w="1275"/>
        <w:gridCol w:w="344"/>
        <w:gridCol w:w="344"/>
        <w:gridCol w:w="348"/>
        <w:gridCol w:w="109"/>
        <w:gridCol w:w="109"/>
        <w:gridCol w:w="109"/>
        <w:gridCol w:w="344"/>
        <w:gridCol w:w="344"/>
        <w:gridCol w:w="348"/>
        <w:gridCol w:w="109"/>
        <w:gridCol w:w="109"/>
        <w:gridCol w:w="109"/>
        <w:gridCol w:w="316"/>
        <w:gridCol w:w="316"/>
        <w:gridCol w:w="449"/>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20,803,142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22,511,900</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units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7,179,009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847,169</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warrants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3,968,317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3,968,319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3,968,319</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34,216,658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31,950,470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27,327,388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Restructuring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committed to organizational restructurings during the fourth quarter of 2024, designed to decrease its costs and create a more streamlined organization to support its business. These liabilities are included in Accrued expenses and other current liabilities on the Consolidated Balance Sheets.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restructuring costs, primarily for cash severance and other severance costs, are allocated to the following operating expense categories as follows (in thousands):</w:t>
      </w:r>
    </w:p>
    <w:tbl>
      <w:tblPr>
        <w:tblW w:w="7500" w:type="dxa"/>
        <w:jc w:val="left"/>
        <w:tblInd w:w="0" w:type="dxa"/>
        <w:tblLayout w:type="fixed"/>
        <w:tblCellMar>
          <w:top w:w="28" w:type="dxa"/>
          <w:left w:w="28" w:type="dxa"/>
          <w:bottom w:w="28" w:type="dxa"/>
          <w:right w:w="28" w:type="dxa"/>
        </w:tblCellMar>
      </w:tblPr>
      <w:tblGrid>
        <w:gridCol w:w="1238"/>
        <w:gridCol w:w="1087"/>
        <w:gridCol w:w="1094"/>
        <w:gridCol w:w="334"/>
        <w:gridCol w:w="737"/>
        <w:gridCol w:w="174"/>
        <w:gridCol w:w="109"/>
        <w:gridCol w:w="109"/>
        <w:gridCol w:w="109"/>
        <w:gridCol w:w="362"/>
        <w:gridCol w:w="800"/>
        <w:gridCol w:w="189"/>
        <w:gridCol w:w="109"/>
        <w:gridCol w:w="109"/>
        <w:gridCol w:w="109"/>
        <w:gridCol w:w="211"/>
        <w:gridCol w:w="46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Research and</w:t>
              <w:b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Selling,</w:t>
              <w:br/>
              <w:t>general and</w:t>
              <w:br/>
              <w:t>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charges incurred</w:t>
            </w:r>
            <w:r>
              <w:rPr>
                <w:rFonts w:ascii="Times New Roman;serif" w:hAnsi="Times New Roman;serif"/>
                <w:b w:val="false"/>
                <w:color w:val="000000"/>
                <w:sz w:val="13"/>
              </w:rPr>
              <w:t>(1)</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Cash payments and other adjustments</w:t>
            </w:r>
            <w:r>
              <w:rPr>
                <w:rFonts w:ascii="Times New Roman;serif" w:hAnsi="Times New Roman;serif"/>
                <w:b w:val="false"/>
                <w:color w:val="000000"/>
                <w:sz w:val="13"/>
              </w:rPr>
              <w:t>(1)</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 of December 31, 2025</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0"/>
        </w:rPr>
        <w:t>Restructuring charges incurred and Cash payments and other adjustments include non-cash charges related to stock-based compensation expense and charges for cash severance and other severance costs, including health care coverage for a specified period of time after separation.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restructuring activities were complete as of December 31, 2024 and, as of December 31, 2025, the Company does not expect to incur additional charges associated with these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Income Taxes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components of (loss) income before provision for income taxes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are as follows (in thousands):</w:t>
      </w:r>
    </w:p>
    <w:tbl>
      <w:tblPr>
        <w:tblW w:w="8412" w:type="dxa"/>
        <w:jc w:val="left"/>
        <w:tblInd w:w="0" w:type="dxa"/>
        <w:tblLayout w:type="fixed"/>
        <w:tblCellMar>
          <w:top w:w="28" w:type="dxa"/>
          <w:left w:w="28" w:type="dxa"/>
          <w:bottom w:w="28" w:type="dxa"/>
          <w:right w:w="28" w:type="dxa"/>
        </w:tblCellMar>
      </w:tblPr>
      <w:tblGrid>
        <w:gridCol w:w="1503"/>
        <w:gridCol w:w="1324"/>
        <w:gridCol w:w="1328"/>
        <w:gridCol w:w="211"/>
        <w:gridCol w:w="901"/>
        <w:gridCol w:w="109"/>
        <w:gridCol w:w="109"/>
        <w:gridCol w:w="109"/>
        <w:gridCol w:w="109"/>
        <w:gridCol w:w="211"/>
        <w:gridCol w:w="901"/>
        <w:gridCol w:w="109"/>
        <w:gridCol w:w="109"/>
        <w:gridCol w:w="109"/>
        <w:gridCol w:w="109"/>
        <w:gridCol w:w="211"/>
        <w:gridCol w:w="79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loss before 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before provision for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(95,960)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provision for income taxes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consists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69240"/>
                <wp:effectExtent l="0" t="0" r="0" b="0"/>
                <wp:wrapNone/>
                <wp:docPr id="115" name="Frame106"/>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106</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tbl>
      <w:tblPr>
        <w:tblW w:w="4632" w:type="dxa"/>
        <w:jc w:val="left"/>
        <w:tblInd w:w="0" w:type="dxa"/>
        <w:tblLayout w:type="fixed"/>
        <w:tblCellMar>
          <w:top w:w="28" w:type="dxa"/>
          <w:left w:w="28" w:type="dxa"/>
          <w:bottom w:w="28" w:type="dxa"/>
          <w:right w:w="28" w:type="dxa"/>
        </w:tblCellMar>
      </w:tblPr>
      <w:tblGrid>
        <w:gridCol w:w="665"/>
        <w:gridCol w:w="585"/>
        <w:gridCol w:w="595"/>
        <w:gridCol w:w="211"/>
        <w:gridCol w:w="361"/>
        <w:gridCol w:w="109"/>
        <w:gridCol w:w="109"/>
        <w:gridCol w:w="109"/>
        <w:gridCol w:w="109"/>
        <w:gridCol w:w="211"/>
        <w:gridCol w:w="361"/>
        <w:gridCol w:w="109"/>
        <w:gridCol w:w="109"/>
        <w:gridCol w:w="109"/>
        <w:gridCol w:w="109"/>
        <w:gridCol w:w="211"/>
        <w:gridCol w:w="406"/>
        <w:gridCol w:w="154"/>
      </w:tblGrid>
      <w:tr>
        <w:trPr/>
        <w:tc>
          <w:tcPr>
            <w:tcW w:w="6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Foreign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current</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table below provides the updated requirements of ASU 2023-09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For further discussion related to ASU 2023-09, please refer to </w:t>
      </w:r>
      <w:hyperlink w:anchor="i8936ec582bfd40c6a2cec4d0326925ac_106">
        <w:r>
          <w:rPr>
            <w:rStyle w:val="InternetLink"/>
          </w:rPr>
          <w:t>Note 2</w:t>
        </w:r>
      </w:hyperlink>
      <w:hyperlink w:anchor="i8936ec582bfd40c6a2cec4d0326925ac_106">
        <w:r>
          <w:rPr>
            <w:rStyle w:val="InternetLink"/>
          </w:rPr>
          <w:t>.</w:t>
        </w:r>
      </w:hyperlink>
      <w:hyperlink w:anchor="i8936ec582bfd40c6a2cec4d0326925ac_106">
        <w:r>
          <w:rPr>
            <w:rStyle w:val="InternetLink"/>
          </w:rPr>
          <w:t xml:space="preserve"> Summary of </w:t>
        </w:r>
      </w:hyperlink>
      <w:hyperlink w:anchor="i8936ec582bfd40c6a2cec4d0326925ac_106">
        <w:r>
          <w:rPr>
            <w:rStyle w:val="InternetLink"/>
          </w:rPr>
          <w:t>S</w:t>
        </w:r>
      </w:hyperlink>
      <w:hyperlink w:anchor="i8936ec582bfd40c6a2cec4d0326925ac_106">
        <w:r>
          <w:rPr>
            <w:rStyle w:val="InternetLink"/>
          </w:rPr>
          <w:t xml:space="preserve">ignificant </w:t>
        </w:r>
      </w:hyperlink>
      <w:hyperlink w:anchor="i8936ec582bfd40c6a2cec4d0326925ac_106">
        <w:r>
          <w:rPr>
            <w:rStyle w:val="InternetLink"/>
          </w:rPr>
          <w:t>A</w:t>
        </w:r>
      </w:hyperlink>
      <w:hyperlink w:anchor="i8936ec582bfd40c6a2cec4d0326925ac_106">
        <w:r>
          <w:rPr>
            <w:rStyle w:val="InternetLink"/>
          </w:rPr>
          <w:t xml:space="preserve">ccounting </w:t>
        </w:r>
      </w:hyperlink>
      <w:hyperlink w:anchor="i8936ec582bfd40c6a2cec4d0326925ac_106">
        <w:r>
          <w:rPr>
            <w:rStyle w:val="InternetLink"/>
          </w:rPr>
          <w:t>P</w:t>
        </w:r>
      </w:hyperlink>
      <w:hyperlink w:anchor="i8936ec582bfd40c6a2cec4d0326925ac_106">
        <w:r>
          <w:rPr>
            <w:rStyle w:val="InternetLink"/>
          </w:rPr>
          <w:t>olicies</w:t>
        </w:r>
      </w:hyperlink>
      <w:r>
        <w:rPr>
          <w:rFonts w:ascii="Times New Roman;serif" w:hAnsi="Times New Roman;serif"/>
          <w:b w:val="false"/>
          <w:color w:val="000000"/>
          <w:sz w:val="20"/>
          <w:shd w:fill="FFFFFF" w:val="clear"/>
        </w:rPr>
        <w:t>. For purposes of reconciling the Company’s provision for income taxes at the statutory rate and the Company’s provision for income taxes at the effective rate, a notional 21% tax rate was applied as follows:</w:t>
      </w:r>
    </w:p>
    <w:tbl>
      <w:tblPr>
        <w:tblW w:w="7537" w:type="dxa"/>
        <w:jc w:val="center"/>
        <w:tblInd w:w="0" w:type="dxa"/>
        <w:tblLayout w:type="fixed"/>
        <w:tblCellMar>
          <w:top w:w="28" w:type="dxa"/>
          <w:left w:w="28" w:type="dxa"/>
          <w:bottom w:w="28" w:type="dxa"/>
          <w:right w:w="28" w:type="dxa"/>
        </w:tblCellMar>
      </w:tblPr>
      <w:tblGrid>
        <w:gridCol w:w="1877"/>
        <w:gridCol w:w="1653"/>
        <w:gridCol w:w="1660"/>
        <w:gridCol w:w="211"/>
        <w:gridCol w:w="796"/>
        <w:gridCol w:w="109"/>
        <w:gridCol w:w="109"/>
        <w:gridCol w:w="109"/>
        <w:gridCol w:w="109"/>
        <w:gridCol w:w="374"/>
        <w:gridCol w:w="376"/>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income tax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and local income taxes, net of federal income tax effect</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Changes in valuation allowance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Officer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and effective income tax rate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For the year ended December 31, 2025, the states and district that contributed to the majority (greater than 50%) of the tax effect in this category include California, Connecticut, District of Columbia, Massachusetts and New York.</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previously disclosed, for the years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 prior to the adoption of ASU 2023-09, the effective income tax rate differs from the statutory federal income tax rate as follows:</w:t>
      </w:r>
    </w:p>
    <w:tbl>
      <w:tblPr>
        <w:tblW w:w="5521" w:type="dxa"/>
        <w:jc w:val="center"/>
        <w:tblInd w:w="0" w:type="dxa"/>
        <w:tblLayout w:type="fixed"/>
        <w:tblCellMar>
          <w:top w:w="28" w:type="dxa"/>
          <w:left w:w="28" w:type="dxa"/>
          <w:bottom w:w="28" w:type="dxa"/>
          <w:right w:w="28" w:type="dxa"/>
        </w:tblCellMar>
      </w:tblPr>
      <w:tblGrid>
        <w:gridCol w:w="1171"/>
        <w:gridCol w:w="1032"/>
        <w:gridCol w:w="1037"/>
        <w:gridCol w:w="343"/>
        <w:gridCol w:w="347"/>
        <w:gridCol w:w="292"/>
        <w:gridCol w:w="109"/>
        <w:gridCol w:w="109"/>
        <w:gridCol w:w="109"/>
        <w:gridCol w:w="367"/>
        <w:gridCol w:w="368"/>
        <w:gridCol w:w="237"/>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at statutory rate</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net of federal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generated in current year</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adjustments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change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change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Effective tax rate</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difference between the statutory federal income tax rate and the Company’s effective tax rate in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is primarily attributable to the effect of losses sustained which required a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69240"/>
                <wp:effectExtent l="0" t="0" r="0" b="0"/>
                <wp:wrapNone/>
                <wp:docPr id="116" name="Frame107"/>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107</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amounts of cash income taxes paid by the Company are as follows (in thousands):</w:t>
      </w:r>
    </w:p>
    <w:tbl>
      <w:tblPr>
        <w:tblW w:w="2123" w:type="dxa"/>
        <w:jc w:val="center"/>
        <w:tblInd w:w="0" w:type="dxa"/>
        <w:tblLayout w:type="fixed"/>
        <w:tblCellMar>
          <w:top w:w="28" w:type="dxa"/>
          <w:left w:w="28" w:type="dxa"/>
          <w:bottom w:w="28" w:type="dxa"/>
          <w:right w:w="28" w:type="dxa"/>
        </w:tblCellMar>
      </w:tblPr>
      <w:tblGrid>
        <w:gridCol w:w="348"/>
        <w:gridCol w:w="305"/>
        <w:gridCol w:w="308"/>
        <w:gridCol w:w="211"/>
        <w:gridCol w:w="361"/>
        <w:gridCol w:w="109"/>
        <w:gridCol w:w="109"/>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France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tax effects of temporary differences that give rise to significant portions of the Company’s deferred tax assets and liabilities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related to the following (in thousands):</w:t>
      </w:r>
    </w:p>
    <w:tbl>
      <w:tblPr>
        <w:tblW w:w="5889" w:type="dxa"/>
        <w:jc w:val="left"/>
        <w:tblInd w:w="0" w:type="dxa"/>
        <w:tblLayout w:type="fixed"/>
        <w:tblCellMar>
          <w:top w:w="28" w:type="dxa"/>
          <w:left w:w="28" w:type="dxa"/>
          <w:bottom w:w="28" w:type="dxa"/>
          <w:right w:w="28" w:type="dxa"/>
        </w:tblCellMar>
      </w:tblPr>
      <w:tblGrid>
        <w:gridCol w:w="1170"/>
        <w:gridCol w:w="1026"/>
        <w:gridCol w:w="1029"/>
        <w:gridCol w:w="211"/>
        <w:gridCol w:w="826"/>
        <w:gridCol w:w="109"/>
        <w:gridCol w:w="109"/>
        <w:gridCol w:w="109"/>
        <w:gridCol w:w="109"/>
        <w:gridCol w:w="211"/>
        <w:gridCol w:w="826"/>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 valuation allowance is recorded to reduce deferred tax assets to the amount that is more likely than not to be realized based on an assessment of positive and negative evidence, including estimates of future taxable income necessary to realize future deductible amounts. A significant piece of objective negative evidence evaluated was the cumulative loss incurred over the three-year period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Such objective evidence limits the ability to consider other subjective evidence such as its projections for future growth. On the basis of this evaluation, as of </w:t>
      </w:r>
      <w:r>
        <w:rPr>
          <w:rFonts w:ascii="Times New Roman;serif" w:hAnsi="Times New Roman;serif"/>
          <w:b w:val="false"/>
          <w:color w:val="000000"/>
          <w:sz w:val="20"/>
        </w:rPr>
        <w:t xml:space="preserve">December 31, 2025 and 2024, </w:t>
      </w:r>
      <w:r>
        <w:rPr>
          <w:rFonts w:ascii="Times New Roman;serif" w:hAnsi="Times New Roman;serif"/>
          <w:b w:val="false"/>
          <w:color w:val="000000"/>
          <w:sz w:val="20"/>
          <w:shd w:fill="FFFFFF" w:val="clear"/>
        </w:rPr>
        <w:t xml:space="preserve">the Company recorded a valuation allowance of $178.1 million and $156.5 million, respectively. The valuation allowance increased by $21.6 million and $17.0 million, for the years ended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respectively, due to losses incurred that cannot be realized.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 has accumulated federal and state net operating loss (“NOL”) carryforwards of $513.1 million and $355.8 million, respectively. Of the $513.1 million of federal NOL carryforwards, $65.5 million was generated before January 1, 2018 and is subject to the 20-year carryover period (“pre-Tax Act losses”) and begin to expire in 2033. The remaining $447.6 million can be carried forward indefinitely but is subject to the 80% taxable income limitation. Of the $355.8 million of state NOL carryforwards, $24.5 million can be carried forward indefinitely with the remaining beginning to expire in 2031.</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addition, the Company has federal and Connecticut research and development credit carryforwards totaling $8.1 million and $5.3 million, respectively. The federal research and development credits begin to expire in </w:t>
      </w:r>
      <w:r>
        <w:rPr>
          <w:rFonts w:ascii="Times New Roman;serif" w:hAnsi="Times New Roman;serif"/>
          <w:b w:val="false"/>
          <w:color w:val="000000"/>
          <w:sz w:val="20"/>
        </w:rPr>
        <w:t>2033</w:t>
      </w:r>
      <w:r>
        <w:rPr>
          <w:color w:val="000000"/>
          <w:shd w:fill="FFFFFF" w:val="clear"/>
        </w:rPr>
        <w:t xml:space="preserve"> </w:t>
      </w:r>
      <w:r>
        <w:rPr>
          <w:rFonts w:ascii="Times New Roman;serif" w:hAnsi="Times New Roman;serif"/>
          <w:b w:val="false"/>
          <w:color w:val="000000"/>
          <w:sz w:val="20"/>
          <w:shd w:fill="FFFFFF" w:val="clear"/>
        </w:rPr>
        <w:t>unless previously utilized. The Connecticut research and development credits do not expire.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has federal and state capital loss carryforwards totaling $20.1 million and $14.6 million, respectively. The capital losses start expiring in 2027 unless previously utilized.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69240"/>
                <wp:effectExtent l="0" t="0" r="0" b="0"/>
                <wp:wrapNone/>
                <wp:docPr id="117" name="Frame108"/>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108</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Pursuant to Sections 382 and 383 of the Internal Revenue Code (“IRC”), annual use of the Company’s NOL and credit carryforwards may be limited in the event a cumulative change of ownership of more than </w:t>
      </w:r>
      <w:r>
        <w:rPr>
          <w:rFonts w:ascii="Times New Roman;serif" w:hAnsi="Times New Roman;serif"/>
          <w:b w:val="false"/>
          <w:color w:val="000000"/>
          <w:sz w:val="20"/>
        </w:rPr>
        <w:t>50%</w:t>
      </w:r>
      <w:r>
        <w:rPr>
          <w:color w:val="000000"/>
          <w:shd w:fill="FFFFFF" w:val="clear"/>
        </w:rPr>
        <w:t xml:space="preserve"> </w:t>
      </w:r>
      <w:r>
        <w:rPr>
          <w:rFonts w:ascii="Times New Roman;serif" w:hAnsi="Times New Roman;serif"/>
          <w:b w:val="false"/>
          <w:color w:val="000000"/>
          <w:sz w:val="20"/>
          <w:shd w:fill="FFFFFF" w:val="clear"/>
        </w:rPr>
        <w:t xml:space="preserve">occurs within a </w:t>
      </w:r>
      <w:r>
        <w:rPr>
          <w:rFonts w:ascii="Times New Roman;serif" w:hAnsi="Times New Roman;serif"/>
          <w:b w:val="false"/>
          <w:color w:val="000000"/>
          <w:sz w:val="20"/>
        </w:rPr>
        <w:t>three-</w:t>
      </w:r>
      <w:r>
        <w:rPr>
          <w:rFonts w:ascii="Times New Roman;serif" w:hAnsi="Times New Roman;serif"/>
          <w:b w:val="false"/>
          <w:color w:val="000000"/>
          <w:sz w:val="20"/>
          <w:shd w:fill="FFFFFF" w:val="clear"/>
        </w:rPr>
        <w:t>year period. Since the Company’s formation, the Company has raised capital through the issuance of capital stock, which on its own or combined with the purchasing stockholders’ subsequent disposition of those shares, may have resulted in such an ownership change, or could result in an ownership change.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Upon the occurrence of an ownership change under Section 382 as outlined above, utilization of the Company’s NOL and research and development credit carryforwards are subject to an annual limitation, which is determined by first multiplying the value of the Company’s stock at the time of the ownership change by the applicable long-term tax-exempt rate, which could be subject to additional adjustments, as required. Any limitation may result in expiration of a portion of the NOL or research and development credit carryforwards before utilization. The Company has completed an analysis through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and no such ownership change has occurred, however, an ownership change may occur in the future.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recognizes liabilities for uncertain tax positions based on a two-step process. The first step is to evaluate the tax position for recognition by determining if the weight of available evidence indicates that it is more likely than not that the tax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 of examinations by tax authorities in determining the adequacy of its provision for income taxes.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summarizes the activity related to the Company’s gross unrecognized tax benefits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(in thousands):</w:t>
      </w:r>
    </w:p>
    <w:tbl>
      <w:tblPr>
        <w:tblW w:w="8052" w:type="dxa"/>
        <w:jc w:val="left"/>
        <w:tblInd w:w="0" w:type="dxa"/>
        <w:tblLayout w:type="fixed"/>
        <w:tblCellMar>
          <w:top w:w="28" w:type="dxa"/>
          <w:left w:w="28" w:type="dxa"/>
          <w:bottom w:w="28" w:type="dxa"/>
          <w:right w:w="28" w:type="dxa"/>
        </w:tblCellMar>
      </w:tblPr>
      <w:tblGrid>
        <w:gridCol w:w="1647"/>
        <w:gridCol w:w="1445"/>
        <w:gridCol w:w="1453"/>
        <w:gridCol w:w="211"/>
        <w:gridCol w:w="616"/>
        <w:gridCol w:w="109"/>
        <w:gridCol w:w="109"/>
        <w:gridCol w:w="109"/>
        <w:gridCol w:w="109"/>
        <w:gridCol w:w="211"/>
        <w:gridCol w:w="616"/>
        <w:gridCol w:w="109"/>
        <w:gridCol w:w="109"/>
        <w:gridCol w:w="109"/>
        <w:gridCol w:w="109"/>
        <w:gridCol w:w="211"/>
        <w:gridCol w:w="61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increases related to prior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the Company had gross unrecognized tax benefits of $2.9 million which would affect the effective tax rate if recognized subject to valuation allowance. The Company’s policy is to recognize the interest expense and/or penalties related to income tax matters as a component of income tax expense. As of both </w:t>
      </w:r>
      <w:r>
        <w:rPr>
          <w:rFonts w:ascii="Times New Roman;serif" w:hAnsi="Times New Roman;serif"/>
          <w:b w:val="false"/>
          <w:color w:val="000000"/>
          <w:sz w:val="20"/>
        </w:rPr>
        <w:t>December 31, 2025, the Company had</w:t>
      </w:r>
      <w:r>
        <w:rPr>
          <w:color w:val="000000"/>
          <w:shd w:fill="FFFFFF" w:val="clear"/>
        </w:rPr>
        <w:t xml:space="preserve"> </w:t>
      </w:r>
      <w:r>
        <w:rPr>
          <w:rFonts w:ascii="Times New Roman;serif" w:hAnsi="Times New Roman;serif"/>
          <w:b w:val="false"/>
          <w:color w:val="000000"/>
          <w:sz w:val="20"/>
          <w:shd w:fill="FFFFFF" w:val="clear"/>
        </w:rPr>
        <w:t>no accrued interest and penalties recorded on its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Company is subject to taxation in the United States, various states within the United States, and France. The Company was notified in November 2024 that the Internal Revenue Service (“IRS”) will be examining their December 31, 2022</w:t>
      </w:r>
      <w:r>
        <w:rPr>
          <w:color w:val="000000"/>
        </w:rPr>
        <w:t xml:space="preserve"> </w:t>
      </w:r>
      <w:r>
        <w:rPr>
          <w:rFonts w:ascii="Times New Roman;serif" w:hAnsi="Times New Roman;serif"/>
          <w:b w:val="false"/>
          <w:color w:val="000000"/>
          <w:sz w:val="20"/>
          <w:shd w:fill="FFFFFF" w:val="clear"/>
        </w:rPr>
        <w:t xml:space="preserve">Federal income tax return. The audit commenced during 2025 and remains open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As a result of the audit, the IRS proposed certain adjustments with respect to the tax reporting of our former executives</w:t>
      </w:r>
      <w:r>
        <w:rPr>
          <w:color w:val="000000"/>
        </w:rPr>
        <w:t>’</w:t>
      </w:r>
      <w:r>
        <w:rPr>
          <w:color w:val="000000"/>
          <w:shd w:fill="FFFFFF" w:val="clear"/>
        </w:rPr>
        <w:t xml:space="preserve"> </w:t>
      </w:r>
      <w:r>
        <w:rPr>
          <w:rFonts w:ascii="Times New Roman;serif" w:hAnsi="Times New Roman;serif"/>
          <w:b w:val="false"/>
          <w:color w:val="000000"/>
          <w:sz w:val="20"/>
          <w:shd w:fill="FFFFFF" w:val="clear"/>
        </w:rPr>
        <w:t>2022 compensation amounts, and the reclassification of an amount originally reported a net operating loss to a capital loss. Due to our current and historical loss position, the proposed adjustments would have no material impact on our Federal income tax; therefore, the Company has agreed to make the adjustments as proposed by the IRS. The net operating loss has been reduced by $7.4 million of which $4.4 million has been reclassified from net operating loss to capital loss. The Company has not been notified that it is under audit by any state or foreign taxing authorities, however, due to the presence of NOL carryforwards, all of the income tax years remain open for examination in each of these jurisdictions.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Additionally, as a result of legislation in the state of Connecticut and the country of France, companies have the opportunity to exchange certain research and development tax credit carryforwards for a cash refund. The research and development expenses that qualify for this benefit are limited to those costs incurred within each jurisdiction. The Company has elected to participate in these exchange programs and, as a result, has recognized net benefits of $2.6 million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and $0.2 million for each of the years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 xml:space="preserve">, which are included in Research and development in the Consolidated Statements of Operations and Comprehensive Loss.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Company recorded $0.7 million of the research and development tax credit receivables in Prepaid expenses and other current assets on the Company’s Consolidated Balance Sheets.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all refunds for years prior to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have been received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69240"/>
                <wp:effectExtent l="0" t="0" r="0" b="0"/>
                <wp:wrapNone/>
                <wp:docPr id="118" name="Frame10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109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analyzes undistributed earnings of its foreign disregarded entity and has accrued withholding taxes of $0.1 million for earnings that are not permanently reinvested. No additional deferred tax liability has been established, as the parent entity would not be required to include the distribution into income as the amount would be tax free under current law.</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July 4, 2025, H.R.1, commonly referred to as the One Big Beautiful Bill Act, was enacted in the U.S., which includes a broad range of tax reform provisions, including extending and modifying certain key Tax Cuts and Jobs Act provisions (both domestic and international), and provisions allowing accelerated tax deductions for qualified property and research expenditures. The legislation has multiple effective dates, with certain provisions effective in 2025 and others to be implemented through 2027. The legislation’s enactment did not materially impact our effective income tax rate or cash tax position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Segment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Quantum-Si is a life sciences company focused on proteomics research, with the mission of transforming single-molecule analysis and democratizing its use by providing researchers and clinicians access to the proteome, the set of proteins expressed within a cell. The Company’s platform includes its Platinum NGPS instrument, Platinum Analysis Software, and consumable kits for use with its Platinum line of instruments.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Chief Operating Decision Maker (the “CODM”), its Chief Executive Officer, reviews financial information presented on a consolidated basis for purposes of assessing financial performance, making operating decisions and allocating resources. Accordingly, the Company has determined it operates as a single reportable segment. The CODM utilizes the Company’s long-range plan, which includes product development roadmaps and long-range financial models, as a key input to resource allocation. The CODM makes decisions on resource allocation, assesses the performance of the business, and monitors budget versus actual results on a consolidated basis using loss from operations as reported in the Consolidated Statements of Operations and Comprehensive Loss as the primary measure of segment profit or loss. Net loss and the change in cash and cash equivalents and marketable securities are also measures considered in monitoring budget versus actual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expenses within loss from operations, as well as within net loss, include research and development, and selling, general and administrative expenses, which are each separately presented on the Company’s Consolidated Statements of Operations and Comprehensive Loss. Other segment items included in net loss on the Company’s Consolidated Statements of Operations and Comprehensive Loss are lease termination expense, net, legal settlement expense, net of insurance proceeds, dividend income, interest income, change in fair value of warrant liabilities, other expense or income, net, and provision for income taxes.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Total revenue generated from domestic and international sales </w:t>
      </w:r>
      <w:r>
        <w:rPr>
          <w:rFonts w:ascii="Times New Roman;serif" w:hAnsi="Times New Roman;serif"/>
          <w:b w:val="false"/>
          <w:color w:val="000000"/>
          <w:sz w:val="20"/>
        </w:rPr>
        <w:t>for the years ended December 31, 2025, 2024 and 2023 is as follows (in thousands):</w:t>
      </w:r>
    </w:p>
    <w:tbl>
      <w:tblPr>
        <w:tblW w:w="4752" w:type="dxa"/>
        <w:jc w:val="left"/>
        <w:tblInd w:w="0" w:type="dxa"/>
        <w:tblLayout w:type="fixed"/>
        <w:tblCellMar>
          <w:top w:w="28" w:type="dxa"/>
          <w:left w:w="28" w:type="dxa"/>
          <w:bottom w:w="28" w:type="dxa"/>
          <w:right w:w="28" w:type="dxa"/>
        </w:tblCellMar>
      </w:tblPr>
      <w:tblGrid>
        <w:gridCol w:w="451"/>
        <w:gridCol w:w="395"/>
        <w:gridCol w:w="399"/>
        <w:gridCol w:w="211"/>
        <w:gridCol w:w="616"/>
        <w:gridCol w:w="109"/>
        <w:gridCol w:w="109"/>
        <w:gridCol w:w="109"/>
        <w:gridCol w:w="109"/>
        <w:gridCol w:w="211"/>
        <w:gridCol w:w="616"/>
        <w:gridCol w:w="109"/>
        <w:gridCol w:w="109"/>
        <w:gridCol w:w="109"/>
        <w:gridCol w:w="109"/>
        <w:gridCol w:w="211"/>
        <w:gridCol w:w="61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16. Related Party Transactions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was a party to the Amended and Restated Technology Services Agreement (the “ARTSA”), most recently amended on November 11, 2020, by and among 4Catalyzer Corporation (“4C”), the Company and other participant companies controlled by Dr. Jonathan Rothberg, the Chairman of the Company’s Board of Directors.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existing arm’s length lease agreement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69240"/>
                <wp:effectExtent l="0" t="0" r="0" b="0"/>
                <wp:wrapNone/>
                <wp:docPr id="119" name="Frame11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4C and negotiated a new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w:t>
      </w:r>
    </w:p>
    <w:p>
      <w:pPr>
        <w:pStyle w:val="TextBody"/>
        <w:bidi w:val="0"/>
        <w:spacing w:lineRule="auto" w:line="288" w:before="240" w:after="283"/>
        <w:jc w:val="both"/>
        <w:rPr/>
      </w:pPr>
      <w:r>
        <w:rPr>
          <w:rFonts w:ascii="Times New Roman;serif" w:hAnsi="Times New Roman;serif"/>
          <w:b w:val="false"/>
          <w:color w:val="000000"/>
          <w:sz w:val="20"/>
        </w:rPr>
        <w:t>The Company incurred expenses paid to 4C in the amounts of $0.1 million, $0.3 million and $0.6 million during the years ended December 31, 2025, 2024 and 2023, respectively. These expenses included immaterial amounts for month-to-month sublease arrangements for office and laboratory spaces from 4C and certain administrative expenses. These expenses a</w:t>
      </w:r>
      <w:r>
        <w:rPr>
          <w:rFonts w:ascii="Times New Roman;serif" w:hAnsi="Times New Roman;serif"/>
          <w:b w:val="false"/>
          <w:color w:val="000000"/>
          <w:sz w:val="20"/>
          <w:shd w:fill="FFFFFF" w:val="clear"/>
        </w:rPr>
        <w:t>re included in Selling, general and administrative expenses in the Condensed Consolidated Statements of Operations and Comprehensive Loss.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ARTSA also provided for the participant companies to provide other services to each other. </w:t>
      </w:r>
      <w:r>
        <w:rPr>
          <w:rFonts w:ascii="Times New Roman;serif" w:hAnsi="Times New Roman;serif"/>
          <w:b w:val="false"/>
          <w:color w:val="000000"/>
          <w:sz w:val="20"/>
        </w:rPr>
        <w:t>There were no amounts payable to or from the Company related to such services as of December 31,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Effective November 1, 2022, the Company entered into an Advisory Agreement with Dr. Rothberg (the “Advisory Agreement”), pursuant to which Dr. Rothberg previously served as Chairman of the Board, advises the Chief Executive Officer and the Board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in March 2023, the Company granted Dr. Rothberg an option to purchase 250,000 shares of Class A common stock pursuant to the 2021 Plan. In connection with the Advisory Agreement, Dr. Rothberg’s title was changed from Executive Chairman to Chairman of the Board. Subsequently, in May 2024, Dr. Rothberg’s title was changed from Chairman of the Board to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Commitments and Contingencies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Commitments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Licenses related to certain intellectual property:</w:t>
      </w:r>
    </w:p>
    <w:p>
      <w:pPr>
        <w:pStyle w:val="TextBody"/>
        <w:bidi w:val="0"/>
        <w:spacing w:lineRule="auto" w:line="288" w:before="240" w:after="283"/>
        <w:jc w:val="both"/>
        <w:rPr/>
      </w:pPr>
      <w:r>
        <w:rPr>
          <w:rFonts w:ascii="Times New Roman;serif" w:hAnsi="Times New Roman;serif"/>
          <w:b w:val="false"/>
          <w:color w:val="000000"/>
          <w:sz w:val="20"/>
        </w:rPr>
        <w:t>The Company licenses certain intellectual property, some of which may be utilized in its current or future product offerings. To preserve the right to use such intellectual property, the Company is required to make annual minimum fixed payments totaling approximately $0.2 million as well as royalties based on net sales if the royalties exceed annual minimum fixed payments. As of both December 31, 2025 and 2024</w:t>
      </w:r>
      <w:r>
        <w:rPr>
          <w:rFonts w:ascii="Times New Roman;serif" w:hAnsi="Times New Roman;serif"/>
          <w:b w:val="false"/>
          <w:color w:val="000000"/>
          <w:sz w:val="20"/>
          <w:shd w:fill="FFFFFF" w:val="clear"/>
        </w:rPr>
        <w:t xml:space="preserve">, the Company had accrued royalties of approximately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included in Accrued expenses and other current liabilities on the Consolidated Balance Sheets.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commitments: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sponsors a 401(k) defined contribution plan covering all eligible U.S. employees. Contributions to the 401(k) plan are discretionary. The Company did not make any matching contributions to the 401(k) plan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Contingencies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discloses contingent liabilities even if the liability is not probable or estimable, or both, if there is a reasonable possibility a material loss may have been incurred.</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Delaware Stockholder Litigation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May 16, 2024, a punitive class action lawsuit was filed in the Delaware Court of Chancery, styled Farzad v. HighCape Capital, et al. (the “Delaware Stockholder Litigation”). The Delaware Stockholder Litigation asserts breach of fiduciary duty claims against the former officers and directors of HighCape, including Kevin Rakin, Matt Zuga, David Colpman, Robert Taub and Antony Loebel, HighCape Capital Acquisition LLC and HighCape Capital L.P.; aiding and abetting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69240"/>
                <wp:effectExtent l="0" t="0" r="0" b="0"/>
                <wp:wrapNone/>
                <wp:docPr id="120" name="Frame11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111</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breach of fiduciary duty claims against Foresite Capital Management, LLC and Dr. Rothberg; and unjust enrichment claims against all defendants related to the Business Combination. The Delaware Stockholder Litigation complaint alleges that the transactions contemplated by the Business Combination were a product of an unfair process which was allegedly impacted by conflicts of interest, resulting in mispricing of the Business Combination. Quantum-Si, as part of the Business Combination, had previously agreed to indemnify certain of the defendants related to actions such as the Delaware Stockholder Litigation to the extent allowable by law.</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July 22, 2025, the parties of the Delaware Stockholder Litigation, through a mediation process, reached a preliminary settlement. As a result,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 recorded a gross Accrued legal settlement liability of $8.0 million and a $4.6 million Legal settlement insurance receivable in the Consolidated Balance Sheets and associated legal settlement fees of $3.4 million in Legal settlement, net of insurance proceeds, in the Consolidated Statements of Operations and Comprehensive Loss during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Of the $8.0 million accrued liability, $7.6 million represents the preliminary legal settlement amount and $0.4 million is an estimate of legal and related expenses to finalize the legal settlement.</w:t>
      </w:r>
    </w:p>
    <w:p>
      <w:pPr>
        <w:pStyle w:val="TextBody"/>
        <w:bidi w:val="0"/>
        <w:spacing w:lineRule="auto" w:line="288" w:before="240" w:after="283"/>
        <w:jc w:val="both"/>
        <w:rPr/>
      </w:pPr>
      <w:r>
        <w:rPr>
          <w:rFonts w:ascii="Times New Roman;serif" w:hAnsi="Times New Roman;serif"/>
          <w:b w:val="false"/>
          <w:color w:val="000000"/>
          <w:sz w:val="20"/>
          <w:shd w:fill="FFFFFF" w:val="clear"/>
        </w:rPr>
        <w:t>On December 23, 2025, a Stipulation and Agreement of Compromise, Settlement, and Release in relation to the Delaware Stockholder Litigation (the “Settlement Agreement”) was executed.</w:t>
      </w:r>
      <w:r>
        <w:rPr>
          <w:color w:val="000000"/>
        </w:rPr>
        <w:t xml:space="preserve"> </w:t>
      </w:r>
      <w:r>
        <w:rPr>
          <w:rFonts w:ascii="Times New Roman;serif" w:hAnsi="Times New Roman;serif"/>
          <w:b w:val="false"/>
          <w:color w:val="000000"/>
          <w:sz w:val="20"/>
          <w:shd w:fill="FFFFFF" w:val="clear"/>
        </w:rPr>
        <w:t>This Settlement Agreement is subject to the completion of a number of court procedural processes, including final court approval, which is scheduled for March 27, 2026. The Company has deemed these remaining court procedural processes as probable of occurring.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Contract Manufacturer Matter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April 2023, the Company informed the contract manufacturer that had manufactured the Platinum and another development product, Carbon™, that it intended to wind down the relationship and transition to a different contract manufacturer. In October 2023, the former contract manufacturer filed a complaint against the Company in the State of Texas alleging breach of contract and made claims for economic damage and attorney costs. In January 2024, the suit was withdrawn and refiled in the State of Minnesota alleging similar claims. The Company denied all liability and countersued alleging claims of negligence. In August 2025, the Company paid $1.8 million to the former contract manufacturer to settle and discharge all claims. This amount is included in Legal settlement expense, net of insurance proceeds, in the Consolidated Statements of Operations and Comprehensive Loss.</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Winchester Mutual Release Agreement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December </w:t>
      </w:r>
      <w:r>
        <w:rPr>
          <w:rFonts w:ascii="Times New Roman;serif" w:hAnsi="Times New Roman;serif"/>
          <w:b w:val="false"/>
          <w:color w:val="000000"/>
          <w:sz w:val="20"/>
        </w:rPr>
        <w:t>2021</w:t>
      </w:r>
      <w:r>
        <w:rPr>
          <w:rFonts w:ascii="Times New Roman;serif" w:hAnsi="Times New Roman;serif"/>
          <w:b w:val="false"/>
          <w:color w:val="000000"/>
          <w:sz w:val="20"/>
          <w:shd w:fill="FFFFFF" w:val="clear"/>
        </w:rPr>
        <w:t xml:space="preserve">, the Company signed a 10-year </w:t>
      </w:r>
      <w:r>
        <w:rPr>
          <w:rFonts w:ascii="Times New Roman;serif" w:hAnsi="Times New Roman;serif"/>
          <w:b w:val="false"/>
          <w:color w:val="000000"/>
          <w:sz w:val="20"/>
        </w:rPr>
        <w:t>lease with Winchester Office LLC (“Winchester”) as landlord (the “Lease Agreement”) for approximately</w:t>
      </w:r>
      <w:r>
        <w:rPr>
          <w:color w:val="000000"/>
          <w:shd w:fill="FFFFFF" w:val="clear"/>
        </w:rPr>
        <w:t xml:space="preserve"> </w:t>
      </w:r>
      <w:r>
        <w:rPr>
          <w:rFonts w:ascii="Times New Roman;serif" w:hAnsi="Times New Roman;serif"/>
          <w:b w:val="false"/>
          <w:color w:val="000000"/>
          <w:sz w:val="20"/>
          <w:shd w:fill="FFFFFF" w:val="clear"/>
        </w:rPr>
        <w:t xml:space="preserve">67,000 square feet of space in New Haven, Connecticut </w:t>
      </w:r>
      <w:r>
        <w:rPr>
          <w:rFonts w:ascii="Times New Roman;serif" w:hAnsi="Times New Roman;serif"/>
          <w:b w:val="false"/>
          <w:color w:val="000000"/>
          <w:sz w:val="20"/>
        </w:rPr>
        <w:t>(the “Premises”)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lease commenced on January 8, 2022 with rent payments beginning on July 7, 2022 and an original lease expiration date of July 31, 2032. Under the lease, Winchester contractually agreed to reimburse the Company for up to </w:t>
      </w:r>
      <w:r>
        <w:rPr>
          <w:rFonts w:ascii="Times New Roman;serif" w:hAnsi="Times New Roman;serif"/>
          <w:b w:val="false"/>
          <w:color w:val="000000"/>
          <w:sz w:val="20"/>
          <w:shd w:fill="FFFFFF" w:val="clear"/>
        </w:rPr>
        <w:t xml:space="preserve">$9.1 million </w:t>
      </w:r>
      <w:r>
        <w:rPr>
          <w:rFonts w:ascii="Times New Roman;serif" w:hAnsi="Times New Roman;serif"/>
          <w:b w:val="false"/>
          <w:color w:val="000000"/>
          <w:sz w:val="20"/>
        </w:rPr>
        <w:t>in improvements to the space, to be used for such improvements as the Company deems “necessary or desirable”. On September 13, 2022, the Company filed a lawsuit against Winchester, alleging that Winchester had: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On September 23, 2025, the Company and Winchester entered into the Mutual Release Agreement in connection with the Lease Agreement. Pursuant to the Mutual Release Agreement, the Company and Winchester agreed to terminate the Lease Agreement, effective as of September 23, 2025 (the “Early Termination Date”), subject to the terms and conditions therein. The Mutual Release Agreement provided that the Company surrender the Premises on or prior to the Early Termination Date. The Company had no further rent obligations after the Early Termination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recorded $13.6 million of total Lease termination expense, net, in the Consolidated Statements of Operations and Comprehensive Loss related to the Mutual Release Agreement. Included in this amount is (i) consideration for Winchester’s agreement to terminate the Lease Agreement as of the Early Termination Date and settle all disputes between the parties in the gross amount of $11.0 million, less the surrender of a $0.6 million security deposit and a $0.2 million credit for the monthly recurring charges incurred for September 2025, resulting in a net cash payment of $10.2 million, (ii) the write-off of tenant improvement construction costs, which were not placed in service and which were included in construction in process within Property and equipment, net, on the Consolidated Balance Sheets, resulting in a loss of $1.2 million, (iii) the derecognition of $1.7 million of net operating lease right-of-use assets and related lease liabilities, and, (iv) the write-off related to the surrender of the $0.6 million security deposit.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69240"/>
                <wp:effectExtent l="0" t="0" r="0" b="0"/>
                <wp:wrapNone/>
                <wp:docPr id="121" name="Frame112"/>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112</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Indemnification Provisions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Consolidated Statements of Operations and Comprehensive Loss in connection with the indemnification provisions have not been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69240"/>
                <wp:effectExtent l="0" t="0" r="0" b="0"/>
                <wp:wrapNone/>
                <wp:docPr id="122" name="Frame113"/>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113</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Disclosure controls and procedures are controls and other procedures designed to ensure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our disclosure controls and procedures were effective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Management’s Annual Report on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Our management is responsible for establishing and maintaining adequate internal control over financial reporting, as defined in Rules 13a-15(f) and 15d-15(f) under the Exchange Act. Under the supervision and with the participation of our management, including our principal executive officer and principal financial officer, we conducted an evaluation of the effectiveness of our internal control over financial reporting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based on the guidelines established in the Internal Control—Integrated Framework (2013 framework) issued by the Committee of Sponsoring Organizations of the Treadway Commission (“COSO”). Internal control over financial reporting includes policies and procedures that provide reasonable assurance regarding the reliability of financial reporting and the preparation of financial statements for external reporting purposes in accordance with U.S. generally accepted accounting principles.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Based on the results of its evaluation, management concluded our internal control over financial reporting was effective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Annual Report does not include an attestation report of the Company’s independent registered public accounting firm because we are a “non-accelerated filer,” and may take advantage of certain exemptions from various reporting requirements that are applicable to public companies that are accelerated filers, including, but not limited to, not being required to comply with the auditor attestation requirements of Section 404(b) of the Sarbanes-Oxley Act.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were no changes in our internal control over financial reporting during the quarter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69240"/>
                <wp:effectExtent l="0" t="0" r="0" b="0"/>
                <wp:wrapNone/>
                <wp:docPr id="123" name="Frame114"/>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114</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10b5-1 Trading Arrangements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From time to time, our officers (as defined in Rule 16a-1(f) of the Exchange Act) and directors may enter into Rule 10b5-1 or non-Rule 10b5-1 trading arrangements (as each such term is defined in Item 408 of Regulation S-K). During the three months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none of our officers or directors adopted, modified or terminated any such trading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response to this item is incorporated by reference from the discussion responsive thereto under the headings “Management and Corporate Governance” and “Code of Conduct and Ethics” in our proxy statement for the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annual meeting of stockholders (the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response to this item is incorporated by reference from the discussion responsive thereto under the heading “Executive Officer and Director Compensation” in our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response to this item is incorporated by reference from the discussion responsive thereto under the headings “Security Ownership of Certain Beneficial Owners and Management” and “Equity Compensation Plan Information” in our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response to this item is incorporated by reference from the discussion responsive thereto under the headings “Certain Relationships and Related Person Transactions” and “Management and Corporate Governance” in our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response to this item is incorporated by reference from the discussion responsive thereto under the heading “Ratification of Selection of Independent Registered Public Accounting Firm” in our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69240"/>
                <wp:effectExtent l="0" t="0" r="0" b="0"/>
                <wp:wrapNone/>
                <wp:docPr id="124" name="Frame115"/>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115</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83"/>
        <w:ind w:left="0" w:right="0" w:hanging="27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The following documents are filed as part of this Annual Report on Form 10-K:</w:t>
      </w:r>
    </w:p>
    <w:p>
      <w:pPr>
        <w:pStyle w:val="TextBody"/>
        <w:bidi w:val="0"/>
        <w:spacing w:lineRule="auto" w:line="288" w:before="24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(i)Financial Statements (included in Item 8 of this Annual Report on Form 10-K):</w:t>
      </w:r>
    </w:p>
    <w:p>
      <w:pPr>
        <w:pStyle w:val="TextBody"/>
        <w:bidi w:val="0"/>
        <w:spacing w:lineRule="auto" w:line="288" w:before="240" w:after="283"/>
        <w:ind w:left="0" w:right="0" w:firstLine="81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Consolidated Financial Statements of the Company and the Reports of PricewaterhouseCoopers LLP and Deloitte &amp; Touche LLP, Independent Registered Public Accounting Firms, are included in Part II, Item 8 of this Annual Report on Form 10-K:</w:t>
      </w:r>
    </w:p>
    <w:p>
      <w:pPr>
        <w:pStyle w:val="TextBody"/>
        <w:bidi w:val="0"/>
        <w:spacing w:lineRule="auto" w:line="288" w:before="240" w:after="283"/>
        <w:ind w:left="0" w:right="0" w:hanging="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1.Reports of Independent Registered Public Accounting Firms - Pricewaterhouse Coopers LLC and Deloitte &amp; Touche LLP</w:t>
      </w:r>
    </w:p>
    <w:p>
      <w:pPr>
        <w:pStyle w:val="TextBody"/>
        <w:bidi w:val="0"/>
        <w:spacing w:lineRule="auto" w:line="288" w:before="240" w:after="283"/>
        <w:ind w:left="0" w:right="0" w:firstLine="810"/>
        <w:jc w:val="both"/>
        <w:rPr/>
      </w:pPr>
      <w:r>
        <w:rPr>
          <w:rFonts w:ascii="Times New Roman;serif" w:hAnsi="Times New Roman;serif"/>
          <w:b w:val="false"/>
          <w:color w:val="000000"/>
          <w:sz w:val="20"/>
          <w:shd w:fill="FFFFFF" w:val="clear"/>
        </w:rPr>
        <w:t xml:space="preserve">2.Consolidated Balance Sheets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p>
    <w:p>
      <w:pPr>
        <w:pStyle w:val="TextBody"/>
        <w:bidi w:val="0"/>
        <w:spacing w:lineRule="auto" w:line="288" w:before="240" w:after="283"/>
        <w:ind w:left="0" w:right="0" w:hanging="720"/>
        <w:jc w:val="both"/>
        <w:rPr/>
      </w:pPr>
      <w:r>
        <w:rPr>
          <w:rFonts w:ascii="Times New Roman;serif" w:hAnsi="Times New Roman;serif"/>
          <w:b w:val="false"/>
          <w:color w:val="000000"/>
          <w:sz w:val="20"/>
          <w:shd w:fill="FFFFFF" w:val="clear"/>
        </w:rPr>
        <w:t xml:space="preserve">3.Consolidated Statements of Operations and Comprehensive Loss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p>
    <w:p>
      <w:pPr>
        <w:pStyle w:val="TextBody"/>
        <w:bidi w:val="0"/>
        <w:spacing w:lineRule="auto" w:line="288" w:before="240" w:after="283"/>
        <w:ind w:left="0" w:right="0" w:hanging="720"/>
        <w:jc w:val="both"/>
        <w:rPr/>
      </w:pPr>
      <w:r>
        <w:rPr>
          <w:rFonts w:ascii="Times New Roman;serif" w:hAnsi="Times New Roman;serif"/>
          <w:b w:val="false"/>
          <w:color w:val="000000"/>
          <w:sz w:val="20"/>
          <w:shd w:fill="FFFFFF" w:val="clear"/>
        </w:rPr>
        <w:t xml:space="preserve">4.Consolidated Statements of Changes in Stockholders’ Equity (Deficit)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p>
    <w:p>
      <w:pPr>
        <w:pStyle w:val="TextBody"/>
        <w:bidi w:val="0"/>
        <w:spacing w:lineRule="auto" w:line="288" w:before="240" w:after="283"/>
        <w:ind w:left="0" w:right="0" w:firstLine="810"/>
        <w:jc w:val="both"/>
        <w:rPr/>
      </w:pPr>
      <w:r>
        <w:rPr>
          <w:rFonts w:ascii="Times New Roman;serif" w:hAnsi="Times New Roman;serif"/>
          <w:b w:val="false"/>
          <w:color w:val="000000"/>
          <w:sz w:val="20"/>
          <w:shd w:fill="FFFFFF" w:val="clear"/>
        </w:rPr>
        <w:t xml:space="preserve">5.Consolidated Statements of Cash Flows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p>
    <w:p>
      <w:pPr>
        <w:pStyle w:val="TextBody"/>
        <w:bidi w:val="0"/>
        <w:spacing w:lineRule="auto" w:line="288" w:before="240" w:after="283"/>
        <w:ind w:left="0" w:right="0" w:firstLine="81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6.Notes to the Consolidated Financial Statements</w:t>
      </w:r>
    </w:p>
    <w:p>
      <w:pPr>
        <w:pStyle w:val="TextBody"/>
        <w:bidi w:val="0"/>
        <w:spacing w:lineRule="auto" w:line="288" w:before="24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(ii)Financial Statement Schedules.</w:t>
      </w:r>
    </w:p>
    <w:p>
      <w:pPr>
        <w:pStyle w:val="TextBody"/>
        <w:bidi w:val="0"/>
        <w:spacing w:lineRule="auto" w:line="288" w:before="240" w:after="283"/>
        <w:ind w:left="0" w:right="0" w:firstLine="81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schedules are omitted because they are not applicable or the required information is shown in the Consolidated Financial Statements or the Notes thereto.</w:t>
      </w:r>
    </w:p>
    <w:p>
      <w:pPr>
        <w:pStyle w:val="TextBody"/>
        <w:bidi w:val="0"/>
        <w:spacing w:lineRule="auto" w:line="288" w:before="24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(iii)Exhibits.</w:t>
      </w:r>
    </w:p>
    <w:p>
      <w:pPr>
        <w:pStyle w:val="TextBody"/>
        <w:bidi w:val="0"/>
        <w:spacing w:lineRule="auto" w:line="288" w:before="240" w:after="283"/>
        <w:ind w:left="0" w:right="0" w:firstLine="81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exhibits required by Item 601 of Regulation S-K are listed in paragraph (b) below.</w:t>
      </w:r>
    </w:p>
    <w:p>
      <w:pPr>
        <w:pStyle w:val="TextBody"/>
        <w:bidi w:val="0"/>
        <w:spacing w:lineRule="auto" w:line="288" w:before="240" w:after="283"/>
        <w:ind w:left="0" w:right="0" w:hanging="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(b)Exhibits.</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herewith or are incorporated by reference to exhibits filed with the SEC:</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825"/>
        <w:gridCol w:w="1696"/>
        <w:gridCol w:w="1702"/>
        <w:gridCol w:w="109"/>
        <w:gridCol w:w="109"/>
        <w:gridCol w:w="109"/>
        <w:gridCol w:w="295"/>
        <w:gridCol w:w="295"/>
        <w:gridCol w:w="296"/>
        <w:gridCol w:w="109"/>
        <w:gridCol w:w="109"/>
        <w:gridCol w:w="109"/>
        <w:gridCol w:w="413"/>
        <w:gridCol w:w="413"/>
        <w:gridCol w:w="414"/>
        <w:gridCol w:w="109"/>
        <w:gridCol w:w="109"/>
        <w:gridCol w:w="109"/>
        <w:gridCol w:w="214"/>
        <w:gridCol w:w="214"/>
        <w:gridCol w:w="30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Incorporated </w:t>
              <w:br/>
              <w:t>by</w:t>
              <w:br/>
              <w:t xml:space="preserve">Reference </w:t>
              <w:br/>
              <w:t>Herein from</w:t>
              <w:br/>
              <w:t xml:space="preserve">Form or </w:t>
              <w:br/>
              <w:t>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Filing </w:t>
              <w:br/>
              <w:t>Date</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r:id="rId11">
              <w:r>
                <w:rPr>
                  <w:rStyle w:val="InternetLink"/>
                  <w:rFonts w:ascii="Times New Roman;serif" w:hAnsi="Times New Roman;serif"/>
                  <w:b w:val="false"/>
                  <w:color w:val="0000FF"/>
                  <w:sz w:val="20"/>
                  <w:u w:val="single"/>
                </w:rPr>
                <w:t>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Agreement, dated as of September 26, 2025, by and between Quantum-Si Incorporated and Leerink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S-3</w:t>
              <w:br/>
              <w:t>(Exhibit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9/26/2025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12">
              <w:r>
                <w:rPr>
                  <w:rStyle w:val="InternetLink"/>
                  <w:rFonts w:ascii="Times New Roman;serif" w:hAnsi="Times New Roman;serif"/>
                  <w:b w:val="false"/>
                  <w:color w:val="000080"/>
                  <w:sz w:val="20"/>
                  <w:u w:val="single"/>
                </w:rPr>
                <w:t>2.1</w:t>
              </w:r>
            </w:hyperlink>
            <w:hyperlink r:id="rId13">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 dated as of February 18, 2021, by and among Quantum-Si Incorporated (formerly HighCape Capital Acquisition Corp.), Clay Merger Sub, Inc., and Q-SI Operations Inc. (formerly Quantum-Si Incorporated).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2/18/2021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14">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Certificate of Incorporation of Quantum-Si Incorporated, as amended.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w:t>
              <w:br/>
              <w:t>(Exhibit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8/7/2024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15">
              <w:r>
                <w:rPr>
                  <w:rStyle w:val="InternetLink"/>
                  <w:rFonts w:ascii="Times New Roman;serif" w:hAnsi="Times New Roman;serif"/>
                  <w:b w:val="false"/>
                  <w:color w:val="000080"/>
                  <w:sz w:val="20"/>
                  <w:u w:val="single"/>
                </w:rPr>
                <w:t>3.</w:t>
              </w:r>
            </w:hyperlink>
            <w:hyperlink r:id="rId16">
              <w:r>
                <w:rPr>
                  <w:rStyle w:val="InternetLink"/>
                  <w:rFonts w:ascii="Times New Roman;serif" w:hAnsi="Times New Roman;serif"/>
                  <w:b w:val="false"/>
                  <w:color w:val="000080"/>
                  <w:sz w:val="20"/>
                  <w:u w:val="singl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Quantum-Si Incorporated.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25"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116</w:t>
                      </w:r>
                    </w:p>
                  </w:txbxContent>
                </v:textbox>
                <w10:wrap type="none"/>
              </v:rect>
            </w:pict>
          </mc:Fallback>
        </mc:AlternateContent>
      </w:r>
    </w:p>
    <w:p>
      <w:pPr>
        <w:pStyle w:val="TextBody"/>
        <w:bidi w:val="0"/>
        <w:spacing w:lineRule="auto" w:line="288" w:before="0" w:after="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71"/>
        <w:gridCol w:w="238"/>
        <w:gridCol w:w="247"/>
        <w:gridCol w:w="109"/>
        <w:gridCol w:w="109"/>
        <w:gridCol w:w="109"/>
        <w:gridCol w:w="2165"/>
        <w:gridCol w:w="2012"/>
        <w:gridCol w:w="2017"/>
        <w:gridCol w:w="109"/>
        <w:gridCol w:w="109"/>
        <w:gridCol w:w="109"/>
        <w:gridCol w:w="109"/>
        <w:gridCol w:w="109"/>
        <w:gridCol w:w="109"/>
        <w:gridCol w:w="109"/>
        <w:gridCol w:w="109"/>
        <w:gridCol w:w="109"/>
        <w:gridCol w:w="317"/>
        <w:gridCol w:w="317"/>
        <w:gridCol w:w="318"/>
        <w:gridCol w:w="109"/>
        <w:gridCol w:w="109"/>
        <w:gridCol w:w="109"/>
        <w:gridCol w:w="193"/>
        <w:gridCol w:w="193"/>
        <w:gridCol w:w="28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17">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2/29/2024</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18">
              <w:r>
                <w:rPr>
                  <w:rStyle w:val="InternetLink"/>
                  <w:rFonts w:ascii="Times New Roman;serif" w:hAnsi="Times New Roman;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Specimen Class A Common Stock Certificate.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S-4/A</w:t>
              <w:br/>
              <w:t>(Exhibit 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5/11/2021</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19">
              <w:r>
                <w:rPr>
                  <w:rStyle w:val="InternetLink"/>
                  <w:rFonts w:ascii="Times New Roman;serif" w:hAnsi="Times New Roman;serif"/>
                  <w:b w:val="false"/>
                  <w:color w:val="0000FF"/>
                  <w:sz w:val="20"/>
                  <w:u w:val="single"/>
                </w:rPr>
                <w:t>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Agreement, dated as of September 3, 2020, by and between Quantum-Si Incorporated (formerly HighCape Capital Acquisition Corp.) and Continental Stock Transfer &amp; Trust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9/9/2020</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20">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PIPE Investor Subscription Agreement for institutional investors, dated as of February 18, 2021, by and between Quantum-Si Incorporated (formerly HighCape Capital Acquisition Corp.) and the subscriber parties thereto.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2/18/2021</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21">
              <w:r>
                <w:rPr>
                  <w:rStyle w:val="InternetLink"/>
                  <w:rFonts w:ascii="Times New Roman;serif" w:hAnsi="Times New Roman;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PIPE Investor Subscription Agreement for accredited investors, dated as of February 18, 2021, by and between Quantum-Si Incorporated (formerly HighCape Capital Acquisition Corp.) and the subscriber parties thereto.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8-K/A</w:t>
              <w:br/>
              <w:t>(Exhibit 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2/19/2021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22">
              <w:r>
                <w:rPr>
                  <w:rStyle w:val="InternetLink"/>
                  <w:rFonts w:ascii="Times New Roman;serif" w:hAnsi="Times New Roman;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Subscription Agreement, dated as of February 18, 2021, by and between Quantum-Si Incorporated (formerly HighCape Capital Acquisition Corp.) and the Foresite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8-K/A</w:t>
              <w:br/>
              <w:t>(Exhibit 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2/19/2021</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23">
              <w:r>
                <w:rPr>
                  <w:rStyle w:val="InternetLink"/>
                  <w:rFonts w:ascii="Times New Roman;serif" w:hAnsi="Times New Roman;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Support Agreement, dated as of February 19, 2021, by and among Quantum-Si Incorporated (formerly HighCape Capital Acquisition Corp.), and certain supporting stockholders of Q-SI Operations Inc. (formerly Quantum-Si Incorporated).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2/23/2021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24">
              <w:r>
                <w:rPr>
                  <w:rStyle w:val="InternetLink"/>
                  <w:rFonts w:ascii="Times New Roman;serif" w:hAnsi="Times New Roman;serif"/>
                  <w:b w:val="false"/>
                  <w:color w:val="0000FF"/>
                  <w:sz w:val="20"/>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Sponsor Letter Agreement, dated as of February 18, 2021, by and among HighCape Capital Acquisition LLC, Deerfield Partners, L.P., Quantum-Si Incorporated (formerly HighCape Capital Acquisition Corp.) and Q-SI Operations Inc. (formerly Quantum-Si Incorporated).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2/18/2021</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25">
              <w:r>
                <w:rPr>
                  <w:rStyle w:val="InternetLink"/>
                  <w:rFonts w:ascii="Times New Roman;serif" w:hAnsi="Times New Roman;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 dated as of November 1, 2022, by and between Quantum-Si Incorporated and Jonathan M. Rothberg,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3/17/2023</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26">
              <w:r>
                <w:rPr>
                  <w:rStyle w:val="InternetLink"/>
                  <w:rFonts w:ascii="Times New Roman;serif" w:hAnsi="Times New Roman;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of Employment, dated as of October 2, 2022, by and between Quantum-Si Incorporated and Jeffrey Hawkins.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10/4/2022</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27">
              <w:r>
                <w:rPr>
                  <w:rStyle w:val="InternetLink"/>
                  <w:rFonts w:ascii="Times New Roman;serif" w:hAnsi="Times New Roman;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of Employment, dated as of April 27, 2023, by and between Quantum-Si Incorporated and Jeffry Keyes.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5/2/2023</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28">
              <w:r>
                <w:rPr>
                  <w:rStyle w:val="InternetLink"/>
                  <w:rFonts w:ascii="Times New Roman;serif" w:hAnsi="Times New Roman;serif"/>
                  <w:b w:val="false"/>
                  <w:color w:val="0000FF"/>
                  <w:sz w:val="20"/>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of Employment, dated as of November 4, 2020, by and between Q-SI Operations Inc. (formerly Quantum-Si Incorporated) and Christian LaPointe, Ph.D., as supplemented by the Letter Agreement, dated as of February 16, 2021, by and between Q-SI Operations Inc. and Christian LaPointe,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3/1/2022</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29">
              <w:r>
                <w:rPr>
                  <w:rStyle w:val="InternetLink"/>
                  <w:rFonts w:ascii="Times New Roman;serif" w:hAnsi="Times New Roman;serif"/>
                  <w:b w:val="false"/>
                  <w:color w:val="000080"/>
                  <w:sz w:val="20"/>
                  <w:u w:val="single"/>
                </w:rPr>
                <w:t>10.1</w:t>
              </w:r>
            </w:hyperlink>
            <w:hyperlink r:id="rId30">
              <w:r>
                <w:rPr>
                  <w:rStyle w:val="InternetLink"/>
                  <w:rFonts w:ascii="Times New Roman;serif" w:hAnsi="Times New Roman;serif"/>
                  <w:b w:val="false"/>
                  <w:color w:val="000080"/>
                  <w:sz w:val="20"/>
                  <w:u w:val="single"/>
                </w:rPr>
                <w:t>0</w:t>
              </w:r>
            </w:hyperlink>
            <w:hyperlink r:id="rId31">
              <w:r>
                <w:rPr>
                  <w:rStyle w:val="InternetLink"/>
                  <w:rFonts w:ascii="Times New Roman;serif" w:hAnsi="Times New Roman;serif"/>
                  <w:b w:val="false"/>
                  <w:color w:val="000080"/>
                  <w:sz w:val="20"/>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Quantum-Si Incorporated 2021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6/15/2021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32">
              <w:r>
                <w:rPr>
                  <w:rStyle w:val="InternetLink"/>
                  <w:rFonts w:ascii="Times New Roman;serif" w:hAnsi="Times New Roman;serif"/>
                  <w:b w:val="false"/>
                  <w:color w:val="000080"/>
                  <w:sz w:val="20"/>
                  <w:u w:val="single"/>
                </w:rPr>
                <w:t>10.1</w:t>
              </w:r>
            </w:hyperlink>
            <w:hyperlink r:id="rId33">
              <w:r>
                <w:rPr>
                  <w:rStyle w:val="InternetLink"/>
                  <w:rFonts w:ascii="Times New Roman;serif" w:hAnsi="Times New Roman;serif"/>
                  <w:b w:val="false"/>
                  <w:color w:val="000080"/>
                  <w:sz w:val="20"/>
                  <w:u w:val="single"/>
                </w:rPr>
                <w:t>0</w:t>
              </w:r>
            </w:hyperlink>
            <w:hyperlink r:id="rId34">
              <w:r>
                <w:rPr>
                  <w:rStyle w:val="InternetLink"/>
                  <w:rFonts w:ascii="Times New Roman;serif" w:hAnsi="Times New Roman;serif"/>
                  <w:b w:val="false"/>
                  <w:color w:val="000080"/>
                  <w:sz w:val="20"/>
                  <w:u w:val="singl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Option Agreement under 2021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6/15/2021</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35">
              <w:r>
                <w:rPr>
                  <w:rStyle w:val="InternetLink"/>
                  <w:rFonts w:ascii="Times New Roman;serif" w:hAnsi="Times New Roman;serif"/>
                  <w:b w:val="false"/>
                  <w:color w:val="000080"/>
                  <w:sz w:val="20"/>
                  <w:u w:val="single"/>
                </w:rPr>
                <w:t>10.1</w:t>
              </w:r>
            </w:hyperlink>
            <w:hyperlink r:id="rId36">
              <w:r>
                <w:rPr>
                  <w:rStyle w:val="InternetLink"/>
                  <w:rFonts w:ascii="Times New Roman;serif" w:hAnsi="Times New Roman;serif"/>
                  <w:b w:val="false"/>
                  <w:color w:val="000080"/>
                  <w:sz w:val="20"/>
                  <w:u w:val="single"/>
                </w:rPr>
                <w:t>0</w:t>
              </w:r>
            </w:hyperlink>
            <w:hyperlink r:id="rId37">
              <w:r>
                <w:rPr>
                  <w:rStyle w:val="InternetLink"/>
                  <w:rFonts w:ascii="Times New Roman;serif" w:hAnsi="Times New Roman;serif"/>
                  <w:b w:val="false"/>
                  <w:color w:val="000080"/>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Restricted Stock Unit Agreement under 2021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10.13.3+)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2/29/2024</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38">
              <w:r>
                <w:rPr>
                  <w:rStyle w:val="InternetLink"/>
                  <w:rFonts w:ascii="Times New Roman;serif" w:hAnsi="Times New Roman;serif"/>
                  <w:b w:val="false"/>
                  <w:color w:val="000080"/>
                  <w:sz w:val="20"/>
                  <w:u w:val="single"/>
                </w:rPr>
                <w:t>10.1</w:t>
              </w:r>
            </w:hyperlink>
            <w:hyperlink r:id="rId39">
              <w:r>
                <w:rPr>
                  <w:rStyle w:val="InternetLink"/>
                  <w:rFonts w:ascii="Times New Roman;serif" w:hAnsi="Times New Roman;serif"/>
                  <w:b w:val="false"/>
                  <w:color w:val="000080"/>
                  <w:sz w:val="20"/>
                  <w:u w:val="single"/>
                </w:rPr>
                <w:t>1</w:t>
              </w:r>
            </w:hyperlink>
            <w:hyperlink r:id="rId40">
              <w:r>
                <w:rPr>
                  <w:rStyle w:val="InternetLink"/>
                  <w:rFonts w:ascii="Times New Roman;serif" w:hAnsi="Times New Roman;serif"/>
                  <w:b w:val="false"/>
                  <w:color w:val="000080"/>
                  <w:sz w:val="20"/>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Q-SI Operations Inc. 2013 Employee, Director and Consultant Equity Incentive Plan, as amended.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6/15/2021</w:t>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41">
              <w:r>
                <w:rPr>
                  <w:rStyle w:val="InternetLink"/>
                  <w:rFonts w:ascii="Times New Roman;serif" w:hAnsi="Times New Roman;serif"/>
                  <w:b w:val="false"/>
                  <w:color w:val="000080"/>
                  <w:sz w:val="20"/>
                  <w:u w:val="single"/>
                </w:rPr>
                <w:t>10.1</w:t>
              </w:r>
            </w:hyperlink>
            <w:hyperlink r:id="rId42">
              <w:r>
                <w:rPr>
                  <w:rStyle w:val="InternetLink"/>
                  <w:rFonts w:ascii="Times New Roman;serif" w:hAnsi="Times New Roman;serif"/>
                  <w:b w:val="false"/>
                  <w:color w:val="000080"/>
                  <w:sz w:val="20"/>
                  <w:u w:val="single"/>
                </w:rPr>
                <w:t>1</w:t>
              </w:r>
            </w:hyperlink>
            <w:hyperlink r:id="rId43">
              <w:r>
                <w:rPr>
                  <w:rStyle w:val="InternetLink"/>
                  <w:rFonts w:ascii="Times New Roman;serif" w:hAnsi="Times New Roman;serif"/>
                  <w:b w:val="false"/>
                  <w:color w:val="000080"/>
                  <w:sz w:val="20"/>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Option Agreement under 2013 Employee, Director and Consultant Equity Incentive Plan, as amended.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6/15/2021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44">
              <w:r>
                <w:rPr>
                  <w:rStyle w:val="InternetLink"/>
                  <w:rFonts w:ascii="Times New Roman;serif" w:hAnsi="Times New Roman;serif"/>
                  <w:b w:val="false"/>
                  <w:color w:val="000080"/>
                  <w:sz w:val="20"/>
                  <w:u w:val="single"/>
                </w:rPr>
                <w:t>10.1</w:t>
              </w:r>
            </w:hyperlink>
            <w:hyperlink r:id="rId45">
              <w:r>
                <w:rPr>
                  <w:rStyle w:val="InternetLink"/>
                  <w:rFonts w:ascii="Times New Roman;serif" w:hAnsi="Times New Roman;serif"/>
                  <w:b w:val="false"/>
                  <w:color w:val="000080"/>
                  <w:sz w:val="20"/>
                  <w:u w:val="single"/>
                </w:rPr>
                <w:t>1</w:t>
              </w:r>
            </w:hyperlink>
            <w:hyperlink r:id="rId46">
              <w:r>
                <w:rPr>
                  <w:rStyle w:val="InternetLink"/>
                  <w:rFonts w:ascii="Times New Roman;serif" w:hAnsi="Times New Roman;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Restricted Stock Unit Agreement under 2013 Employee, Director and Consultant Equity Incentive Plan, as amended.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6/15/2021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26"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117</w:t>
                      </w:r>
                    </w:p>
                  </w:txbxContent>
                </v:textbox>
                <w10:wrap type="none"/>
              </v:rect>
            </w:pict>
          </mc:Fallback>
        </mc:AlternateContent>
      </w:r>
    </w:p>
    <w:p>
      <w:pPr>
        <w:pStyle w:val="TextBody"/>
        <w:bidi w:val="0"/>
        <w:spacing w:lineRule="auto" w:line="288" w:before="0" w:after="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76"/>
        <w:gridCol w:w="242"/>
        <w:gridCol w:w="246"/>
        <w:gridCol w:w="109"/>
        <w:gridCol w:w="109"/>
        <w:gridCol w:w="109"/>
        <w:gridCol w:w="2244"/>
        <w:gridCol w:w="1929"/>
        <w:gridCol w:w="1932"/>
        <w:gridCol w:w="109"/>
        <w:gridCol w:w="109"/>
        <w:gridCol w:w="109"/>
        <w:gridCol w:w="109"/>
        <w:gridCol w:w="109"/>
        <w:gridCol w:w="109"/>
        <w:gridCol w:w="109"/>
        <w:gridCol w:w="109"/>
        <w:gridCol w:w="109"/>
        <w:gridCol w:w="325"/>
        <w:gridCol w:w="325"/>
        <w:gridCol w:w="327"/>
        <w:gridCol w:w="109"/>
        <w:gridCol w:w="109"/>
        <w:gridCol w:w="109"/>
        <w:gridCol w:w="210"/>
        <w:gridCol w:w="210"/>
        <w:gridCol w:w="304"/>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47">
              <w:r>
                <w:rPr>
                  <w:rStyle w:val="InternetLink"/>
                  <w:rFonts w:ascii="Times New Roman;serif" w:hAnsi="Times New Roman;serif"/>
                  <w:b w:val="false"/>
                  <w:color w:val="000080"/>
                  <w:sz w:val="20"/>
                  <w:u w:val="single"/>
                </w:rPr>
                <w:t>10.1</w:t>
              </w:r>
            </w:hyperlink>
            <w:hyperlink r:id="rId48">
              <w:r>
                <w:rPr>
                  <w:rStyle w:val="InternetLink"/>
                  <w:rFonts w:ascii="Times New Roman;serif" w:hAnsi="Times New Roman;serif"/>
                  <w:b w:val="false"/>
                  <w:color w:val="000080"/>
                  <w:sz w:val="20"/>
                  <w:u w:val="single"/>
                </w:rPr>
                <w:t>2</w:t>
              </w:r>
            </w:hyperlink>
            <w:hyperlink r:id="rId49">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Performance-Based Non-Qualified Stock Option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w:t>
              <w:br/>
              <w:t>(Exhibit 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11/10/2022</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50">
              <w:r>
                <w:rPr>
                  <w:rStyle w:val="InternetLink"/>
                  <w:rFonts w:ascii="Times New Roman;serif" w:hAnsi="Times New Roman;serif"/>
                  <w:b w:val="false"/>
                  <w:color w:val="000080"/>
                  <w:sz w:val="20"/>
                  <w:u w:val="single"/>
                </w:rPr>
                <w:t>10.1</w:t>
              </w:r>
            </w:hyperlink>
            <w:hyperlink r:id="rId51">
              <w:r>
                <w:rPr>
                  <w:rStyle w:val="InternetLink"/>
                  <w:rFonts w:ascii="Times New Roman;serif" w:hAnsi="Times New Roman;serif"/>
                  <w:b w:val="false"/>
                  <w:color w:val="000080"/>
                  <w:sz w:val="20"/>
                  <w:u w:val="single"/>
                </w:rPr>
                <w:t>3</w:t>
              </w:r>
            </w:hyperlink>
            <w:hyperlink r:id="rId52">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Nonemployee Director Compensation Policy.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2/29/2024</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53">
              <w:r>
                <w:rPr>
                  <w:rStyle w:val="InternetLink"/>
                  <w:rFonts w:ascii="Times New Roman;serif" w:hAnsi="Times New Roman;serif"/>
                  <w:b w:val="false"/>
                  <w:color w:val="000080"/>
                  <w:sz w:val="20"/>
                  <w:u w:val="single"/>
                </w:rPr>
                <w:t>10.1</w:t>
              </w:r>
            </w:hyperlink>
            <w:hyperlink r:id="rId54">
              <w:r>
                <w:rPr>
                  <w:rStyle w:val="InternetLink"/>
                  <w:rFonts w:ascii="Times New Roman;serif" w:hAnsi="Times New Roman;serif"/>
                  <w:b w:val="false"/>
                  <w:color w:val="000080"/>
                  <w:sz w:val="20"/>
                  <w:u w:val="single"/>
                </w:rPr>
                <w:t>4</w:t>
              </w:r>
            </w:hyperlink>
            <w:hyperlink r:id="rId55">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6/15/2021</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56">
              <w:r>
                <w:rPr>
                  <w:rStyle w:val="InternetLink"/>
                  <w:rFonts w:ascii="Times New Roman;serif" w:hAnsi="Times New Roman;serif"/>
                  <w:b w:val="false"/>
                  <w:color w:val="000080"/>
                  <w:sz w:val="20"/>
                  <w:u w:val="single"/>
                </w:rPr>
                <w:t>10.1</w:t>
              </w:r>
            </w:hyperlink>
            <w:hyperlink r:id="rId57">
              <w:r>
                <w:rPr>
                  <w:rStyle w:val="InternetLink"/>
                  <w:rFonts w:ascii="Times New Roman;serif" w:hAnsi="Times New Roman;serif"/>
                  <w:b w:val="false"/>
                  <w:color w:val="000080"/>
                  <w:sz w:val="20"/>
                  <w:u w:val="single"/>
                </w:rPr>
                <w:t>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Registration Rights Agreement, dated as of June 10, 2021, by and among Quantum-Si Incorporated (formerly HighCape Capital Acquisition Corp.) and certain of its securityholders.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6/15/2021</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58">
              <w:r>
                <w:rPr>
                  <w:rStyle w:val="InternetLink"/>
                  <w:rFonts w:ascii="Times New Roman;serif" w:hAnsi="Times New Roman;serif"/>
                  <w:b w:val="false"/>
                  <w:color w:val="000080"/>
                  <w:sz w:val="20"/>
                  <w:u w:val="single"/>
                </w:rPr>
                <w:t>10.1</w:t>
              </w:r>
            </w:hyperlink>
            <w:hyperlink r:id="rId59">
              <w:r>
                <w:rPr>
                  <w:rStyle w:val="InternetLink"/>
                  <w:rFonts w:ascii="Times New Roman;serif" w:hAnsi="Times New Roman;serif"/>
                  <w:b w:val="false"/>
                  <w:color w:val="000080"/>
                  <w:sz w:val="20"/>
                  <w:u w:val="single"/>
                </w:rPr>
                <w:t>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Agreement between Quantum-Si Incorporated and BP3-SD5 5510 Morehouse Drive LLC, dated June 18,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6/24/2021</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60">
              <w:r>
                <w:rPr>
                  <w:rStyle w:val="InternetLink"/>
                  <w:rFonts w:ascii="Times New Roman;serif" w:hAnsi="Times New Roman;serif"/>
                  <w:b w:val="false"/>
                  <w:color w:val="000080"/>
                  <w:sz w:val="20"/>
                  <w:u w:val="single"/>
                </w:rPr>
                <w:t>10.</w:t>
              </w:r>
            </w:hyperlink>
            <w:hyperlink r:id="rId61">
              <w:r>
                <w:rPr>
                  <w:rStyle w:val="InternetLink"/>
                  <w:rFonts w:ascii="Times New Roman;serif" w:hAnsi="Times New Roman;serif"/>
                  <w:b w:val="false"/>
                  <w:color w:val="000080"/>
                  <w:sz w:val="20"/>
                  <w:u w:val="single"/>
                </w:rPr>
                <w:t>17</w:t>
              </w:r>
            </w:hyperlink>
            <w:hyperlink r:id="rId62">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Mutual Release Agreement, dated September 23, 2025, by and between Quantum-Si Incorporated and Winchester Office,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9/26/2025</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quantum-siseveranceplan.htm">
              <w:r>
                <w:rPr>
                  <w:rStyle w:val="InternetLink"/>
                  <w:rFonts w:ascii="Times New Roman;serif" w:hAnsi="Times New Roman;serif"/>
                  <w:b w:val="false"/>
                  <w:color w:val="0000FF"/>
                  <w:sz w:val="20"/>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Quantum-Si Incorporated Executive Severance Plan, effective November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63">
              <w:r>
                <w:rPr>
                  <w:rStyle w:val="InternetLink"/>
                  <w:rFonts w:ascii="Times New Roman;serif" w:hAnsi="Times New Roman;serif"/>
                  <w:b w:val="false"/>
                  <w:color w:val="000080"/>
                  <w:sz w:val="20"/>
                  <w:u w:val="single"/>
                </w:rPr>
                <w:t>10.</w:t>
              </w:r>
            </w:hyperlink>
            <w:hyperlink r:id="rId64">
              <w:r>
                <w:rPr>
                  <w:rStyle w:val="InternetLink"/>
                  <w:rFonts w:ascii="Times New Roman;serif" w:hAnsi="Times New Roman;serif"/>
                  <w:b w:val="false"/>
                  <w:color w:val="000080"/>
                  <w:sz w:val="20"/>
                  <w:u w:val="single"/>
                </w:rPr>
                <w:t>19</w:t>
              </w:r>
            </w:hyperlink>
            <w:hyperlink r:id="rId65">
              <w:r>
                <w:rPr>
                  <w:rStyle w:val="InternetLink"/>
                  <w:rFonts w:ascii="Times New Roman;serif" w:hAnsi="Times New Roman;serif"/>
                  <w:b w:val="false"/>
                  <w:color w:val="000080"/>
                  <w:sz w:val="20"/>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Inducement Equity Incentive Plan, as amended.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w:t>
              <w:br/>
              <w:t>(Exhibit 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66">
              <w:r>
                <w:rPr>
                  <w:rStyle w:val="InternetLink"/>
                  <w:rFonts w:ascii="Times New Roman;serif" w:hAnsi="Times New Roman;serif"/>
                  <w:b w:val="false"/>
                  <w:color w:val="000080"/>
                  <w:sz w:val="20"/>
                  <w:u w:val="single"/>
                </w:rPr>
                <w:t>10.</w:t>
              </w:r>
            </w:hyperlink>
            <w:hyperlink r:id="rId67">
              <w:r>
                <w:rPr>
                  <w:rStyle w:val="InternetLink"/>
                  <w:rFonts w:ascii="Times New Roman;serif" w:hAnsi="Times New Roman;serif"/>
                  <w:b w:val="false"/>
                  <w:color w:val="000080"/>
                  <w:sz w:val="20"/>
                  <w:u w:val="single"/>
                </w:rPr>
                <w:t>19</w:t>
              </w:r>
            </w:hyperlink>
            <w:hyperlink r:id="rId68">
              <w:r>
                <w:rPr>
                  <w:rStyle w:val="InternetLink"/>
                  <w:rFonts w:ascii="Times New Roman;serif" w:hAnsi="Times New Roman;serif"/>
                  <w:b w:val="false"/>
                  <w:color w:val="000080"/>
                  <w:sz w:val="20"/>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Restricted Stock Agreement under the 2023 Inducement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w:t>
              <w:br/>
              <w:t>(Exhibit 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69">
              <w:r>
                <w:rPr>
                  <w:rStyle w:val="InternetLink"/>
                  <w:rFonts w:ascii="Times New Roman;serif" w:hAnsi="Times New Roman;serif"/>
                  <w:b w:val="false"/>
                  <w:color w:val="000080"/>
                  <w:sz w:val="20"/>
                  <w:u w:val="single"/>
                </w:rPr>
                <w:t>10.</w:t>
              </w:r>
            </w:hyperlink>
            <w:hyperlink r:id="rId70">
              <w:r>
                <w:rPr>
                  <w:rStyle w:val="InternetLink"/>
                  <w:rFonts w:ascii="Times New Roman;serif" w:hAnsi="Times New Roman;serif"/>
                  <w:b w:val="false"/>
                  <w:color w:val="000080"/>
                  <w:sz w:val="20"/>
                  <w:u w:val="single"/>
                </w:rPr>
                <w:t>19</w:t>
              </w:r>
            </w:hyperlink>
            <w:hyperlink r:id="rId71">
              <w:r>
                <w:rPr>
                  <w:rStyle w:val="InternetLink"/>
                  <w:rFonts w:ascii="Times New Roman;serif" w:hAnsi="Times New Roman;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Option Agreement under the 2023 Inducement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w:t>
              <w:br/>
              <w:t>(Exhibit 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7/20/2023</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72">
              <w:r>
                <w:rPr>
                  <w:rStyle w:val="InternetLink"/>
                  <w:rFonts w:ascii="Times New Roman;serif" w:hAnsi="Times New Roman;serif"/>
                  <w:b w:val="false"/>
                  <w:color w:val="000080"/>
                  <w:sz w:val="20"/>
                  <w:u w:val="single"/>
                </w:rPr>
                <w:t>10.2</w:t>
              </w:r>
            </w:hyperlink>
            <w:hyperlink r:id="rId73">
              <w:r>
                <w:rPr>
                  <w:rStyle w:val="InternetLink"/>
                  <w:rFonts w:ascii="Times New Roman;serif" w:hAnsi="Times New Roman;serif"/>
                  <w:b w:val="false"/>
                  <w:color w:val="000080"/>
                  <w:sz w:val="20"/>
                  <w:u w:val="single"/>
                </w:rPr>
                <w:t>0</w:t>
              </w:r>
            </w:hyperlink>
            <w:hyperlink r:id="rId74">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Employment, dated as of August 12, 2024, by and between Quantum-Si Incorporated and John Vieceli.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75">
              <w:r>
                <w:rPr>
                  <w:rStyle w:val="InternetLink"/>
                  <w:rFonts w:ascii="Times New Roman;serif" w:hAnsi="Times New Roman;serif"/>
                  <w:b w:val="false"/>
                  <w:color w:val="000080"/>
                  <w:sz w:val="20"/>
                  <w:u w:val="single"/>
                </w:rPr>
                <w:t>10.2</w:t>
              </w:r>
            </w:hyperlink>
            <w:hyperlink r:id="rId76">
              <w:r>
                <w:rPr>
                  <w:rStyle w:val="InternetLink"/>
                  <w:rFonts w:ascii="Times New Roman;serif" w:hAnsi="Times New Roman;serif"/>
                  <w:b w:val="false"/>
                  <w:color w:val="000080"/>
                  <w:sz w:val="20"/>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Agreement, dated December 11, 2024, by and between Quantum-Si Incorporated and Canaccord Genuity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12/11/2024</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77">
              <w:r>
                <w:rPr>
                  <w:rStyle w:val="InternetLink"/>
                  <w:rFonts w:ascii="Times New Roman;serif" w:hAnsi="Times New Roman;serif"/>
                  <w:b w:val="false"/>
                  <w:color w:val="000080"/>
                  <w:sz w:val="20"/>
                  <w:u w:val="single"/>
                </w:rPr>
                <w:t>10.2</w:t>
              </w:r>
            </w:hyperlink>
            <w:hyperlink r:id="rId78">
              <w:r>
                <w:rPr>
                  <w:rStyle w:val="InternetLink"/>
                  <w:rFonts w:ascii="Times New Roman;serif" w:hAnsi="Times New Roman;serif"/>
                  <w:b w:val="false"/>
                  <w:color w:val="000080"/>
                  <w:sz w:val="20"/>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Securities Purchase Agreement, by and among the Company and the Purchasers.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1/6/2025</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79">
              <w:r>
                <w:rPr>
                  <w:rStyle w:val="InternetLink"/>
                  <w:rFonts w:ascii="Times New Roman;serif" w:hAnsi="Times New Roman;serif"/>
                  <w:b w:val="false"/>
                  <w:color w:val="000080"/>
                  <w:sz w:val="20"/>
                  <w:u w:val="single"/>
                </w:rPr>
                <w:t>10.2</w:t>
              </w:r>
            </w:hyperlink>
            <w:hyperlink r:id="rId80">
              <w:r>
                <w:rPr>
                  <w:rStyle w:val="InternetLink"/>
                  <w:rFonts w:ascii="Times New Roman;serif" w:hAnsi="Times New Roman;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Placement Agency Agreement between the Company and the Placement Agent.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1/6/2025</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81">
              <w:r>
                <w:rPr>
                  <w:rStyle w:val="InternetLink"/>
                  <w:rFonts w:ascii="Times New Roman;serif" w:hAnsi="Times New Roman;serif"/>
                  <w:b w:val="false"/>
                  <w:color w:val="000080"/>
                  <w:sz w:val="20"/>
                  <w:u w:val="single"/>
                </w:rPr>
                <w:t>10.</w:t>
              </w:r>
            </w:hyperlink>
            <w:hyperlink r:id="rId82">
              <w:r>
                <w:rPr>
                  <w:rStyle w:val="InternetLink"/>
                  <w:rFonts w:ascii="Times New Roman;serif" w:hAnsi="Times New Roman;serif"/>
                  <w:b w:val="false"/>
                  <w:color w:val="000080"/>
                  <w:sz w:val="20"/>
                  <w:u w:val="single"/>
                </w:rPr>
                <w:t>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Securities Purchase Agreement, by and among Quantum-Si Incorporated and the Purchaser.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7/7/2025</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83">
              <w:r>
                <w:rPr>
                  <w:rStyle w:val="InternetLink"/>
                  <w:rFonts w:ascii="Times New Roman;serif" w:hAnsi="Times New Roman;serif"/>
                  <w:b w:val="false"/>
                  <w:color w:val="000080"/>
                  <w:sz w:val="20"/>
                  <w:u w:val="single"/>
                </w:rPr>
                <w:t>10</w:t>
              </w:r>
            </w:hyperlink>
            <w:hyperlink r:id="rId84">
              <w:r>
                <w:rPr>
                  <w:rStyle w:val="InternetLink"/>
                  <w:rFonts w:ascii="Times New Roman;serif" w:hAnsi="Times New Roman;serif"/>
                  <w:b w:val="false"/>
                  <w:color w:val="000080"/>
                  <w:sz w:val="20"/>
                  <w:u w:val="single"/>
                </w:rPr>
                <w:t>.25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Placement Agency Agreement between the Company and the Placement Agent.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7/7/2025</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85">
              <w:r>
                <w:rPr>
                  <w:rStyle w:val="InternetLink"/>
                  <w:rFonts w:ascii="Times New Roman;serif" w:hAnsi="Times New Roman;serif"/>
                  <w:b w:val="false"/>
                  <w:color w:val="000080"/>
                  <w:sz w:val="20"/>
                  <w:u w:val="single"/>
                </w:rPr>
                <w:t>10.</w:t>
              </w:r>
            </w:hyperlink>
            <w:hyperlink r:id="rId86">
              <w:r>
                <w:rPr>
                  <w:rStyle w:val="InternetLink"/>
                  <w:rFonts w:ascii="Times New Roman;serif" w:hAnsi="Times New Roman;serif"/>
                  <w:b w:val="false"/>
                  <w:color w:val="000080"/>
                  <w:sz w:val="20"/>
                  <w:u w:val="single"/>
                </w:rPr>
                <w:t>2</w:t>
              </w:r>
            </w:hyperlink>
            <w:hyperlink r:id="rId87">
              <w:r>
                <w:rPr>
                  <w:rStyle w:val="InternetLink"/>
                  <w:rFonts w:ascii="Times New Roman;serif" w:hAnsi="Times New Roman;serif"/>
                  <w:b w:val="false"/>
                  <w:color w:val="000080"/>
                  <w:sz w:val="20"/>
                  <w:u w:val="single"/>
                </w:rPr>
                <w:t>6</w:t>
              </w:r>
            </w:hyperlink>
            <w:hyperlink r:id="rId88">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Agreement, dated as of November 3, 2025 by and between Quantum-Si Incorporated and Mr. Todd Bennett.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w:t>
              <w:br/>
              <w:t>(Exhibit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11/5/2025</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89">
              <w:r>
                <w:rPr>
                  <w:rStyle w:val="InternetLink"/>
                  <w:rFonts w:ascii="Times New Roman;serif" w:hAnsi="Times New Roman;serif"/>
                  <w:b w:val="false"/>
                  <w:color w:val="0000FF"/>
                  <w:sz w:val="20"/>
                  <w:u w:val="single"/>
                </w:rPr>
                <w:t>16.1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Letter from Deloitte &amp; Touche LLP, dated 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6/7/2024</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quantum-sixinsidertradin.htm">
              <w:r>
                <w:rPr>
                  <w:rStyle w:val="InternetLink"/>
                  <w:rFonts w:ascii="Times New Roman;serif" w:hAnsi="Times New Roman;serif"/>
                  <w:b w:val="false"/>
                  <w:color w:val="0000FF"/>
                  <w:sz w:val="20"/>
                  <w:u w:val="single"/>
                </w:rPr>
                <w:t>19.1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Insider Trading Policy, effective 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90">
              <w:r>
                <w:rPr>
                  <w:rStyle w:val="InternetLink"/>
                  <w:rFonts w:ascii="Times New Roman;serif" w:hAnsi="Times New Roman;serif"/>
                  <w:b w:val="false"/>
                  <w:color w:val="0000FF"/>
                  <w:sz w:val="20"/>
                  <w:u w:val="single"/>
                </w:rPr>
                <w:t>21.1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List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3/17/2023</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qsi12312025ex231.htm">
              <w:r>
                <w:rPr>
                  <w:rStyle w:val="InternetLink"/>
                  <w:rFonts w:ascii="Times New Roman;serif" w:hAnsi="Times New Roman;serif"/>
                  <w:b w:val="false"/>
                  <w:color w:val="0000FF"/>
                  <w:sz w:val="20"/>
                  <w:u w:val="single"/>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PricewaterhouseCoopers LLP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qsi12312025ex232.htm">
              <w:r>
                <w:rPr>
                  <w:rStyle w:val="InternetLink"/>
                  <w:rFonts w:ascii="Times New Roman;serif" w:hAnsi="Times New Roman;serif"/>
                  <w:b w:val="false"/>
                  <w:color w:val="0000FF"/>
                  <w:sz w:val="20"/>
                  <w:u w:val="single"/>
                </w:rPr>
                <w:t>23.2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Deloitte &amp; Touche LLP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936ec582bfd40c6a2cec4d0326925ac_211">
              <w:r>
                <w:rPr>
                  <w:rStyle w:val="InternetLink"/>
                  <w:rFonts w:ascii="Times New Roman;serif" w:hAnsi="Times New Roman;serif"/>
                  <w:b w:val="false"/>
                  <w:color w:val="0000FF"/>
                  <w:sz w:val="20"/>
                  <w:u w:val="single"/>
                </w:rPr>
                <w:t>24.1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in the signature page)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qsi12312025ex311.htm">
              <w:r>
                <w:rPr>
                  <w:rStyle w:val="InternetLink"/>
                  <w:rFonts w:ascii="Times New Roman;serif" w:hAnsi="Times New Roman;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Section 302 of the Sarbanes-Oxley Act of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qsi12312025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Section 302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qsi12312025ex32.htm">
              <w:r>
                <w:rPr>
                  <w:rStyle w:val="InternetLink"/>
                  <w:rFonts w:ascii="Times New Roman;serif" w:hAnsi="Times New Roman;serif"/>
                  <w:b w:val="false"/>
                  <w:color w:val="0000EE"/>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of the Chief Executive Officer and Chief Financial Officer pursuant to Section 906 of the Sarbanes-Oxley Act of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27"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118</w:t>
                      </w:r>
                    </w:p>
                  </w:txbxContent>
                </v:textbox>
                <w10:wrap type="none"/>
              </v:rect>
            </w:pict>
          </mc:Fallback>
        </mc:AlternateContent>
      </w:r>
    </w:p>
    <w:p>
      <w:pPr>
        <w:pStyle w:val="TextBody"/>
        <w:bidi w:val="0"/>
        <w:spacing w:lineRule="auto" w:line="288" w:before="0" w:after="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65"/>
        <w:gridCol w:w="192"/>
        <w:gridCol w:w="195"/>
        <w:gridCol w:w="109"/>
        <w:gridCol w:w="109"/>
        <w:gridCol w:w="109"/>
        <w:gridCol w:w="2165"/>
        <w:gridCol w:w="2047"/>
        <w:gridCol w:w="2055"/>
        <w:gridCol w:w="109"/>
        <w:gridCol w:w="109"/>
        <w:gridCol w:w="109"/>
        <w:gridCol w:w="109"/>
        <w:gridCol w:w="109"/>
        <w:gridCol w:w="109"/>
        <w:gridCol w:w="109"/>
        <w:gridCol w:w="109"/>
        <w:gridCol w:w="109"/>
        <w:gridCol w:w="301"/>
        <w:gridCol w:w="301"/>
        <w:gridCol w:w="302"/>
        <w:gridCol w:w="109"/>
        <w:gridCol w:w="109"/>
        <w:gridCol w:w="109"/>
        <w:gridCol w:w="217"/>
        <w:gridCol w:w="217"/>
        <w:gridCol w:w="313"/>
      </w:tblGrid>
      <w:tr>
        <w:trPr/>
        <w:tc>
          <w:tcPr>
            <w:tcW w:w="26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91">
              <w:r>
                <w:rPr>
                  <w:rStyle w:val="InternetLink"/>
                  <w:rFonts w:ascii="Times New Roman;serif" w:hAnsi="Times New Roman;serif"/>
                  <w:b w:val="false"/>
                  <w:color w:val="0000FF"/>
                  <w:sz w:val="20"/>
                  <w:u w:val="single"/>
                </w:rPr>
                <w:t>97+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Clawback Policy, effective as of August 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2/29/2024</w:t>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pursuant to Item 601(b)(10) of Regulation S-K because they are both (i) not material and (ii) contain the type of information that the Company customarily and actually treats as private or confidential.</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 that accompany this Annual Report on Form 10-K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69240"/>
                <wp:effectExtent l="0" t="0" r="0" b="0"/>
                <wp:wrapNone/>
                <wp:docPr id="128" name="Frame119"/>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119</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Section 13 or 15(d) of the Securities Exchange Act of 1934, the registrant has duly caused this report to be signed on its behalf by the undersigned thereunto duly authorized.</w:t>
      </w:r>
    </w:p>
    <w:tbl>
      <w:tblPr>
        <w:tblW w:w="5925" w:type="dxa"/>
        <w:jc w:val="left"/>
        <w:tblInd w:w="0" w:type="dxa"/>
        <w:tblLayout w:type="fixed"/>
        <w:tblCellMar>
          <w:top w:w="28" w:type="dxa"/>
          <w:left w:w="28" w:type="dxa"/>
          <w:bottom w:w="28" w:type="dxa"/>
          <w:right w:w="28" w:type="dxa"/>
        </w:tblCellMar>
      </w:tblPr>
      <w:tblGrid>
        <w:gridCol w:w="473"/>
        <w:gridCol w:w="414"/>
        <w:gridCol w:w="418"/>
        <w:gridCol w:w="470"/>
        <w:gridCol w:w="470"/>
        <w:gridCol w:w="470"/>
        <w:gridCol w:w="940"/>
        <w:gridCol w:w="940"/>
        <w:gridCol w:w="1330"/>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 2026</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Jeffrey Hawkins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69240"/>
                <wp:effectExtent l="0" t="0" r="0" b="0"/>
                <wp:wrapNone/>
                <wp:docPr id="129" name="Frame120"/>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120</w:t>
                      </w:r>
                    </w:p>
                  </w:txbxContent>
                </v:textbox>
                <w10:wrap type="none"/>
              </v:rect>
            </w:pict>
          </mc:Fallback>
        </mc:AlternateContent>
      </w:r>
    </w:p>
    <w:p>
      <w:pPr>
        <w:pStyle w:val="TextBody"/>
        <w:bidi w:val="0"/>
        <w:spacing w:lineRule="auto" w:line="288" w:before="200" w:after="200"/>
        <w:jc w:val="left"/>
        <w:rPr/>
      </w:pPr>
      <w:hyperlink w:anchor="i8936ec582bfd40c6a2cec4d0326925a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POWER OF ATTORNEY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KNOW ALL PERSONS BY THESE PRESENTS, that each person whose signature appears below constitutes and appoints each of Jeffrey Hawkins and Jeffry Keyes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substitutes or substitute, may lawfully do or cause to be done by virtue hereof.</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WITNESS WHEREOF, each of the undersigned has executed this Power of Attorney as of the date indicated opposite his or her name.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this report has been signed below by the following persons on behalf of the registrant in the capacities and on the dates indicated.</w:t>
      </w:r>
    </w:p>
    <w:tbl>
      <w:tblPr>
        <w:tblW w:w="7994" w:type="dxa"/>
        <w:jc w:val="left"/>
        <w:tblInd w:w="0" w:type="dxa"/>
        <w:tblLayout w:type="fixed"/>
        <w:tblCellMar>
          <w:top w:w="28" w:type="dxa"/>
          <w:left w:w="28" w:type="dxa"/>
          <w:bottom w:w="28" w:type="dxa"/>
          <w:right w:w="28" w:type="dxa"/>
        </w:tblCellMar>
      </w:tblPr>
      <w:tblGrid>
        <w:gridCol w:w="994"/>
        <w:gridCol w:w="870"/>
        <w:gridCol w:w="881"/>
        <w:gridCol w:w="1299"/>
        <w:gridCol w:w="1299"/>
        <w:gridCol w:w="1316"/>
        <w:gridCol w:w="389"/>
        <w:gridCol w:w="389"/>
        <w:gridCol w:w="557"/>
      </w:tblGrid>
      <w:tr>
        <w:trPr/>
        <w:tc>
          <w:tcPr>
            <w:tcW w:w="99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Jeffrey Hawkins</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Jeffry Keyes</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Charles Kummeth</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Charles Kummeth</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Paula Dowdy</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Paula Dowdy</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Ruth Fattori</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Ruth Fattori</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Amir Jafri</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Amir Jafri</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Patrick Kenny</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Patrick Kenny</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Brigid A. Makes</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Brigid A. Makes</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Scott Mendel</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Mendel</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Kevin Rakin</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Kevin Rakin</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Jonathan M. Rothberg, Ph.D.</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2026</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Rothberg, Ph.D.</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9" w:name="quantum-siseveranceplan.htm"/>
      <w:bookmarkStart w:id="10" w:name="ksquantumsiseveranceplan"/>
      <w:bookmarkEnd w:id="9"/>
      <w:bookmarkEnd w:id="10"/>
      <w:r>
        <w:rPr/>
        <w:drawing>
          <wp:inline distT="0" distB="0" distL="0" distR="0">
            <wp:extent cx="10048875" cy="13001625"/>
            <wp:effectExtent l="0" t="0" r="0" b="0"/>
            <wp:docPr id="1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69240"/>
                <wp:effectExtent l="0" t="0" r="0" b="0"/>
                <wp:wrapNone/>
                <wp:docPr id="131" name="Frame121"/>
                <a:graphic xmlns:a="http://schemas.openxmlformats.org/drawingml/2006/main">
                  <a:graphicData uri="http://schemas.microsoft.com/office/word/2010/wordprocessingShape">
                    <wps:wsp>
                      <wps:cNvSpPr txBox="1"/>
                      <wps:spPr>
                        <a:xfrm>
                          <a:off x="0" y="0"/>
                          <a:ext cx="6480175" cy="26924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121</w:t>
                      </w:r>
                    </w:p>
                  </w:txbxContent>
                </v:textbox>
                <w10:wrap type="none"/>
              </v:rect>
            </w:pict>
          </mc:Fallback>
        </mc:AlternateContent>
      </w:r>
    </w:p>
    <w:p>
      <w:pPr>
        <w:pStyle w:val="TextBody"/>
        <w:bidi w:val="0"/>
        <w:jc w:val="center"/>
        <w:rPr>
          <w:color w:val="FFFFFF"/>
          <w:sz w:val="2"/>
        </w:rPr>
      </w:pPr>
      <w:r>
        <w:rPr>
          <w:color w:val="FFFFFF"/>
          <w:sz w:val="2"/>
        </w:rPr>
        <w:t xml:space="preserve">AMENDED AND RESTATED QUANTUM-SI INCORPORATED EXECUTIVE SEVERANCE PLAN PLAN DOCUMENT AND SUMMARY PLAN DESCRIPTION Effective as of November 1, 2024 1. Establishment of Plan. Quantum-Si Incorporated (the “Company”), hereby establishes an unfunded severance benefits plan (this “Plan”) that is intended to be a welfare benefit plan within the meaning of Section 3(1) of ERISA. This Plan, originally adopted on June 29, 2021, is in effect for Participants who experience certain terminations of employment occurring after the Effective Date and before the termination of this Plan. This Plan supersedes any and all (i) severance plans and separation policies applying to Participants that may have been in effect before the Effective Date with respect to any termination that would, under the terms of this Plan, constitute a termination by the Company without Cause or by Participant for Good Reason, and (ii) the provisions of any agreements between any Participant and the Company that provide for severance payments and benefits. 2. Purpose. The purpose of this Plan is to establish the conditions under which Participants will receive the severance payments and benefits described herein if their employment with the Company (or its successor in a Change in Control (as defined below)) terminates under the circumstances specified herein. The severance payments and benefits paid under this Plan are intended to assist employees in making a transition to new employment and are not intended to be a reward for prior service with the Company. 3. Definitions. For purposes of this Plan: (a) “Base Salary” shall mean, for any Participant, such Participant’s base salary as in effect immediately before a Participant’s termination of employment (or immediately prior to the effective date of a Change in Control, if greater) and exclusive of any bonuses, “adders,” any other form of premium pay, or other forms of compensation. (b) “Board” shall mean the Board of Directors of the Company. (c) “Cause” shall mean Participant’s: (i) willful misconduct or gross negligence in the performance of Participant’s duties; (ii) refusal to follow the lawful directions of the Board (in the case of the CEO), the Chief Executive Officer (in the case of the Executive Officers), or the Company employee to whom the Participant reports (in the case of other Eligible Employees); (iii) breach of a fiduciary duty owed to the Company; (iv) fraud, embezzlement or other material dishonesty with respect to the Company; (v) violation of applicable federal, state or local law or regulation governing the Company’s business; (vi) commission, conviction, plea of nolo contendere, guilty plea, or confession to a crime based upon an act of fraud, embezzlement or dishonesty or to a felony; (vii) habitual abuse of alcohol or any controlled substance or reporting to work under the influence of alcohol or any controlled substance (other than a controlled substance that Participant is properly taking under a current prescription); (viii) misappropriation (or attempted misappropriation) by Participant any material assets or business opportunities of the Company or any of its subsidiaries or affiliates; (ix) a material failure to comply with the Company’s written policies or rules, as they may be in effect from time to time during Participant’s employment, including policies and rules prohibiting discrimination or harassment; or (x) a material breach of Participant’s employment Exhibit 10.18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agreement or offer letter, the Non-Competition, Confidentiality and Intellectual Property Agreement or any other written agreement between the Company or one of its subsidiaries and Participant, provided that Participant will have 30 days after notice from the Board , the Chief Executive Officer or the employee to whom the Participant reports, as appropriate, to cure a failure or a breach under (ii), (ix) or (x), if curable. (d) “Change in Control” shall mean the occurrence of any of the following events: (i) any person or group of persons (other than the Company or its affiliates) becomes the owner, directly or indirectly, of securities of the Company representing more than 50% of the combined voting power of the Company’s then outstanding voting securities (the “Outstanding Company Voting Securities”) (but excluding any bona fide financing event in which securities are acquired directly from the Company); or (ii) the consummation of a merger or consolidation of the Company with any other corporation, other than a merger or consolidation (i) that results in the Outstanding Company Voting Securities immediately prior thereto continuing to represent (either by remaining outstanding or by being converted into voting securities of the surviving entity) at least 50% of the combined voting power of the Outstanding Company Voting Securities (or such surviving entity or, if the Company or the entity surviving such merger is then a subsidiary, the ultimate parent thereof) outstanding immediately after such merger or consolidation, or (ii) immediately following which the individuals who comprise the Board immediately prior thereto constitute at least a majority of the Board of the entity surviving such merger or consolidation or, if the Company or the entity surviving such merger is then a subsidiary, the ultimate parent thereof; or (iii) the sale or disposition by the Company of all or substantially all of the Company’s assets, other than (i) a sale or disposition by the Company of all or substantially all of the Company’s assets to an entity, at least 50% of the combined voting power of the voting securities of which are owned directly or indirectly by stockholders of the Company following the completion of such transaction in substantially the same proportions as their ownership of the Company immediately prior to such sale or (ii)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 (iv) provided that with respect to Sections (i), (ii) and (iii) above, a transaction or series of integrated transactions will not be deemed a Change in Control (A) unless the transaction qualifies as a change in control within the meaning of Section 409A of the Code, or (B) if following the conclusion of the transaction or series of integrated transactions, the holders of the Company’s Class B Common Stock immediately prior to such transaction or series of transactions continue to have substantially the same proportionate voting power in an entity which owns all or substantially all of the assets of the Company immediately following such transaction or series of transactions. (e) “Change in Control Period” means: (i) the twelve (12) month period beginning on the date of a Change in Control. (f) “COBRA” shall mean the Consolidated Omnibus Budget Reconciliation Act. (g) “Code” shall mean the Internal Revenue Code of 1986,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(h) “Company” shall mean Quantum-Si Incorporated or, following a Change in Control, any successor thereto. (i) “Effective Date” shall mean September 30, 2021. “Eligible Employee” shall mean: (i) the Chief Executive Officer and(ii) all executive officers as determined by the Board other than the CEO (“Executive Officers”). (j) “ERISA” shall mean the Employee Retirement Income Security Act of 1974, as amended. (k) “Executive Officers” shall have the meaning set forth in Section 3(j). (l) “Good Reason” shall mean the occurrence of any of the following events without Participant’s consent: (i) a material reduction of Participant’s Base Salary as in effect immediately prior to the reduction; (ii) a material reduction in Participant’s authority, duties or responsibilities, provided however, following a Change in Control, a change in job title or reporting relationship without a reduction in Participant’s Base Salary will not constitute Good Reason; (iii) relocation of the offices at which Participant is required to work to a location that would increase Participant’s one-way commute by more than 50 miles; provided that, within 30 days of the first occurrence of the event that Participant believes constitutes Good Reason, Participant notifies the Company in a writing of the event, the Company fails to correct the act or omission within 30 days after receiving Participant’s written notice and Participant actually terminates his or her employment within 60 days after the date the Company receives Participant’s notice. (m) “Participant” shall mean the Eligible Employees employed by the Company from time to time. (n) “Plan Administrator” shall have the meaning set forth in Section 14 hereof. 4. Severance Not in Connection with a Change in Control. If the Company terminates Participant’s employment without Cause at any time other than during a Change in Control Period, subject to the provisions of Section 6 and 7, Participant shall be eligible to receive the following payments and benefits (collectively, the “Severance Package”): (a) Participant shall be entitled to receive an amount equal to the product of (the “Normal Severance”): (i) the Normal Multiplier, as determined under Exhibit A based on Participant’s title or role with the Company; and (ii) the Participant’s then-current Base Salary. The Normal Severance shall be payable in the form of salary continuation in accordance with the Company’s regular payroll schedule over the Severance Period, commencing on such date determined in accordance with Section 6 or as a lump sum at the Company’s sole discretion. The “Severance Period” will equal the period of months equal to the product of (A) Participant’s Normal Multiplier and (B) 12. (b) The portion of any outstanding unvested time-based equity award held by Participant that would vest on an annual cliff vesting date in accordance with the terms of the award during the three months following the Participant’s termination date will become fully vested as of the date the termination of Participant’s employment becomes effective. (c) Participant shall be entitled to continue participating in the Company’s health benefits for the Severance Period (the “Severance Benefits”), as follows: (i) such continued benefits shall be subject to Participant’s timely election of continuation coverage under COBRA; (ii) the Company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pay the company contribution and Participant shall be required to pay the employee contribution directly or as a reimbursement to Participant at the at the Company’s sole discretion, (iii) Participant’s right to receive further Severance Benefits shall terminate if and when Participant secures alternative health benefits from a new employer, of which Participant shall promptly notify the Company, or if and when Participant otherwise becomes ineligible for further coverage under COBRA; and (iv) the Company shall be required to provide the Severance Benefits only to the extent that the Company continues offering an employee health benefits plan and to extent that the Company is not required to provide and pay for such post- termination coverage to other employees to avoid a violation of applicable nondiscrimination requirements. (d) The payments and benefits described in this Section 4 shall be in lieu of any other benefits or payments under any severance or similar plan, policy or arrangement of the Company. 5. Severance in Connection with a Change in Control. If during the Change in Control Period, the Company terminates Participant’s employment without Cause or Participant resigns Participant’s employment with Good Reason, subject to the provisions of Section 6 and 7, Participant shall be eligible to receive the following payments and benefits (collectively, the “CIC Severance Package”): (a) Participant shall be entitled to receive an amount equal to the product of (the “CIC Severance”): (A) the CIC Multiplier, as determined under Exhibit A based on Participant’s title or role with the Company; and (B) the sum of Participant’s then-current Base Salary and then-current target annual bonus opportunity. The CIC Severance shall be payable in a single lump sum, on such date in determined accordance with Section 6. (b) Participant shall be entitled to continue participating in the Company’s health benefits for the CIC Severance Period (the “CIC Severance Benefits”), as follows: (i) such continued benefits shall be subject to Participant’s timely election of continuation coverage under COBRA; (ii) the Company will pay the company contribution directly or as a reimbursement to Participant at the Company’s sole discretion and Participant shall be required to pay the employee contribution; (iii) Participant’s right to receive further CIC Severance Benefits shall terminate if and when Participant secures alternative health benefits from a new employer, of which Participant shall promptly notify the Company, or if and when Participant otherwise becomes ineligible for further coverage under COBRA; and (iv) the Company shall be required to provide the CIC Severance Benefits only to the extent that the Company continues offering an employee health benefits plan and to extent that the Company is not required to provide and pay for such post-termination coverage to other employees to avoid a violation of applicable nondiscrimination requirements. The “CIC Severance Period” will equal the period of months equal to the product of (A) Participant’s CIC Multiplier and (B) 12. (c) Any outstanding unvested equity awards held by Participant under the Company’s then-current outstanding equity incentive plan(s) will become fully vested as of the date the termination of Participant’s employment becomes effective. (d) The payments and benefits described in this Section 5 shall be in lieu of any other benefits or payments under any severance or similar plan, policy or arrangement of the Company, and shall be in lieu of any benefits set forth in Section 5 of this Agreement. 6. Release. A Participant’s rights to the Severance Package or the CIC Severance Package, as applicable, is conditioned upon Participant executing and not revoking a valid separation and general release agreement in a form provided by the Company (the “Release”), and provided such release becomes effective and irrevocable within 60 days following termination or such shorter time period set forth therein, releasing the Company, its subsidiaries, other affiliates and shareholders from any and all liability. Any payments or benefits due for the period after termination and before the Release becomes effective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4"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paid with the first payment after the Release becomes effective. Notwithstanding any other provision herein, if the period during which Participant has discretion to execute or revoke the Release straddles two calendar years, the Company shall make payments conditioned on the Release no earlier than January 1st of the second calendar year, regardless of which year the Release becomes effective. 7. Restrictive Covenants. A Participant’s rights to the Severance Package or the CIC Severance Package, as applicable, is conditioned on Participant’s compliance with Participant’s obligations under, as applicable: (a) Participant’s Non-Disclosure, Non-Solicitation and Assignment Agreement; and (b) any other applicable confidentiality, invention, work product, non-disparagement, non-competition, non-solicitation, non-interference, and/or other restrictive covenant obligations contained in any written agreement between the Participant and the Company. In the event that Participant fails to comply with any of these obligations, the Participant’s right to receive any additional Severance Package or CIC Severance Package payments or benefits shall cease immediately and Participant shall promptly refund any such payments or benefits previously paid by the Company. The Company’s rights under this Section 7 shall be full recourse. The Company shall have the right to offset Participant’s obligations under this Section 7 against any amounts otherwise owed to Participant from the Company or its affiliates. 8. Accrued Obligations. Notwithstanding anything to the contrary contained herein, a Participant shall be entitled to all Accrued Obligations as of his or her termination of employment, regardless of whether he or she is eligible for severance payments or benefits under this Plan. “Accrued Obligations” shall mean, for any Participant: (i) the portion of such Participant’s Base Salary that has accrued prior to any termination of such Participant’s employment with the Company and has not yet been paid; (ii) the portion of such Participant’s prior-year annual bonus that has been earned prior to any termination of such Participant’s employment with the Company and has not yet been paid; (iii) the amount of any expenses properly incurred by such Participant on behalf of the Company in accordance with Company policy prior to any such termination and not yet reimbursed; and (iv) the amount of such Participant’s vacation time that has accrued prior to any such termination that has not yet been used. A Participant’s entitlement to any other compensation or benefit under any plan of Company shall be governed by and determined in accordance with the terms of such plans, except as otherwise specified in this Plan. 9. Non-Duplication of Benefits. Nothing in this Plan will entitle any Participant to receive duplicate benefits in connection with any voluntary or involuntary termination of employment. A Participant’s right to receive any payments under this Plan will be expressly conditioned upon such Participant not receiving severance payments or benefits under any other agreement, program or arrangement. 10. Death. If a Participant dies after the date Participant commences receiving benefits and payments under the Severance Package or the CIC Severance Package, as applicable, but before all such payments or benefits have been paid or provided, payments will be made to any beneficiary designated by Participant prior to or in connection with such Participant’s termination or, if no such beneficiary has been designated, to Participant’s estate. 11. Withholding. The Company may withhold from any payment or benefit under this Plan: (a) any federal, state, or local income or payroll taxes required by law to be withheld with respect to such payment; (b) such sum as the Company may reasonably estimate is necessary to cover any taxes for which the Company may be liable and which may be assessed with regard to such payment; and (c) such other amounts as appropriately may be withheld under the Company’s payroll policies and procedures from time to time in effect. 12. Section 409A. It is expected that the payments and benefits provided under this Plan will be exempt from the application of Section 409A of the Code, and the guidance issued thereunder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5"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6 409A”). This Plan shall be interpreted consistent with this intent to the maximum extent permitted and generally, with the provisions of Section 409A. A termination of employment shall not be deemed to have occurred for purposes of any provision of this Plan providing for the payment of any amounts or benefits upon or following a termination of employment (which amounts or benefits constitute nonqualified deferred compensation within the meaning of Section 409A) unless such termination is also a “separation from service” within the meaning of Section 409A and, for purposes of any such provision of this Plan, references to a “termination,” “termination of employment” or like terms shall mean “separation from service”. Neither Participant nor the Company shall have the right to accelerate or defer the delivery of any payment or benefit except to the extent specifically permitted or required by Section 409A. Notwithstanding the foregoing, to the extent the severance payments or benefits under this Plan are subject to Section 409A, the following rules shall apply with respect to distribution of the payments and benefits, if any, to be provided to Participants under this Plan: (a) Each installment of the payments and benefits provided under this Plan will be treated as a separate “payment” for purposes of Section 409A. Whenever a payment under this Plan specifies a payment period with reference to a number of days (e.g., “payment shall be made within 10 days following the date of termination”), the actual date of payment within the specified period shall be in the Company’s sole discretion. Notwithstanding any other provision of this Plan to the contrary, in no event shall any payment under this Plan that constitutes “non-qualified deferred compensation” for purposes of Section 409A be subject to transfer, offset, counterclaim or recoupment by any other amount unless otherwise permitted by Section 409A. (b) Notwithstanding any other payment provision herein to the contrary, if the Company or appropriately-related affiliates is publicly-traded and a Participant is deemed on the date of termination to be a “specified employee” within the meaning of that term under Code Section 409A(a)(2)(B) with respect to such entity, then each of the following shall apply: (i) With regard to any payment that is considered “non-qualified deferred compensation” under Section 409A payable on account of a “separation from service,” such payment shall be made on the date which is the earlier of (A) the day following the expiration of the six month period measured from the date of such “separation from service” of Participant, and (B) the date of Participant’s death (the “Delay Period”) to the extent required under Section 409A. Upon the expiration of the Delay Period, all payments delayed pursuant to this provision (whether otherwise payable in a single sum or in installments in the absence of such delay) shall be paid to or for Participant in a lump sum, and all remaining payments due under this Plan shall be paid or provided for in accordance with the normal payment dates specified herein; and (ii) To the extent that any benefits to be provided during the Delay Period are considered “non-qualified deferred compensation” under Section 409A payable on account of a “separation from service,” and such benefits are not otherwise exempt from Section 409A, Participant shall pay the cost of such benefits during the Delay Period, and the Company shall reimburse Participant, to the extent that such costs would otherwise have been paid by the Company or to the extent that such benefits would otherwise have been provided by the Company at no cost to Participant, the Company’s share of the cost of such benefits upon expiration of the Delay Period. Any remaining benefits shall be reimbursed or provided by the Company in accordance with the procedures specified in this Plan. (c) The Company makes no representations or warranties and shall have no liability to any Participant or any other person, other than with respect to payments made by the Company in violation of the provisions of this Plan, if any provisions of or payments under this Plan are determined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6"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constitute deferred compensation subject to Section 409A of the Code but not to satisfy the conditions of that section. 13. Modified 280G Cutback. (a) To the extent that any payment, benefit or distribution of any type to or for a Participant’s benefit by the Company or any of its affiliates, whether paid or payable, provided or to be provided, or distributed or distributable pursuant to the terms of this Plan or otherwise (including, without limitation, any accelerated vesting of stock options or other equity-based awards) (collectively, the “Total Payments”) would be subject to the excise tax imposed under Section 4999 of the Code, then the Total Payments shall be reduced (but not below zero) so that the maximum amount of the Total Payments (after reduction) shall be one dollar ($1.00) less than the amount which would cause the Total Payments to be subject to the excise tax imposed by Section 4999 of the Code, but only if the Total Payments so reduced result in Participant receiving a net after tax amount that exceeds the net after tax amount Participant would receive if the Total Payments were not reduced and were instead subject to the excise tax imposed on excess parachute payments by Section 4999 of the Code. Unless Participant shall have given prior written notice to the Company to effectuate a reduction in the Total Payments if such a reduction is required, any such notice consistent with the requirements of Section 409A to avoid the imputation of any tax, penalty or interest thereunder, the Company shall reduce or eliminate the Total Payments by first reducing or eliminating any cash severance benefits (with the payments to be made furthest in the future being reduced first), then by reducing or eliminating any accelerated vesting of stock options or similar awards, then by reducing or eliminating any accelerated vesting of restricted stock or similar awards, then by reducing or eliminating any other remaining Total Payments. The preceding provisions of this Section shall take precedence over the provisions of any other plan, arrangement or agreement governing Participant’s rights and entitlements to any benefits or compensation. (b) If the Total Payments to a Participant are reduced in accordance with Section 14(a), as a result of the uncertainty in the application of Section 4999 of the Code at the time of the initial reduction under Section 14(a), it is possible that Total Payments to a Participant which will not have been made by the Company should have been made (“Underpayment”) or that Total Payments to a Participant which were made should not have been made (“Overpayment”). If an Underpayment has occurred, the amount of any such Underpayment shall be promptly paid by the Company to or for the benefit of such Participant. In the event of an Overpayment, then Participant shall promptly repay to the Company the amount of any such Overpayment together with interest on such amount (at the same rate as is applied to determine the present value of payments under Section 280G of the Code or any successor thereto), from the date the reimbursable payment was received by such Participant to the date the same is repaid to the Company 14. Plan Administration. (a) Plan Administrator. The Plan Administrator shall be the Board or a committee thereof designated by the Board (the “Committee”); provided, however, that the Board or such Committee (as constituted prior to the closing of a Change in Control) may in its sole discretion appoint a new Plan Administrator to administer this Plan following a Change in Control, which such Plan Administrator shall not be removed or modified following a Change in Control other than at its own initiative. If such Plan Administrator designated by the Board or Committee prior to a Change in Control ceases to serve as Plan Administrator at any point after a Change in Control but prior to the later to occur of the first (1st) anniversary of the Change in Control or the final payment of benefits under this Plan to any Participant, then until the later to occur of the first (1st) anniversary of the Change in Control or the final payment of benefits under this Plan to any Participant, any such successor Plan Administrator appointed by the Board or the Committee shall be a qualified independent third party, such as a retired judge selected by the head of the American Arbitration Association in Manhattan, an independent compensation consultant or a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7"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firm. The Plan Administrator shall also serve as the Named Fiduciary of this Plan under ERISA. The Plan Administrator shall be the “administrator” within the meaning of Section 3(16) of ERISA and shall have all the responsibilities and duties contained therein. Notwithstanding any provision of this Plan to the contrary, any employee(s) appointed to serve as Plan Administrator (whether individually or as members of a committee) shall serve as such only for so long as he or she is an employee of the Company and shall be deemed to resign his or her position effective as of his or her termination of employment (whether voluntary or involuntary). The Plan Administrator can be contacted at the following address: Quantum-Si Incorporated 29 Business Park Drive, Suite C Branford, CT 06405 Attention: Head of Human Resources Phone: (866) 688-7374 (b) Decisions, Powers and Duties. The general administration of this Plan and the responsibility for carrying out its provisions shall be vested in the Plan Administrator. The Plan Administrator shall have such powers and authority as are necessary to discharge such duties and responsibilities which also include, but are not limited to, interpretation and construction of this Plan, the determination of all questions of fact, including, without limit, eligibility, participation and benefits, the resolution of any ambiguities and all other related or incidental matters, and such duties and powers of the plan administration which are not assumed from time to time by any other appropriate entity, individual or institution. The Plan Administrator may determine from time to time, in its discretion, whether an employee of the Company who is not an Eligible Employee shall become a Participant in this Plan, provided the Plan Administrator delivers written notice to such employee that the employee will be a Participant in the Plan. The Plan Administrator may adopt rules and regulations of uniform applicability in its interpretation and implementation of this Plan. The Plan Administrator may delegate any of its duties hereunder to such person or persons from time to time as it may designate. (c) The Plan Administrator shall discharge its duties and responsibilities and exercise its powers and authority in its sole discretion and in accordance with the terms of the controlling legal documents and applicable law, and its actions and decisions that are not arbitrary and capricious shall be binding on any employee, and employee’s spouse or other dependent or beneficiary and any other interested parties whether or not in being or under a disability. The Plan Administrator is empowered, on behalf of this Plan, to engage accountants, legal counsel and such other personnel as it deems necessary or advisable to assist it in the performance of its duties under this Plan. The functions of any such persons engaged by the Plan Administrator shall be limited to the specified services and duties for which they are engaged, and such persons shall have no other duties, obligations or responsibilities under this Plan. Such persons shall exercise no discretionary authority or discretionary control respecting the management of this Plan. (d) The Company shall promptly reimburse the Plan Administrator or the Committee for any expenses incurred in good faith in the course of carrying out its obligations under this Plan, including, but not limited to, attorney’s fees, claims, fines, judgments, taxes, causes of action or liability and amounts paid in settlement, actually and reasonably incurred by such Committee or Plan Administrator, unless such expense, claim, fine, judgment, taxes, cause of action, liability or amount arose from his or her negligence, fraud or willful breach of his or her fiduciary responsibilities under ERISA. 15. Claims, Inquiries and Appeals. (a) Applications for Benefits and Inquiries. Any application for benefits under or inquiries about this Plan or inquiries about present or future rights under this Plan must be submitted to the Plan Administrator in writing,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8"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Plan Administrator Quantum-Si Incorporated 29 Business Park Drive, Suite C Branford, CT 06405 (b) Denial of Claims. In the event that any application for benefits is denied in whole or in part, the Plan Administrator must notify the applicant, in writing, of the denial of the application, and of the applicant’s right to review the denial. The written notice of denial will be set forth in a manner designed to be understood by the applicant, and will include specific reasons for the denial, specific references to this Plan provision upon which the denial is based, a description of any information or material that the Plan Administrator needs to complete the review and an explanation of this Plan’s review procedure. This written notice will be given to the applicant within 15 days after the Plan Administrator receives the application, unless special circumstances require an extension of time, in which case, the Plan Administrator has up to an additional 15 days for processing the application. If an extension of time for processing is required, written notice of the extension will be furnished to the applicant before the end of the initial 15-day period. This notice of extension will describe the special circumstances necessitating the additional time and the date by which the Plan Administrator is to render his or her decision on the application. If written notice of denial of the application for benefits is not furnished within the specified time, the application shall be deemed to be denied. The applicant will then be permitted to appeal the denial in accordance with the review procedure described below. (c) Request for a Review. Any person (or that person’s authorized representative) for whom an application for benefits is denied, in whole or in part, may appeal the denial by submitting a request for a review to the Plan Administrator within 30 days after the application is denied (or deemed denied). The Plan Administrator will give the applicant (or his or her representative) an opportunity to review pertinent documents in preparing a request for a review and submit written comments, documents, records and other information relating to the claim. A request for a review shall be in writing and shall be addressed to: Plan Administrator Quantum-Si Incorporated 29 Business Park Drive, Suite C Branford, CT 06405 A request for review must set forth all of the grounds on which it is based, all facts in support of the request and any other matters that the applicant feels are pertinent. The Plan Administrator may require the applicant to submit additional facts, documents or other material as he or she may find necessary or appropriate in making his or her review. (d) Decision on Review. The Plan Administrator will act on each request for review within 15 days after receipt of the request, unless special circumstances require an extension of time (not to exceed an additional 15 days), for processing the request for a review. If an extension for review is required, written notice of the extension will be furnished to the applicant within the initial 15-day period. The Plan Administrator will give prompt, written notice of his or her decision to the applicant. In the event that the Plan Administrator confirms the denial of the application for benefits in whole or in part, the notice will outline, in a manner calculated to be understood by the applicant, the specific Plan provisions upon which the decision is based. (e) Rules and Procedures. The Plan Administrator may establish rules and procedures, consistent with this Plan and with ERISA, as necessary and appropriate in carrying out his or her responsibilities in reviewing benefit claims. The Plan Administrator may require an applicant who wishes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9"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to submit additional information in connection with an appeal from the denial (or deemed denial) of benefits to do so at the applicant’s own expense. (f) Exhaustion of Remedies. No legal action for benefits under this Plan may be brought until the claimant (i) has submitted a written application for benefits in accordance with the procedures described by Section 15(a) above, (ii) has been notified by the Plan Administrator that the application is denied (or the application is deemed denied due to the Plan Administrator’s failure to act on it within the established time period), (iii) has filed a written request for a review of the application in accordance with the appeal procedure described in Section 15(c) above and (iv) has been notified in writing that the Plan Administrator has denied the appeal (or the appeal is deemed to be denied due to the Plan Administrator’s failure to take any action on the claim within the time prescribed by Section 15(d) above). 16. Indemnification. To the extent permitted by law, the Plan Administrator and all employees, officers, directors, agents and representatives of the Company shall be indemnified by the Company and held harmless against any claims and all associated expenses of defending against such claims, resulting from any action or conduct relating to the administration of this Plan, whether as a member of the Committee or otherwise, except to the extent that such claims arise from gross negligence, willful neglect, or willful misconduct. The Company shall advance all expenses for which a party is indemnified under this Section 16 to such indemnified party or shall arrange for direct payment of any such expenses by the Company. 17. Plan Not an Employment Contract. This Plan is not a contract between the Company and any employee, nor is it a condition of employment of any employee. Nothing contained in this Plan gives, or is intended to give, any employee the right to be retained in the service of the Company, or to interfere with the right of the Company to discharge or terminate the employment of any employee at any time and for any reason. No employee shall have the right or claim to benefits beyond those expressly provided in this Plan, if any. All rights and claims are limited as set forth in this Plan. 18. Severability. In case any one or more of the provisions of this Plan (or part thereof) shall be held to be invalid, illegal or unenforceable in any respect, such invalidity, illegality or unenforceability shall not affect the other provisions hereof, and this Plan shall be construed as if such invalid, illegal or unenforceable provisions (or part thereof) never had been contained herein. 19. Non Assignability. No right or interest of any Participant in this Plan shall be assignable or transferable in whole or in part either directly or by operation of law or otherwise, including, but not limited to, execution, levy, garnishment, attachment, pledge or bankruptcy. 20. Integration With Other Pay or Benefits Requirements. The severance payments and benefits provided for in this Plan are the maximum benefits that the Company will pay to Participants on a termination of employment, except to the extent otherwise required by applicable law. To the extent that any federal, state or local law, including, without limitation, so called “plant closing” laws, requires the Company to give advance notice or make a payment of any kind to an employee because of that employee’s involuntary termination due to a layoff, reduction in force, plant or facility closing, sale of business, or similar event, the benefits provided under this Plan or the other arrangement shall either be reduced or eliminated to avoid any duplication of payment. The Company intends for the benefits provided under this Plan to partially or fully satisfy any and all statutory obligations that may arise out of an employee’s involuntary termination for the foregoing reasons and the Company shall so construe and implement the terms of this Plan. 21. Amendment or Termination. The Board may amend, modify, or terminate this Plan at any time in its sole discretion; provided, however, that: (a) any such amendment, modification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0"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termination made prior to a Change in Control that adversely affects the rights of any Participant shall be approved by the Company’s Board of Directors; (b) no such amendment, modification or termination may adversely affect the rights of a Participant then receiving payments or benefits under this Plan without the consent of such person; and (c) no such amendment, modification or termination made after a Change in Control shall be effective until after the later to occur of the first (1st) anniversary of the Change in Control or the final payment of benefits under this Plan to any Participant. The Board intends to review this Plan at least annually. 22. Source of Benefit. The Company will pay benefits under the Plan from its general assets to the extent available. The benefits is not funded through a trust fund or insurance contracts. No employee shall have any right to, or interest in, any assets of the Company upon termination of employment or otherwise. 23. Statement of ERISA Rights. Participants are entitled to certain rights and protections under the Employee Retirement Income Security Act of 1974, as amended (“ERISA”). ERISA provides that Participants are entitled to the following rights: (a) Receive Information About the Plan and Benefits. A Participant may examine, without charge, at the Plan Administrator’s office all documents governing the Plan and, if applicable, a copy of the latest annual report (Form 5500) filed with the U.S. Department of Labor and available at the Public Disclosure Room of the Employee Benefits Security Administration. A Participant may also obtain copies of these documents upon written request to the Plan Administrator. There may be a reasonable charge for the cost of copying. A Participant is also entitled to receive a summary of the Plan’s annual financial report. The Plan Administrator is required by law to furnish each Participant with a copy of this summary annual report. (b) Prudent Actions by Plan Fiduciaries. In addition to creating rights for Plan participants, ERISA imposes duties upon the people who are responsible for the operation of the Plan. The people who operate the Plan, called “fiduciaries,” have a duty to do so prudently and in the interest of the Plan’s Participants and their beneficiaries. No one, including the Company, may fire you or otherwise discriminate against a Participant in any way to prevent the Participant from obtaining a welfare benefit or exercising the Participant’s rights under ERISA. (c) Enforce Participant Rights. If a Participant’ claim for a welfare benefit is denied or ignored, in whole or in part, the Participant has the right to know the reason and to obtain copies of documents relating to the decision without charge, and to appeal any denial, all within certain timeframes as set forth in this Plan. Under ERISA, there are steps a Participant can take to enforce the above rights. For instance, if a Participant requests a copy of Plan documents, or the latest annual report from the Plan and the Participant does not receive them within 30 days, the Participant may file suit in a federal court. In such a case, the court may require the Plan Administrator to provide the materials to the Participant and pay the Participant up to $110 per day until the Participant receives the materials, unless the materials were not sent because of reasons beyond the control of the Plan Administrator. If the Participant has a claim for benefits that is denied or ignored, in whole or in part, the Participant may file suit in federal or state court, provided the Participant has exhausted the Plan’s administrative remedies (i.e. claims procedures). If it should happen that the Plan fiduciaries misuse the Plan’s money, or if a Participant is discriminated against for asserting the Participant’s rights under this Plan or under ERISA, the Participant may seek assistance from the U.S. Department of Labor, or may file suit in federal court. The court will decide who should pay court costs and legal fees. If a Participant is successful, the court may order the person that the Participant sued to pay these costs and fees. If a Participant loses, the court may order the Participant to pay these costs and fees if it finds the Participant’s claim is frivolous.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1"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 Assistance With Questions. If a Participant has any questions about the Plan, the Participant should contact the Plan Administrator. If a Participant has questions about this statement or about the Participant’s rights under ERISA, the Participant should contact the nearest office of the Employee Benefits Security Administration, U.S. Department of Labor, listed in your telephone directory or the Division of Participant Assistance and Communications, Employee Benefits Security Administration, U.S. Department of Labor, 200 Constitution Avenue, N.W., Washington, D.C. 20210. The Participant may obtain publications about the Participant’s rights and responsibilities under ERISA by calling the publications hotline of the Employee Benefits Security Administration. A Participant may also access the Employee Benefits Security Administration’s website at www.dol.gov/ebsa. 24. Type of Plan. This Plan is a severance pay Plan. 25. Plan Sponsor. The sponsor of this Plan is Quantum-Si Incorporated (referred to in this Plan as the “Company”). The Plan sponsor’s address is: Quantum-Si Incorporated 29 Business Park Drive, Suite C Branford, CT 06405 Attention: Head of Human Resources Phone: (866) 688-7374 26. Agent for Legal Process. A Participant or beneficiary may serve legal process on the Plan Administrator, c/o: Quantum-Si Incorporated 29 Business Park Drive, Suite C Branford, CT 06405 Attention: Head of Human Resources 27. Plan Year. The Plan Year is the calendar year. 28. Identification Number. The Plan’s number for purposes of discussion with a federal government agency is 501. The Company's Employer Identification Number is [●]. 29. Summary Plan Description. This Plan constitutes both the governing document and the summary plan description for the Plan. 30. Governing Law. This Plan and the rights of all persons under this Plan shall be construed in accordance with and under applicable provisions of ERISA, and the regulations thereunder, and the laws of the State of Delaware (without regard to conflict of law provisions) to the extent not preempted by federal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2"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MULTIPLIERS Title/Role of Participant Normal Multiplier CIC Multiplier Chief Executive Officer 1 1.5 Executive Officer .75 1 Notwithstanding the foregoing, any Vice President and Senior Vice President hired and/or in their role at that level prior to November 1, 2024, will be eligible as Participants under the Plan to receive 0.50 as the normal multiplier and 0.75 as the CIC multiplier.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1" w:name="quantum-sixinsidertradin.htm"/>
      <w:bookmarkStart w:id="12" w:name="ksquantumsixinsidertradin"/>
      <w:bookmarkEnd w:id="11"/>
      <w:bookmarkEnd w:id="12"/>
      <w:r>
        <w:rPr/>
        <w:drawing>
          <wp:inline distT="0" distB="0" distL="0" distR="0">
            <wp:extent cx="10048875" cy="13001625"/>
            <wp:effectExtent l="0" t="0" r="0" b="0"/>
            <wp:docPr id="1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3"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QUANTUM- SI INCORPORATED INSIDER TRADING POLICY (Effective October 2025) TABLE OF CONTENTS Page I. The Need for an Insider Trading Policy ............................................................ 2 II. What is Material Non-Public Information? ....................................................... 2 III. The Consequences of Insider Trading ............................................................... 4 IV. Our Policy ........................................................................................................ 5 General Prohibition on Trading ......................................................................... 5 Transactions by Family Members, Others in Your Household and Entities You Control ................................................................................................ 5 Other Companies’ Non-public Information ....................................................... 5 Personal or Independent Reasons Are Not Exceptions....................................... 5 Policy Administrator ......................................................................................... 5 When Information Becomes Public ................................................................... 5 Prohibited Trading Periods ............................................................................... 6 Exceptions for Certain Transactions .................................................................. 7 Pre-Clearance of All Acquisitions, Sales and Other Transfers by Certain Company Personnel .................................................................................... 8 V. Individual Responsibility .................................................................................. 9 VI. Additional Prohibited Transactions ................................................................. 10 VII. Post-Termination Transactions ....................................................................... 11 VIII. Company Assistance....................................................................................... 11 IX. Certifications .................................................................................................. 11 X. Notifications by Policy Administrator ............................................................. 11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4"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Quantum-Si Incorporated (the “Company”) has adopted the following policy regarding trading by Company personnel in the Company’s securities (the “Insider Trading Policy,” or this “Policy”). This Policy applies to all Company personnel, including directors, officers, employees and consultants of the Company and its subsidiaries. This Policy also applies to certain family members, other members of a person’s household and entities controlled by Company personnel, as described in Section IV below. I. The Need for an Insider Trading Policy This Policy has been developed: • to educate all Company personnel as to the federal securities laws and the rules of the Securities and Exchange Commission (the “SEC”) on insider trading in public company securities; • to set forth requirements that apply to Company personnel and other persons covered by this Policy who seek to trade in the Company’s securities; • to protect the Company and its personnel from legal liability; and • to preserve the reputation of the Company and its personnel for integrity and ethical conduct. Because the Company is a public company, transactions in the Company’s securities are subject to the federal securities laws and regulations adopted by the SEC. These laws and regulations make it illegal for an individual to buy or sell securities of the Company while aware of material non-public information. The SEC takes insider trading very seriously and devotes significant resources to uncovering the activity and to prosecuting offenders. Liability may extend not only to the individuals who trade while in possession of material non-public information but also to their “tippers,” people who leak material non-public information to individuals who then trade based on that information. The Company and “controlling persons” of the Company may also be liable for violations by Company employees. II. What is Material Non-Public Information? Definition. Material non-public information is any information (positive or negative) that: • is not generally known to the public, and • which, if publicly known, would likely affect either the market price of the Company’s securities, a person’s decision to buy, sell or hold the Company’s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5"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securities, or would be expected to significantly alter the total mix of the information in the marketplace about the Company. Both positive and negative information may be material. Examples. While it is not possible to identify all information that would be deemed material, common examples of information that will frequently be regarded as material include, but are not limited to: • quarterly or annual earnings results; • projections of future financial results; • the gain or loss of a significant customer or supplier; • mergers, acquisitions, tender offers, joint ventures, divestitures or other significant changes in assets; • a company restructuring; • significant news or developments in the Company’s business and/or product development efforts; • licenses of significant technologies; • entry into, modification or termination of significant strategic collaborations; • entry into agreements with significant new customers or for a significant quantity of the Company’s products; • significant transactions with officers, directors or greater than 5% stockholders; • dividends; • stock splits; • management changes or changes in control; • the public or private sale of additional securities by the Company; • pending or threatened significant litigation, arbitrations or similar disputes; • a significant cybersecurity incident, such as a data breach or a significant disruption or unauthorized access to information technology infrastructure; • establishment by the Company of a program to buy the Company’s own shares; • entry into, amendment or termination of a material contract; • the gain or loss of a significant contract, license, registration or collaboration; • changes in or disagreements with auditors, or a notification that the auditor’s reports may no longer be relied upon; • deterioration in the Company’s credit status; or • other items that require the filing of a Current Report on Form 8-K with the SEC. Twenty-Twenty Hindsight. In determining whether information is material, the SEC and other regulators will view the information after-the-fact with the benefit of hindsight. As a result, in determining whether any information is material, we will, and you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 Any persons subject to this Policy who are unsure whether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6"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information that they possess is material or nonpublic must consult the Policy Administrator for guidance before trading in any Company securities. 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 III. The Consequences of Insider Trading The consequences of insider trading violations can be severe: For individuals who trade while in possession of material non-public information (or tip information to others): • a civil penalty of up to three times the profit gained or loss avoided; • a criminal fine (no matter how small the profit); and • a jail term of up to 20 years. These penalties can apply even if the individual is not a member of the Board of Directors or an officer of the Company. Moreover, if an employee violates this Policy, he or she may also be subject to Company-imposed sanctions, including termination for cause. For a company (as well as possibly any supervisory person) that fails to take appropriate steps to prevent illegal trading: • a civil penalty of the greater of a certain dollar amount or three times the profit gained or loss avoided as a result of the employee’s violation; and • a multi-million dollar criminal penalty. For more information on penalties, see Exhibit A hereto. Any of the above consequences, including an SEC investigation that does not result in prosecution, can tarnish the Company’s or an individual’s reputation and irreparably damage a career.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7"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IV. Our Policy General Prohibition on Trading. Company personnel and Related Persons (as defined below in this Section IV) may not buy, sell or gift securities of the Company while in possession of material non-public information or engage in any other action to take advantage of, or pass on to others, that information, subject to the specific exceptions noted below in this Section IV under the caption “Exceptions for Certain Transactions.” Transactions by Family Members, Others in Your Household and Entities You Control. The restrictions in this Policy also apply to (1) immediate family members 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 any entities that you influence or control, including any corporations, limited liability companies, partnerships or trusts (each person or entity identified in clauses (1) – (4), a “Related Person”).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 out periods and all other restrictions in this Policy. Furthermore, you should not participate in any investment club (i.e., groups of people who pool their money to make investments) that may invest in the Company’s securities. Other Companies’ Non-public Information. This Policy also applies with equal force to information relating to any other company, including our customers or suppliers, obtained by Company personnel during the course of their service to or employment by the Company. Specifically, no Company personnel who, in the course of work on behalf of the Company, learns of material non-public information may trade in any other company’s securities on the basis of that information until the information becomes public or is no longer material. Personal or Independent Reasons Are Not Exceptions. Transactions in the Company’s securities that may be necessary or justifiable for independent reasons (such as the need to raise money for an emergency expenditure) are no exception. Even the appearance of an improper transaction must be avoided to preserve our reputation for adhering to the highest standards of conduct. Policy Administrator. This Policy shall be administered by the “Policy Administrator,” named in Exhibit B, or his or her designee. When Information Becomes Public. This Policy applies to material non-public information about the Company, which means that trading is permitted once the information becomes known to the public (unless some other Company policy or legal obligation restricts trading at that time). Because the Company’s stockholders and the investing public should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8"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afforded time to receive and absorb information, as a general rule, you should not engage in any transactions until the beginning of the second business day after material information has been released. Thus, if an announcement is made before the market opens on a Monday, Wednesday generally would be the first day on which you may trade. If an announcement is made before the market opens on a Friday, Tuesday generally would be the first day on which you may trade. 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 Prohibited Trading Periods. While it is never permissible to trade based on material non-public information, we are implementing the following procedures to help prevent inadvertent violations of this Policy and avoid even the appearance of an improper transaction (which could result, for example, where Company personnel engage in a trade while unaware of a pending major development). (1) Black-Out Periods Applicable to All Company Personnel. All Company personnel and Related Persons are prohibited from trading in any of the Company’s securities during the following periods: • from the time each such individual becomes aware of the material non-public information (the black-out start times often vary), until the beginning of the second business day after the day the Company has made a public announcement of such material non-public information, including for example, earnings releases, unless the information released is complex, in which case it may be necessary to extend this period and the Policy Administrator will notify you of any such extension of the black-out period; and • during other specified periods when significant developments or announcements are anticipated, as notified by the Policy Administrator. You will be notified by the Policy Administrator when you may not trade in the Company’s securities during periods when significant developments or announcements are anticipated, in which event you will also be notified by the Policy Administrator when trading restrictions are lifted. Of course, even during periods when trading is permitted, no one, including persons or entities who do not fall within the definition of Related Persons, should trade in the Company’s securities if he or she possesses material non-public information. (2) Additional Black-Out Periods Applicable to the Board of Directors, Senior Management, Financial Team Members and Designated Individuals. In addition to being subject to the trading procedures applicable to all Company personnel (above), members of the Company’s Board of Directors, Senior Management, Financial Team Members, Designated Individuals (each as defined below) and Related Persons of such individuals are also subject to additional trading procedures and restrictions during the following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9"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 the periods from 15 days prior to the day of the close of each fiscal quarter until the beginning of the second business day after the release of the Company’s financial results for each quarter and, in the case of the fourth quarter, financial results for the year end; and • any other periods as determined by the Policy Administrator.. The following members of management constitute the “Senior Management” of the Company: all Executive (Section 16) Officers, as listed on Exhibit C hereto, which list shall be amended from time to time to reflect the then-current group of such individuals. The following individuals constitute the “Financial Team Members” of the Company: all members of the Company’s financial team, as listed on Exhibit D hereto, which list shall be amended from time to time to reflect the then-current group of such individuals. The following individuals constitute other “Designated Individuals” of the Company: certain additional members of Company personnel, as listed on Exhibit E hereto, which list shall be amended from time to time to reflect the then-current group of such individuals. The Policy Administrator may, from time to time, amend the list of and/or designate other employees as Senior Management, Financial Team Members or Designated Individuals in which case the Policy Administrator shall notify the affected individuals. Exceptions for Certain Transactions. (1) Mutual Funds. Transactions in mutual funds that are invested in the Company’s securities are not transactions subject to this Policy. (2) Transactions Involving Company Equity Plans. Except as otherwise noted below, this Policy does not apply to the following transactions: • Stock Option Exercises. This Policy does not apply to the exercise of an employee stock option acquired pursuant to 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 • Restricted Stock Awards and Restricted Stock Unit Awards. This Policy does not apply to the vesting of restricted stock or restricted stock units, or the exercise of a tax 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0"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Employee Stock Purchase Plan. This Policy does not apply to purchases of the Company’s securities under any employee stock purchase plan of the Company. This Policy does apply, however, to subsequent sales or other transfers of such securities. • Other Transactions with the Company. Any other purchase of the Company’s securities from the Company or sales of the Company’s securities to the Company are not subject to this Policy. (3) Rule 10b5-1 Trading Plans.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(“Trading Plans”),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In order to comply with this Policy, the Policy Administrator must pre-approve any such Trading Plan prior to its effectiveness. After a Trading Plan is approved, you must wait for a cooling-off period before the first trade is made under the Trading Plan. For persons subject to this Policy, transactions under a new Trading Plan may not occur before the later of (i) 90 days after adoption (including deemed adoption) of the Trading Plan or (ii) two business days after disclosure of the Company’s financial results in a Form 10-Q or Form 10-K for the quarter in which the Trading Plan was adopted or modified (subject to a maximum of 120 days after adoption of the Trading Plan). Once the Trading Plan is adopted, you must not exercise any influence over the amount of securities to be traded, the price at which they are to be traded or the dates of the trades. The Trading Plan must either specify the amount, pricing and timing of transactions in advance or delegate discretion on these matters to an independent third party. Any modification of a Trading Plan is the equivalent of entering into a new Trading Plan and cancelling the old Trading Plan and, accordingly, requires pre-clearance of such modification or deviation. Persons subject to this Policy may not maintain two separate Trading Plans, unless trading under the later- commencing plan is not authorized to begin until after all trades under the earlier-commencing plan are completed or expire without execution. If the first plan is terminated early, the first trade under the later-commencing plan, however, must not be scheduled to occur until after the effective cooling-off period following the termination of the earlier plan. Further, any termination of a Trading Plan must be immediately reported to the Policy Administrator. If a new Trading Plan (the “Second Plan”) intended to succeed an earlier pre-cleared Trading Plan (the “First Plan”) has been pre-cleared, you may not affirmatively terminate the First Plan without pre-clearance, because such termination is deemed to be entering into the Second Plan. Company personnel seeking to establish, modify or cancel a Trading Plan should contact the Policy Administrator. Pre-Clearance of All Acquisitions, Sales and Other Transfers by Certain Company Personnel. In order to ensure compliance with this Policy and with any Section 16 reporting requirements, all transactions in the Company’s securities (including acquisitions, sales, gifts and other transfers, whether or not for value), including the execution of Trading Plans, by members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1"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of the Company’s Board of Directors, Senior Management, Financial Team Members, Designated Individuals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about the Company after receiving the pre-clearance but prior to the execution of the transaction, you may not execute the transaction. The responsibility for determining whether you are in possession of material non- public information rests with you, as discussed below in Section V. If you are a Section 16 reporting person, promptly following execution of the transaction, but in no event later than the end of the first business day after the execution of the transaction, you must notify the Policy Administrator and provide details regarding the transaction sufficient to complete the required Section 16 filing. Employees of the Company who are not Directors, members of Senior Management, Financial Team Members or Designated Individuals may be required to pre-clear transactions in the Company’s securities in the same manner as set forth above, as notified by the Policy Administrator from time to time. Such employees are not required to notify the Policy Administrator following execution of the transaction. Please note that pre-clearance does not provide Company personnel with immunity from investigation or suit, for which it is the responsibility of the individual to comply with the federal securities regulations. V. Individual Responsibility Persons subject to this Policy have ethical and legal obligations to maintain the confidentiality of information about the Company and to refrain from engaging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 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Section III above. Tipping Information to Others. Company personnel must not disclose non-public information about the Company to others outside the Company who do not have an obligation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2"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maintain the confidentiality of such information. If the outsider trades on such information, penalties for insider trading may apply in these situations whether or not you derive any monetary benefit from the other person’s trading activities. Material non-public information is sometimes inadvertently disclosed or overheard in casual, social conversations. Please take care to avoid such disclosures. Prevention of Insider Trading by Others. If you become aware of a potential insider trading violation, you must immediately advise our Policy Administrator and/or report the matter using the Company’s anonymous whistleblower reporting procedures.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 Confidentiality. Serious problems could be caused for the Company by the unauthorized disclosure of internal information about the Company, whether or not for 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Meta, X,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the Company’s General Counsel and Corporate Secretary. Please review the Company’s separate Regulation FD Policy, which governs all public communications with people outside the Company. VI. Additional Prohibited Transactions Because we believe it is generally improper and inappropriate for Company personnel to engage in short-term or speculative transactions involving the Company’s securities, it is our general policy that Company personnel and Related Persons not engage in any of the following activities: • trading in the Company’s securities on a short-term basis. Any shares of Company common stock purchased in the open market must be held for a minimum of six months and ideally longer; • purchasing of financial instruments (including prepaid variable forward contracts, equity swaps, puts, calls, straddles, collars and exchange funds) that are designed to hedge or offset any decrease in the market value of the Company’s equity securities and entering into other transactions with the same economic effect, including short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3"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 borrowing or other arrangements involving pledges of securities or margin accounts; and • selling a security future that establishes a position that increases in value as the value of the underlying equity security decreases. VII. Post-Termination Transactions This Policy will no longer apply after termination of service to the Company. However, if an individual is in possession of material non-public information when his or her service terminates, that individual may not trade in the Company’s securities until that information has become public or is no longer material, and it would be prudent for the individual, if he or she is subject to a black-out period upon termination of service, to refrain from trading until those restrictions no longer apply to Company personnel. VIII. Company Assistance Any person who has any questions about specific transactions or this Policy in general may obtain additional guidance or request a waiver from the Policy Administrator. Remember, however, the ultimate responsibility for adhering to this Policy and avoiding improper transactions rests with you. In this regard, please use your best judgment when considering a transaction in the Company’s securities. IX. Certifications As a condition to employment, all employees will be required to certify their understanding of and intent to comply with this Policy. Members of the Board of Directors, Senior Management and other personnel may be required to certify compliance on an annual basis. X. Notifications by Policy Administrator All notifications by the Policy Administrator shall be by e-mail or via the Company’s equity compensation management platform, Shareworks.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34"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Exhibit A Applicable Penalties For individuals who trade while in possession of material non-public information (or tip information to others): • a civil penalty of up to three times the profit gained or loss avoided; • a criminal fine (no matter how small the profit) of up to $5 million; and • a jail term of up to 20 years. For a company (as well as possibly any supervisory person) that fails to take appropriate steps to prevent illegal trading: • a civil penalty of the greater of $1 million or three times the profit gained or loss avoided as a result of the employee’s violation; and • a criminal penalty of up to $25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5"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Exhibit B Policy Administrator Christian LaPointe, PhD General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6"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Exhibit C Senior Management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7"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Exhibit D Financial Team Members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8"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Exhibit E Designated Individuals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(Nos. 333-257676, 333-263514, 333-273934, 333-290559) and Form S-8 (Nos. 333-259271, 333-263154, 333-268301, 333-270630, 333-273350, 333-277533, 333-285510) of Quantum-Si Incorporated of our report dated March 3, 2026 relating to the financial statements, which appears in this Form 10-K.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March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We consent to the incorporation by reference in Registration Statement Nos. 333-259271, 333-263154, 333-270630, 333-277533 and 333-285510 on Form S-8 and Registration Statement Nos. 333-257676, 333-263514, 333-273934, and 333-290559 on Form S-3 of Quantum-Si Incorporated of our report dated February 29, 2024 (March 3, 2025, as to the effects of the adoption of ASU No.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shd w:fill="FFFFFF" w:val="clear"/>
        </w:rPr>
        <w:t>), relating to the 2023 financial statements of Quantum-Si Incorporated, appearing in this Annual Report on Form 10-K of Quantum-Si Incorporated for the year ended December 31,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March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Jeffrey Hawkins,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Quantum-Si Incorporated;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March 3, 2026</w:t>
      </w:r>
    </w:p>
    <w:tbl>
      <w:tblPr>
        <w:tblW w:w="3552" w:type="dxa"/>
        <w:jc w:val="left"/>
        <w:tblInd w:w="0" w:type="dxa"/>
        <w:tblLayout w:type="fixed"/>
        <w:tblCellMar>
          <w:top w:w="28" w:type="dxa"/>
          <w:left w:w="28" w:type="dxa"/>
          <w:bottom w:w="28" w:type="dxa"/>
          <w:right w:w="28" w:type="dxa"/>
        </w:tblCellMar>
      </w:tblPr>
      <w:tblGrid>
        <w:gridCol w:w="1152"/>
        <w:gridCol w:w="1012"/>
        <w:gridCol w:w="1016"/>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Jeffrey Hawkins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Jeffry Keyes,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Quantum-Si Incorporated;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March 3, 2026</w:t>
      </w:r>
    </w:p>
    <w:tbl>
      <w:tblPr>
        <w:tblW w:w="4211" w:type="dxa"/>
        <w:jc w:val="left"/>
        <w:tblInd w:w="0" w:type="dxa"/>
        <w:tblLayout w:type="fixed"/>
        <w:tblCellMar>
          <w:top w:w="28" w:type="dxa"/>
          <w:left w:w="28" w:type="dxa"/>
          <w:bottom w:w="28" w:type="dxa"/>
          <w:right w:w="28" w:type="dxa"/>
        </w:tblCellMar>
      </w:tblPr>
      <w:tblGrid>
        <w:gridCol w:w="1386"/>
        <w:gridCol w:w="1221"/>
        <w:gridCol w:w="1232"/>
        <w:gridCol w:w="109"/>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Jeffry Keyes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906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Annual Report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tbl>
      <w:tblPr>
        <w:tblW w:w="5759" w:type="dxa"/>
        <w:jc w:val="left"/>
        <w:tblInd w:w="0" w:type="dxa"/>
        <w:tblLayout w:type="fixed"/>
        <w:tblCellMar>
          <w:top w:w="28" w:type="dxa"/>
          <w:left w:w="28" w:type="dxa"/>
          <w:bottom w:w="28" w:type="dxa"/>
          <w:right w:w="28" w:type="dxa"/>
        </w:tblCellMar>
      </w:tblPr>
      <w:tblGrid>
        <w:gridCol w:w="683"/>
        <w:gridCol w:w="600"/>
        <w:gridCol w:w="606"/>
        <w:gridCol w:w="1130"/>
        <w:gridCol w:w="1130"/>
        <w:gridCol w:w="1610"/>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Dated: March 3, 2026</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Jeffrey Hawkins</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Dated: March 3, 2026</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Jeffry Keyes</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816431/000114036125036334/ny20056029x1_ex1-2.htm" TargetMode="External"/><Relationship Id="rId12" Type="http://schemas.openxmlformats.org/officeDocument/2006/relationships/hyperlink" Target="https://www.sec.gov/Archives/edgar/data/1816431/000110465921025083/tm217111d1_ex2-1.htm" TargetMode="External"/><Relationship Id="rId13" Type="http://schemas.openxmlformats.org/officeDocument/2006/relationships/hyperlink" Target="https://www.sec.gov/Archives/edgar/data/1816431/000110465921025083/tm217111d1_ex2-1.htm" TargetMode="External"/><Relationship Id="rId14" Type="http://schemas.openxmlformats.org/officeDocument/2006/relationships/hyperlink" Target="https://www.sec.gov/Archives/edgar/data/1816431/000162828024035626/qsiex31.htm" TargetMode="External"/><Relationship Id="rId15" Type="http://schemas.openxmlformats.org/officeDocument/2006/relationships/hyperlink" Target="https://www.sec.gov/Archives/edgar/data/1816431/000114036122007334/brhc10034564_ex3-2.htm" TargetMode="External"/><Relationship Id="rId16" Type="http://schemas.openxmlformats.org/officeDocument/2006/relationships/hyperlink" Target="https://www.sec.gov/Archives/edgar/data/1816431/000114036122007334/brhc10034564_ex3-2.htm" TargetMode="External"/><Relationship Id="rId17" Type="http://schemas.openxmlformats.org/officeDocument/2006/relationships/hyperlink" Target="https://www.sec.gov/Archives/edgar/data/1816431/000114036124010438/ef20015319_ex4-1.htm" TargetMode="External"/><Relationship Id="rId18" Type="http://schemas.openxmlformats.org/officeDocument/2006/relationships/hyperlink" Target="https://www.sec.gov/Archives/edgar/data/1816431/000110465921064151/tm217673d12_ex4-1.htm" TargetMode="External"/><Relationship Id="rId19" Type="http://schemas.openxmlformats.org/officeDocument/2006/relationships/hyperlink" Target="https://www.sec.gov/Archives/edgar/data/1816431/000110465920103448/tm2030387d1_ex4-1.htm" TargetMode="External"/><Relationship Id="rId20" Type="http://schemas.openxmlformats.org/officeDocument/2006/relationships/hyperlink" Target="https://www.sec.gov/Archives/edgar/data/1816431/000110465921025083/tm217111d1_ex10-1.htm" TargetMode="External"/><Relationship Id="rId21" Type="http://schemas.openxmlformats.org/officeDocument/2006/relationships/hyperlink" Target="https://www.sec.gov/Archives/edgar/data/1816431/000110465921025499/tm217238d1_ex10-2.htm" TargetMode="External"/><Relationship Id="rId22" Type="http://schemas.openxmlformats.org/officeDocument/2006/relationships/hyperlink" Target="https://www.sec.gov/Archives/edgar/data/1816431/000110465921025499/tm217238d1_ex10-3.htm" TargetMode="External"/><Relationship Id="rId23" Type="http://schemas.openxmlformats.org/officeDocument/2006/relationships/hyperlink" Target="https://www.sec.gov/Archives/edgar/data/1816431/000110465921026323/tm217569d1_ex10-1.htm" TargetMode="External"/><Relationship Id="rId24" Type="http://schemas.openxmlformats.org/officeDocument/2006/relationships/hyperlink" Target="https://www.sec.gov/Archives/edgar/data/1816431/000110465921025083/tm217111d1_ex10-4.htm" TargetMode="External"/><Relationship Id="rId25" Type="http://schemas.openxmlformats.org/officeDocument/2006/relationships/hyperlink" Target="https://www.sec.gov/Archives/edgar/data/1816431/000114036123012126/brhc10049653_ex10-6.htm" TargetMode="External"/><Relationship Id="rId26" Type="http://schemas.openxmlformats.org/officeDocument/2006/relationships/hyperlink" Target="https://www.sec.gov/Archives/edgar/data/1816431/000114036122035951/brhc10042621_ex10-1.htm" TargetMode="External"/><Relationship Id="rId27" Type="http://schemas.openxmlformats.org/officeDocument/2006/relationships/hyperlink" Target="https://www.sec.gov/Archives/edgar/data/1816431/000114036123022308/brhc20052203_ex10-1.htm" TargetMode="External"/><Relationship Id="rId28" Type="http://schemas.openxmlformats.org/officeDocument/2006/relationships/hyperlink" Target="https://www.sec.gov/Archives/edgar/data/1816431/000114036122007334/brhc10034564_ex10-12.htm" TargetMode="External"/><Relationship Id="rId29" Type="http://schemas.openxmlformats.org/officeDocument/2006/relationships/hyperlink" Target="https://www.sec.gov/Archives/edgar/data/1816431/000110465921081560/tm2118908d1_ex10-13d1.htm" TargetMode="External"/><Relationship Id="rId30" Type="http://schemas.openxmlformats.org/officeDocument/2006/relationships/hyperlink" Target="https://www.sec.gov/Archives/edgar/data/1816431/000110465921081560/tm2118908d1_ex10-13d1.htm" TargetMode="External"/><Relationship Id="rId31" Type="http://schemas.openxmlformats.org/officeDocument/2006/relationships/hyperlink" Target="https://www.sec.gov/Archives/edgar/data/1816431/000110465921081560/tm2118908d1_ex10-13d1.htm" TargetMode="External"/><Relationship Id="rId32" Type="http://schemas.openxmlformats.org/officeDocument/2006/relationships/hyperlink" Target="https://www.sec.gov/Archives/edgar/data/1816431/000110465921081560/tm2118908d1_ex10-13d2.htm" TargetMode="External"/><Relationship Id="rId33" Type="http://schemas.openxmlformats.org/officeDocument/2006/relationships/hyperlink" Target="https://www.sec.gov/Archives/edgar/data/1816431/000110465921081560/tm2118908d1_ex10-13d2.htm" TargetMode="External"/><Relationship Id="rId34" Type="http://schemas.openxmlformats.org/officeDocument/2006/relationships/hyperlink" Target="https://www.sec.gov/Archives/edgar/data/1816431/000110465921081560/tm2118908d1_ex10-13d2.htm" TargetMode="External"/><Relationship Id="rId35" Type="http://schemas.openxmlformats.org/officeDocument/2006/relationships/hyperlink" Target="https://www.sec.gov/Archives/edgar/data/1816431/000114036124010438/ef20015319_ex10-13-3.htm" TargetMode="External"/><Relationship Id="rId36" Type="http://schemas.openxmlformats.org/officeDocument/2006/relationships/hyperlink" Target="https://www.sec.gov/Archives/edgar/data/1816431/000114036124010438/ef20015319_ex10-13-3.htm" TargetMode="External"/><Relationship Id="rId37" Type="http://schemas.openxmlformats.org/officeDocument/2006/relationships/hyperlink" Target="https://www.sec.gov/Archives/edgar/data/1816431/000114036124010438/ef20015319_ex10-13-3.htm" TargetMode="External"/><Relationship Id="rId38" Type="http://schemas.openxmlformats.org/officeDocument/2006/relationships/hyperlink" Target="https://www.sec.gov/Archives/edgar/data/1816431/000110465921081560/tm2118908d1_ex10-14d1.htm" TargetMode="External"/><Relationship Id="rId39" Type="http://schemas.openxmlformats.org/officeDocument/2006/relationships/hyperlink" Target="https://www.sec.gov/Archives/edgar/data/1816431/000110465921081560/tm2118908d1_ex10-14d1.htm" TargetMode="External"/><Relationship Id="rId40" Type="http://schemas.openxmlformats.org/officeDocument/2006/relationships/hyperlink" Target="https://www.sec.gov/Archives/edgar/data/1816431/000110465921081560/tm2118908d1_ex10-14d1.htm" TargetMode="External"/><Relationship Id="rId41" Type="http://schemas.openxmlformats.org/officeDocument/2006/relationships/hyperlink" Target="https://www.sec.gov/Archives/edgar/data/1816431/000110465921081560/tm2118908d1_ex10-14d2.htm" TargetMode="External"/><Relationship Id="rId42" Type="http://schemas.openxmlformats.org/officeDocument/2006/relationships/hyperlink" Target="https://www.sec.gov/Archives/edgar/data/1816431/000110465921081560/tm2118908d1_ex10-14d2.htm" TargetMode="External"/><Relationship Id="rId43" Type="http://schemas.openxmlformats.org/officeDocument/2006/relationships/hyperlink" Target="https://www.sec.gov/Archives/edgar/data/1816431/000110465921081560/tm2118908d1_ex10-14d2.htm" TargetMode="External"/><Relationship Id="rId44" Type="http://schemas.openxmlformats.org/officeDocument/2006/relationships/hyperlink" Target="https://www.sec.gov/Archives/edgar/data/1816431/000110465921081560/tm2118908d1_ex10-14d3.htm" TargetMode="External"/><Relationship Id="rId45" Type="http://schemas.openxmlformats.org/officeDocument/2006/relationships/hyperlink" Target="https://www.sec.gov/Archives/edgar/data/1816431/000110465921081560/tm2118908d1_ex10-14d3.htm" TargetMode="External"/><Relationship Id="rId46" Type="http://schemas.openxmlformats.org/officeDocument/2006/relationships/hyperlink" Target="https://www.sec.gov/Archives/edgar/data/1816431/000110465921081560/tm2118908d1_ex10-14d3.htm" TargetMode="External"/><Relationship Id="rId47" Type="http://schemas.openxmlformats.org/officeDocument/2006/relationships/hyperlink" Target="https://www.sec.gov/Archives/edgar/data/1816431/000114036122040956/brhc10043872_ex99-1.htm" TargetMode="External"/><Relationship Id="rId48" Type="http://schemas.openxmlformats.org/officeDocument/2006/relationships/hyperlink" Target="https://www.sec.gov/Archives/edgar/data/1816431/000114036122040956/brhc10043872_ex99-1.htm" TargetMode="External"/><Relationship Id="rId49" Type="http://schemas.openxmlformats.org/officeDocument/2006/relationships/hyperlink" Target="https://www.sec.gov/Archives/edgar/data/1816431/000114036122040956/brhc10043872_ex99-1.htm" TargetMode="External"/><Relationship Id="rId50" Type="http://schemas.openxmlformats.org/officeDocument/2006/relationships/hyperlink" Target="https://www.sec.gov/Archives/edgar/data/1816431/000114036124010438/ef20015319_ex10-16.htm" TargetMode="External"/><Relationship Id="rId51" Type="http://schemas.openxmlformats.org/officeDocument/2006/relationships/hyperlink" Target="https://www.sec.gov/Archives/edgar/data/1816431/000114036124010438/ef20015319_ex10-16.htm" TargetMode="External"/><Relationship Id="rId52" Type="http://schemas.openxmlformats.org/officeDocument/2006/relationships/hyperlink" Target="https://www.sec.gov/Archives/edgar/data/1816431/000114036124010438/ef20015319_ex10-16.htm" TargetMode="External"/><Relationship Id="rId53" Type="http://schemas.openxmlformats.org/officeDocument/2006/relationships/hyperlink" Target="https://www.sec.gov/Archives/edgar/data/1816431/000110465921081560/tm2118908d1_ex10-16.htm" TargetMode="External"/><Relationship Id="rId54" Type="http://schemas.openxmlformats.org/officeDocument/2006/relationships/hyperlink" Target="https://www.sec.gov/Archives/edgar/data/1816431/000110465921081560/tm2118908d1_ex10-16.htm" TargetMode="External"/><Relationship Id="rId55" Type="http://schemas.openxmlformats.org/officeDocument/2006/relationships/hyperlink" Target="https://www.sec.gov/Archives/edgar/data/1816431/000110465921081560/tm2118908d1_ex10-16.htm" TargetMode="External"/><Relationship Id="rId56" Type="http://schemas.openxmlformats.org/officeDocument/2006/relationships/hyperlink" Target="https://www.sec.gov/Archives/edgar/data/1816431/000110465921081560/tm2118908d1_ex10-17.htm" TargetMode="External"/><Relationship Id="rId57" Type="http://schemas.openxmlformats.org/officeDocument/2006/relationships/hyperlink" Target="https://www.sec.gov/Archives/edgar/data/1816431/000110465921081560/tm2118908d1_ex10-17.htm" TargetMode="External"/><Relationship Id="rId58" Type="http://schemas.openxmlformats.org/officeDocument/2006/relationships/hyperlink" Target="https://www.sec.gov/Archives/edgar/data/1816431/000110465921085103/tm2120588d1_ex10-1.htm" TargetMode="External"/><Relationship Id="rId59" Type="http://schemas.openxmlformats.org/officeDocument/2006/relationships/hyperlink" Target="https://www.sec.gov/Archives/edgar/data/1816431/000110465921085103/tm2120588d1_ex10-1.htm" TargetMode="External"/><Relationship Id="rId60" Type="http://schemas.openxmlformats.org/officeDocument/2006/relationships/hyperlink" Target="https://www.sec.gov/Archives/edgar/data/1816431/000181643125000060/mutualreleaseagreement.htm" TargetMode="External"/><Relationship Id="rId61" Type="http://schemas.openxmlformats.org/officeDocument/2006/relationships/hyperlink" Target="https://www.sec.gov/Archives/edgar/data/1816431/000181643125000060/mutualreleaseagreement.htm" TargetMode="External"/><Relationship Id="rId62" Type="http://schemas.openxmlformats.org/officeDocument/2006/relationships/hyperlink" Target="https://www.sec.gov/Archives/edgar/data/1816431/000181643125000060/mutualreleaseagreement.htm" TargetMode="External"/><Relationship Id="rId63" Type="http://schemas.openxmlformats.org/officeDocument/2006/relationships/hyperlink" Target="https://www.sec.gov/Archives/edgar/data/1816431/000181643124000020/ex103quantum-siamended2023.htm" TargetMode="External"/><Relationship Id="rId64" Type="http://schemas.openxmlformats.org/officeDocument/2006/relationships/hyperlink" Target="https://www.sec.gov/Archives/edgar/data/1816431/000181643124000020/ex103quantum-siamended2023.htm" TargetMode="External"/><Relationship Id="rId65" Type="http://schemas.openxmlformats.org/officeDocument/2006/relationships/hyperlink" Target="https://www.sec.gov/Archives/edgar/data/1816431/000181643124000020/ex103quantum-siamended2023.htm" TargetMode="External"/><Relationship Id="rId66" Type="http://schemas.openxmlformats.org/officeDocument/2006/relationships/hyperlink" Target="https://www.sec.gov/Archives/edgar/data/1816431/000181643124000020/ex1031formofrsuagreement20.htm" TargetMode="External"/><Relationship Id="rId67" Type="http://schemas.openxmlformats.org/officeDocument/2006/relationships/hyperlink" Target="https://www.sec.gov/Archives/edgar/data/1816431/000181643124000020/ex1031formofrsuagreement20.htm" TargetMode="External"/><Relationship Id="rId68" Type="http://schemas.openxmlformats.org/officeDocument/2006/relationships/hyperlink" Target="https://www.sec.gov/Archives/edgar/data/1816431/000181643124000020/ex1031formofrsuagreement20.htm" TargetMode="External"/><Relationship Id="rId69" Type="http://schemas.openxmlformats.org/officeDocument/2006/relationships/hyperlink" Target="https://www.sec.gov/Archives/edgar/data/1816431/000114036123035435/brhc20056143_ex99-2.htm" TargetMode="External"/><Relationship Id="rId70" Type="http://schemas.openxmlformats.org/officeDocument/2006/relationships/hyperlink" Target="https://www.sec.gov/Archives/edgar/data/1816431/000114036123035435/brhc20056143_ex99-2.htm" TargetMode="External"/><Relationship Id="rId71" Type="http://schemas.openxmlformats.org/officeDocument/2006/relationships/hyperlink" Target="https://www.sec.gov/Archives/edgar/data/1816431/000114036123035435/brhc20056143_ex99-2.htm" TargetMode="External"/><Relationship Id="rId72" Type="http://schemas.openxmlformats.org/officeDocument/2006/relationships/hyperlink" Target="https://www.sec.gov/Archives/edgar/data/1816431/000181643124000020/ex101jvieceliemploymentlet.htm" TargetMode="External"/><Relationship Id="rId73" Type="http://schemas.openxmlformats.org/officeDocument/2006/relationships/hyperlink" Target="https://www.sec.gov/Archives/edgar/data/1816431/000181643124000020/ex101jvieceliemploymentlet.htm" TargetMode="External"/><Relationship Id="rId74" Type="http://schemas.openxmlformats.org/officeDocument/2006/relationships/hyperlink" Target="https://www.sec.gov/Archives/edgar/data/1816431/000181643124000020/ex101jvieceliemploymentlet.htm" TargetMode="External"/><Relationship Id="rId75" Type="http://schemas.openxmlformats.org/officeDocument/2006/relationships/hyperlink" Target="https://www.sec.gov/Archives/edgar/data/1816431/000114036124048977/ny20039409x4_ex10-1.htm" TargetMode="External"/><Relationship Id="rId76" Type="http://schemas.openxmlformats.org/officeDocument/2006/relationships/hyperlink" Target="https://www.sec.gov/Archives/edgar/data/1816431/000114036124048977/ny20039409x4_ex10-1.htm" TargetMode="External"/><Relationship Id="rId77" Type="http://schemas.openxmlformats.org/officeDocument/2006/relationships/hyperlink" Target="https://www.sec.gov/Archives/edgar/data/1816431/000114036125000295/ny20041128x2_ex10-1.htm" TargetMode="External"/><Relationship Id="rId78" Type="http://schemas.openxmlformats.org/officeDocument/2006/relationships/hyperlink" Target="https://www.sec.gov/Archives/edgar/data/1816431/000114036125000295/ny20041128x2_ex10-1.htm" TargetMode="External"/><Relationship Id="rId79" Type="http://schemas.openxmlformats.org/officeDocument/2006/relationships/hyperlink" Target="https://www.sec.gov/Archives/edgar/data/1816431/000114036125000295/ny20041128x2_ex10-2.htm" TargetMode="External"/><Relationship Id="rId80" Type="http://schemas.openxmlformats.org/officeDocument/2006/relationships/hyperlink" Target="https://www.sec.gov/Archives/edgar/data/1816431/000114036125000295/ny20041128x2_ex10-2.htm" TargetMode="External"/><Relationship Id="rId81" Type="http://schemas.openxmlformats.org/officeDocument/2006/relationships/hyperlink" Target="https://www.sec.gov/Archives/edgar/data/1816431/000114036125025059/ny20051645x2_ex10-1.htm" TargetMode="External"/><Relationship Id="rId82" Type="http://schemas.openxmlformats.org/officeDocument/2006/relationships/hyperlink" Target="https://www.sec.gov/Archives/edgar/data/1816431/000114036125025059/ny20051645x2_ex10-1.htm" TargetMode="External"/><Relationship Id="rId83" Type="http://schemas.openxmlformats.org/officeDocument/2006/relationships/hyperlink" Target="https://www.sec.gov/Archives/edgar/data/1816431/000114036125025059/ny20051645x2_ex10-2.htm" TargetMode="External"/><Relationship Id="rId84" Type="http://schemas.openxmlformats.org/officeDocument/2006/relationships/hyperlink" Target="https://www.sec.gov/Archives/edgar/data/1816431/000114036125025059/ny20051645x2_ex10-2.htm" TargetMode="External"/><Relationship Id="rId85" Type="http://schemas.openxmlformats.org/officeDocument/2006/relationships/hyperlink" Target="https://www.sec.gov/Archives/edgar/data/1816431/000181643125000066/bennettseparationagreeme.htm" TargetMode="External"/><Relationship Id="rId86" Type="http://schemas.openxmlformats.org/officeDocument/2006/relationships/hyperlink" Target="https://www.sec.gov/Archives/edgar/data/1816431/000181643125000066/bennettseparationagreeme.htm" TargetMode="External"/><Relationship Id="rId87" Type="http://schemas.openxmlformats.org/officeDocument/2006/relationships/hyperlink" Target="https://www.sec.gov/Archives/edgar/data/1816431/000181643125000066/bennettseparationagreeme.htm" TargetMode="External"/><Relationship Id="rId88" Type="http://schemas.openxmlformats.org/officeDocument/2006/relationships/hyperlink" Target="https://www.sec.gov/Archives/edgar/data/1816431/000181643125000066/bennettseparationagreeme.htm" TargetMode="External"/><Relationship Id="rId89" Type="http://schemas.openxmlformats.org/officeDocument/2006/relationships/hyperlink" Target="https://www.sec.gov/Archives/edgar/data/1816431/000114036124029281/ef20030855_ex16-1.htm" TargetMode="External"/><Relationship Id="rId90" Type="http://schemas.openxmlformats.org/officeDocument/2006/relationships/hyperlink" Target="https://www.sec.gov/Archives/edgar/data/1816431/000114036123012126/brhc10049653_ex21-1.htm" TargetMode="External"/><Relationship Id="rId91" Type="http://schemas.openxmlformats.org/officeDocument/2006/relationships/hyperlink" Target="https://www.sec.gov/Archives/edgar/data/1816431/000114036124010438/ef20015319_ex97.htm" TargetMode="External"/><Relationship Id="rId92" Type="http://schemas.openxmlformats.org/officeDocument/2006/relationships/image" Target="media/image10.jpeg"/><Relationship Id="rId93" Type="http://schemas.openxmlformats.org/officeDocument/2006/relationships/image" Target="media/image11.jpeg"/><Relationship Id="rId94" Type="http://schemas.openxmlformats.org/officeDocument/2006/relationships/image" Target="media/image12.jpeg"/><Relationship Id="rId95" Type="http://schemas.openxmlformats.org/officeDocument/2006/relationships/image" Target="media/image13.jpeg"/><Relationship Id="rId96" Type="http://schemas.openxmlformats.org/officeDocument/2006/relationships/image" Target="media/image14.jpeg"/><Relationship Id="rId97" Type="http://schemas.openxmlformats.org/officeDocument/2006/relationships/image" Target="media/image15.jpeg"/><Relationship Id="rId98" Type="http://schemas.openxmlformats.org/officeDocument/2006/relationships/image" Target="media/image16.jpeg"/><Relationship Id="rId99" Type="http://schemas.openxmlformats.org/officeDocument/2006/relationships/image" Target="media/image17.jpeg"/><Relationship Id="rId100" Type="http://schemas.openxmlformats.org/officeDocument/2006/relationships/image" Target="media/image18.jpeg"/><Relationship Id="rId101" Type="http://schemas.openxmlformats.org/officeDocument/2006/relationships/image" Target="media/image19.jpeg"/><Relationship Id="rId102" Type="http://schemas.openxmlformats.org/officeDocument/2006/relationships/image" Target="media/image20.jpeg"/><Relationship Id="rId103" Type="http://schemas.openxmlformats.org/officeDocument/2006/relationships/image" Target="media/image21.jpeg"/><Relationship Id="rId104" Type="http://schemas.openxmlformats.org/officeDocument/2006/relationships/image" Target="media/image22.jpeg"/><Relationship Id="rId105" Type="http://schemas.openxmlformats.org/officeDocument/2006/relationships/image" Target="media/image23.jpeg"/><Relationship Id="rId106" Type="http://schemas.openxmlformats.org/officeDocument/2006/relationships/image" Target="media/image24.jpeg"/><Relationship Id="rId107" Type="http://schemas.openxmlformats.org/officeDocument/2006/relationships/image" Target="media/image25.jpeg"/><Relationship Id="rId108" Type="http://schemas.openxmlformats.org/officeDocument/2006/relationships/image" Target="media/image26.jpeg"/><Relationship Id="rId109" Type="http://schemas.openxmlformats.org/officeDocument/2006/relationships/image" Target="media/image27.jpeg"/><Relationship Id="rId110" Type="http://schemas.openxmlformats.org/officeDocument/2006/relationships/image" Target="media/image28.jpeg"/><Relationship Id="rId111" Type="http://schemas.openxmlformats.org/officeDocument/2006/relationships/image" Target="media/image29.jpeg"/><Relationship Id="rId112" Type="http://schemas.openxmlformats.org/officeDocument/2006/relationships/image" Target="media/image30.jpeg"/><Relationship Id="rId113" Type="http://schemas.openxmlformats.org/officeDocument/2006/relationships/image" Target="media/image31.jpeg"/><Relationship Id="rId114" Type="http://schemas.openxmlformats.org/officeDocument/2006/relationships/image" Target="media/image32.jpeg"/><Relationship Id="rId115" Type="http://schemas.openxmlformats.org/officeDocument/2006/relationships/image" Target="media/image33.jpeg"/><Relationship Id="rId116" Type="http://schemas.openxmlformats.org/officeDocument/2006/relationships/image" Target="media/image34.jpeg"/><Relationship Id="rId117" Type="http://schemas.openxmlformats.org/officeDocument/2006/relationships/image" Target="media/image35.jpeg"/><Relationship Id="rId118" Type="http://schemas.openxmlformats.org/officeDocument/2006/relationships/image" Target="media/image36.jpeg"/><Relationship Id="rId119" Type="http://schemas.openxmlformats.org/officeDocument/2006/relationships/image" Target="media/image37.jpeg"/><Relationship Id="rId120" Type="http://schemas.openxmlformats.org/officeDocument/2006/relationships/image" Target="media/image38.jpeg"/><Relationship Id="rId121" Type="http://schemas.openxmlformats.org/officeDocument/2006/relationships/fontTable" Target="fontTable.xml"/><Relationship Id="rId1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87814</Words>
  <Characters>493516</Characters>
  <CharactersWithSpaces>578895</CharactersWithSpaces>
  <Paragraphs>3901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quantum-sixinsidertradin</dc:title>
</cp:coreProperties>
</file>