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57" w:lineRule="exact"/>
        <w:rPr>
          <w:sz w:val="24"/>
          <w:szCs w:val="24"/>
          <w:color w:val="auto"/>
        </w:rPr>
      </w:pPr>
    </w:p>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File Pursuant to Rule 424(b)(4)</w:t>
      </w:r>
    </w:p>
    <w:p>
      <w:pPr>
        <w:jc w:val="right"/>
        <w:ind w:right="659"/>
        <w:spacing w:after="0" w:line="225" w:lineRule="auto"/>
        <w:rPr>
          <w:sz w:val="20"/>
          <w:szCs w:val="20"/>
          <w:color w:val="auto"/>
        </w:rPr>
      </w:pPr>
      <w:r>
        <w:rPr>
          <w:rFonts w:ascii="Times New Roman" w:cs="Times New Roman" w:eastAsia="Times New Roman" w:hAnsi="Times New Roman"/>
          <w:sz w:val="18"/>
          <w:szCs w:val="18"/>
          <w:b w:val="1"/>
          <w:bCs w:val="1"/>
          <w:color w:val="auto"/>
        </w:rPr>
        <w:t>Registration No. 333-240283</w:t>
      </w:r>
    </w:p>
    <w:p>
      <w:pPr>
        <w:ind w:left="1260"/>
        <w:spacing w:after="0" w:line="198" w:lineRule="auto"/>
        <w:rPr>
          <w:sz w:val="20"/>
          <w:szCs w:val="20"/>
          <w:color w:val="auto"/>
        </w:rPr>
      </w:pPr>
      <w:r>
        <w:rPr>
          <w:rFonts w:ascii="Times New Roman" w:cs="Times New Roman" w:eastAsia="Times New Roman" w:hAnsi="Times New Roman"/>
          <w:sz w:val="14"/>
          <w:szCs w:val="14"/>
          <w:b w:val="1"/>
          <w:bCs w:val="1"/>
          <w:color w:val="auto"/>
        </w:rPr>
        <w:t>PROSPECTUS</w:t>
      </w:r>
    </w:p>
    <w:p>
      <w:pPr>
        <w:spacing w:after="0" w:line="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25"/>
          <w:szCs w:val="25"/>
          <w:b w:val="1"/>
          <w:bCs w:val="1"/>
          <w:color w:val="auto"/>
        </w:rPr>
        <w:t>HighCape Capital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80010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3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$100,000,000</w:t>
      </w:r>
    </w:p>
    <w:p>
      <w:pPr>
        <w:spacing w:after="0" w:line="1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10,000,000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73025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94" w:lineRule="exact"/>
        <w:rPr>
          <w:sz w:val="24"/>
          <w:szCs w:val="24"/>
          <w:color w:val="auto"/>
        </w:rPr>
      </w:pPr>
    </w:p>
    <w:p>
      <w:pPr>
        <w:ind w:left="1260" w:right="759" w:firstLine="360"/>
        <w:spacing w:after="0"/>
        <w:rPr>
          <w:sz w:val="20"/>
          <w:szCs w:val="20"/>
          <w:color w:val="auto"/>
        </w:rPr>
      </w:pPr>
      <w:r>
        <w:rPr>
          <w:rFonts w:ascii="Times New Roman" w:cs="Times New Roman" w:eastAsia="Times New Roman" w:hAnsi="Times New Roman"/>
          <w:sz w:val="14"/>
          <w:szCs w:val="14"/>
          <w:color w:val="auto"/>
        </w:rPr>
        <w:t>HighCape Capital Acquisition Corp. is a blank check company whose business purpose is to effect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85" w:lineRule="exact"/>
        <w:rPr>
          <w:sz w:val="24"/>
          <w:szCs w:val="24"/>
          <w:color w:val="auto"/>
        </w:rPr>
      </w:pPr>
    </w:p>
    <w:p>
      <w:pPr>
        <w:ind w:left="1260" w:right="799" w:firstLine="360"/>
        <w:spacing w:after="0" w:line="217" w:lineRule="auto"/>
        <w:rPr>
          <w:sz w:val="20"/>
          <w:szCs w:val="20"/>
          <w:color w:val="auto"/>
        </w:rPr>
      </w:pPr>
      <w:r>
        <w:rPr>
          <w:rFonts w:ascii="Times New Roman" w:cs="Times New Roman" w:eastAsia="Times New Roman" w:hAnsi="Times New Roman"/>
          <w:sz w:val="14"/>
          <w:szCs w:val="14"/>
          <w:color w:val="auto"/>
        </w:rPr>
        <w:t>This is an initial public offering of our securities. Each unit has an offering price of $10.00 and consists of one share of Class A common stock and one -third of one redeemable warrant. Each whole warrant entitles the holder thereof to purchase one share of Class A common stock at a price of $ 11.50 per share, subject to adjustment as described herein. Only whole warrants are exercisable. No fractional warrants will be issued upon separation of the units and only whole warrants will trade. The underwriters have a 45-day option from the date of this prospectus to purchase up to 1,500,000 additional units to cover over-allotments, if any.</w:t>
      </w:r>
    </w:p>
    <w:p>
      <w:pPr>
        <w:spacing w:after="0" w:line="1" w:lineRule="exact"/>
        <w:rPr>
          <w:sz w:val="24"/>
          <w:szCs w:val="24"/>
          <w:color w:val="auto"/>
        </w:rPr>
      </w:pPr>
    </w:p>
    <w:p>
      <w:pPr>
        <w:ind w:left="1260" w:right="679" w:firstLine="360"/>
        <w:spacing w:after="0" w:line="209" w:lineRule="auto"/>
        <w:rPr>
          <w:sz w:val="20"/>
          <w:szCs w:val="20"/>
          <w:color w:val="auto"/>
        </w:rPr>
      </w:pPr>
      <w:r>
        <w:rPr>
          <w:rFonts w:ascii="Times New Roman" w:cs="Times New Roman" w:eastAsia="Times New Roman" w:hAnsi="Times New Roman"/>
          <w:sz w:val="14"/>
          <w:szCs w:val="14"/>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(net of amounts which may be withdrawn to pay our taxes (“permitted withdrawals”)), divided by the number of then outstanding shares of Class A common stock that were sold as part of the units in this offering, which we refer to collectively as our public shares, subject to the limitations and on the conditions described herein. If we do not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(net of permitted withdrawals and up to $ 100,000 of interest to pay dissolution expenses), divided by the number of then outstanding public shares, subject to applicable law and certain conditions as further described herein.</w:t>
      </w:r>
    </w:p>
    <w:p>
      <w:pPr>
        <w:spacing w:after="0" w:line="2" w:lineRule="exact"/>
        <w:rPr>
          <w:sz w:val="24"/>
          <w:szCs w:val="24"/>
          <w:color w:val="auto"/>
        </w:rPr>
      </w:pPr>
    </w:p>
    <w:p>
      <w:pPr>
        <w:ind w:left="1260" w:right="679" w:firstLine="360"/>
        <w:spacing w:after="0"/>
        <w:rPr>
          <w:sz w:val="20"/>
          <w:szCs w:val="20"/>
          <w:color w:val="auto"/>
        </w:rPr>
      </w:pPr>
      <w:r>
        <w:rPr>
          <w:rFonts w:ascii="Times New Roman" w:cs="Times New Roman" w:eastAsia="Times New Roman" w:hAnsi="Times New Roman"/>
          <w:sz w:val="14"/>
          <w:szCs w:val="14"/>
          <w:color w:val="auto"/>
        </w:rPr>
        <w:t>Our sponsor, HighCape Capital Acquisition LLC, has committed to purchase an aggregate of 375,000 units (or 405,000 units if the underwriters’ over-allotment option is exercised in full), at a price of $ 10.00 per unit, or $3,750,000 in the aggregate (or $ 4,050,000 if the underwriters’ over- allotment option is exercised in full), in a private placement that will close simultaneously with the closing of this offering. The private placement units are identical to the units sold in this offering, subject to certain limited exceptions as described in this prospectus.</w:t>
      </w:r>
    </w:p>
    <w:p>
      <w:pPr>
        <w:spacing w:after="0" w:line="85" w:lineRule="exact"/>
        <w:rPr>
          <w:sz w:val="24"/>
          <w:szCs w:val="24"/>
          <w:color w:val="auto"/>
        </w:rPr>
      </w:pPr>
    </w:p>
    <w:p>
      <w:pPr>
        <w:ind w:left="1260" w:right="699" w:firstLine="360"/>
        <w:spacing w:after="0" w:line="221" w:lineRule="auto"/>
        <w:rPr>
          <w:sz w:val="20"/>
          <w:szCs w:val="20"/>
          <w:color w:val="auto"/>
        </w:rPr>
      </w:pPr>
      <w:r>
        <w:rPr>
          <w:rFonts w:ascii="Times New Roman" w:cs="Times New Roman" w:eastAsia="Times New Roman" w:hAnsi="Times New Roman"/>
          <w:sz w:val="14"/>
          <w:szCs w:val="14"/>
          <w:color w:val="auto"/>
        </w:rPr>
        <w:t>Our initial stockholders currently own an aggregate of 2,875,000 shares of Class B common stock (up to 375,000 shares of which are subject to forfeiture depending on the extent to which the underwriters’ over- allotment option is exercised), which will automatically convert into shares of Class A common stock concurrently with or immediately following the consummation of our initial business combination on a one-for-one basis, subject to the adjustments described herein.</w:t>
      </w:r>
    </w:p>
    <w:p>
      <w:pPr>
        <w:spacing w:after="0" w:line="1" w:lineRule="exact"/>
        <w:rPr>
          <w:sz w:val="24"/>
          <w:szCs w:val="24"/>
          <w:color w:val="auto"/>
        </w:rPr>
      </w:pPr>
    </w:p>
    <w:p>
      <w:pPr>
        <w:ind w:left="1260" w:right="679" w:firstLine="360"/>
        <w:spacing w:after="0"/>
        <w:rPr>
          <w:sz w:val="20"/>
          <w:szCs w:val="20"/>
          <w:color w:val="auto"/>
        </w:rPr>
      </w:pPr>
      <w:r>
        <w:rPr>
          <w:rFonts w:ascii="Times New Roman" w:cs="Times New Roman" w:eastAsia="Times New Roman" w:hAnsi="Times New Roman"/>
          <w:sz w:val="14"/>
          <w:szCs w:val="14"/>
          <w:color w:val="auto"/>
        </w:rPr>
        <w:t>Deerfield Management Company, L.P., which we refer to as Deerfield Management, has indicated that one or more domestic private pooled investment vehicles (which we refer to as the Deerfield Funds) managed by Deerfield Management and its affiliates has an interest in purchasing 1,000,000 units in this offering at the public offering price. However, because indications of interest are not binding agreements or commitments to purchase, the Deerfield Funds may decide not to purchase any units in this offering. In addition, the underwriters could determine to sell fewer or not to sell any units to the Deerfield Funds. The Deerfield Funds are also investing in our sponsor.</w:t>
      </w:r>
    </w:p>
    <w:p>
      <w:pPr>
        <w:spacing w:after="0" w:line="59" w:lineRule="exact"/>
        <w:rPr>
          <w:sz w:val="24"/>
          <w:szCs w:val="24"/>
          <w:color w:val="auto"/>
        </w:rPr>
      </w:pPr>
    </w:p>
    <w:p>
      <w:pPr>
        <w:ind w:left="1260" w:right="799" w:firstLine="360"/>
        <w:spacing w:after="0" w:line="201" w:lineRule="auto"/>
        <w:rPr>
          <w:sz w:val="20"/>
          <w:szCs w:val="20"/>
          <w:color w:val="auto"/>
        </w:rPr>
      </w:pPr>
      <w:r>
        <w:rPr>
          <w:rFonts w:ascii="Times New Roman" w:cs="Times New Roman" w:eastAsia="Times New Roman" w:hAnsi="Times New Roman"/>
          <w:sz w:val="14"/>
          <w:szCs w:val="14"/>
          <w:color w:val="auto"/>
        </w:rPr>
        <w:t>Currently, there is no public market for our units, Class A common stock or warrants. We have been approved to have our units listed on The Nasdaq Capital Market, or Nasdaq, under the symbol “CAPAU” on or promptly after the date of this prospectus. We expect the shares of Class A common stock and warrants comprising the units to begin separate trading on the 52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4"/>
          <w:szCs w:val="14"/>
          <w:color w:val="auto"/>
        </w:rPr>
        <w:t xml:space="preserve"> day following the date of this prospectus unless Cantor Fitzgerald &amp; Co. informs us of its decision to allow earlier separate trading, subject to our satisfaction of certain conditions. Once the securities comprising the units begin separate trading, we expect that the Class A common stock and warrants will be listed on Nasdaq under the symbols “CAPA” and CAPAW,”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57785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6" w:lineRule="exact"/>
        <w:rPr>
          <w:sz w:val="24"/>
          <w:szCs w:val="24"/>
          <w:color w:val="auto"/>
        </w:rPr>
      </w:pPr>
    </w:p>
    <w:p>
      <w:pPr>
        <w:ind w:left="1260" w:right="739" w:firstLine="360"/>
        <w:spacing w:after="0" w:line="253"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We are an “emerging growth company” under applicable federal securities laws and will be subject to reduced public company reporting requirements. Investing in our securities involves a high degree of risk. See “Risk Factors” beginning on page </w:t>
      </w:r>
      <w:hyperlink w:anchor="page33">
        <w:r>
          <w:rPr>
            <w:rFonts w:ascii="Times New Roman" w:cs="Times New Roman" w:eastAsia="Times New Roman" w:hAnsi="Times New Roman"/>
            <w:sz w:val="13"/>
            <w:szCs w:val="13"/>
            <w:b w:val="1"/>
            <w:bCs w:val="1"/>
            <w:u w:val="single" w:color="auto"/>
            <w:color w:val="0000EE"/>
          </w:rPr>
          <w:t>33</w:t>
        </w:r>
        <w:r>
          <w:rPr>
            <w:rFonts w:ascii="Times New Roman" w:cs="Times New Roman" w:eastAsia="Times New Roman" w:hAnsi="Times New Roman"/>
            <w:sz w:val="13"/>
            <w:szCs w:val="13"/>
            <w:b w:val="1"/>
            <w:bCs w:val="1"/>
            <w:u w:val="single" w:color="auto"/>
            <w:color w:val="auto"/>
          </w:rPr>
          <w:t xml:space="preserve"> </w:t>
        </w:r>
      </w:hyperlink>
      <w:r>
        <w:rPr>
          <w:rFonts w:ascii="Times New Roman" w:cs="Times New Roman" w:eastAsia="Times New Roman" w:hAnsi="Times New Roman"/>
          <w:sz w:val="13"/>
          <w:szCs w:val="13"/>
          <w:b w:val="1"/>
          <w:bCs w:val="1"/>
          <w:color w:val="auto"/>
        </w:rPr>
        <w:t>for a discussion of information that should be considered in connection with an investment in our securities. Investors will not be entitled to protections normally afforded to investors in Rule 419 blank check offerings.</w:t>
      </w:r>
    </w:p>
    <w:p>
      <w:pPr>
        <w:spacing w:after="0" w:line="3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3"/>
          <w:szCs w:val="13"/>
          <w:b w:val="1"/>
          <w:bCs w:val="1"/>
          <w:color w:val="auto"/>
        </w:rPr>
        <w:t>Neither the U.S. Securities and Exchange Commission nor any state securities commission has approved or disapproved of these securities or</w:t>
      </w:r>
    </w:p>
    <w:p>
      <w:pPr>
        <w:spacing w:after="0" w:line="29" w:lineRule="exact"/>
        <w:rPr>
          <w:sz w:val="24"/>
          <w:szCs w:val="24"/>
          <w:color w:val="auto"/>
        </w:rPr>
      </w:pPr>
    </w:p>
    <w:tbl>
      <w:tblPr>
        <w:tblLayout w:type="fixed"/>
        <w:tblInd w:w="1260" w:type="dxa"/>
        <w:tblCellMar>
          <w:top w:w="0" w:type="dxa"/>
          <w:left w:w="0" w:type="dxa"/>
          <w:bottom w:w="0" w:type="dxa"/>
          <w:right w:w="0" w:type="dxa"/>
        </w:tblCellMar>
      </w:tblPr>
      <w:tr>
        <w:trPr>
          <w:trHeight w:val="196"/>
        </w:trPr>
        <w:tc>
          <w:tcPr>
            <w:tcW w:w="6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determined if this prospectus is truthful or complete. Any representation to the contrary is a criminal offense.</w:t>
            </w:r>
          </w:p>
        </w:tc>
        <w:tc>
          <w:tcPr>
            <w:tcW w:w="8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Per</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66"/>
        </w:trPr>
        <w:tc>
          <w:tcPr>
            <w:tcW w:w="19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Unit</w:t>
            </w:r>
          </w:p>
        </w:tc>
        <w:tc>
          <w:tcPr>
            <w:tcW w:w="100" w:type="dxa"/>
            <w:vAlign w:val="bottom"/>
          </w:tcPr>
          <w:p>
            <w:pPr>
              <w:spacing w:after="0"/>
              <w:rPr>
                <w:sz w:val="14"/>
                <w:szCs w:val="14"/>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0"/>
        </w:trPr>
        <w:tc>
          <w:tcPr>
            <w:tcW w:w="1940" w:type="dxa"/>
            <w:vAlign w:val="bottom"/>
            <w:tcBorders>
              <w:bottom w:val="single" w:sz="8" w:color="CCEEFF"/>
            </w:tcBorders>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3"/>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offering price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100,000,000</w:t>
            </w:r>
          </w:p>
        </w:tc>
      </w:tr>
      <w:tr>
        <w:trPr>
          <w:trHeight w:val="175"/>
        </w:trPr>
        <w:tc>
          <w:tcPr>
            <w:tcW w:w="676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20"/>
                <w:szCs w:val="20"/>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5,500,000</w:t>
            </w:r>
          </w:p>
        </w:tc>
      </w:tr>
      <w:tr>
        <w:trPr>
          <w:trHeight w:val="175"/>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94,500,000</w:t>
            </w:r>
          </w:p>
        </w:tc>
      </w:tr>
      <w:tr>
        <w:trPr>
          <w:trHeight w:val="68"/>
        </w:trPr>
        <w:tc>
          <w:tcPr>
            <w:tcW w:w="1940" w:type="dxa"/>
            <w:vAlign w:val="bottom"/>
            <w:tcBorders>
              <w:bottom w:val="single" w:sz="8" w:color="auto"/>
            </w:tcBorders>
          </w:tcPr>
          <w:p>
            <w:pPr>
              <w:spacing w:after="0"/>
              <w:rPr>
                <w:sz w:val="5"/>
                <w:szCs w:val="5"/>
                <w:color w:val="auto"/>
              </w:rPr>
            </w:pPr>
          </w:p>
        </w:tc>
        <w:tc>
          <w:tcPr>
            <w:tcW w:w="48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802005</wp:posOffset>
            </wp:positionH>
            <wp:positionV relativeFrom="paragraph">
              <wp:posOffset>-401955</wp:posOffset>
            </wp:positionV>
            <wp:extent cx="4688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11" w:lineRule="exact"/>
        <w:rPr>
          <w:sz w:val="24"/>
          <w:szCs w:val="24"/>
          <w:color w:val="auto"/>
        </w:rPr>
      </w:pPr>
    </w:p>
    <w:p>
      <w:pPr>
        <w:ind w:left="1620" w:right="719" w:hanging="358"/>
        <w:spacing w:after="0"/>
        <w:tabs>
          <w:tab w:leader="none" w:pos="16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$0.20 per unit, or $2,000,000 in the aggregate (or $2,300,000 if the underwriters’ over-allotment option is exercised in full), is payable upon the closing of this offering. Includes $0.35 per unit, or $3,500,000 in the aggregate (or up to $4,025,000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beginning on page </w:t>
      </w:r>
      <w:hyperlink w:anchor="page145">
        <w:r>
          <w:rPr>
            <w:rFonts w:ascii="Times New Roman" w:cs="Times New Roman" w:eastAsia="Times New Roman" w:hAnsi="Times New Roman"/>
            <w:sz w:val="14"/>
            <w:szCs w:val="14"/>
            <w:u w:val="single" w:color="auto"/>
            <w:color w:val="0000EE"/>
          </w:rPr>
          <w:t>145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a description of compensation and other items of value payable to the underwriters.</w:t>
      </w:r>
    </w:p>
    <w:p>
      <w:pPr>
        <w:spacing w:after="0" w:line="110" w:lineRule="exact"/>
        <w:rPr>
          <w:sz w:val="24"/>
          <w:szCs w:val="24"/>
          <w:color w:val="auto"/>
        </w:rPr>
      </w:pPr>
    </w:p>
    <w:p>
      <w:pPr>
        <w:ind w:left="1260" w:right="739" w:firstLine="360"/>
        <w:spacing w:after="0" w:line="270" w:lineRule="auto"/>
        <w:rPr>
          <w:sz w:val="20"/>
          <w:szCs w:val="20"/>
          <w:color w:val="auto"/>
        </w:rPr>
      </w:pPr>
      <w:r>
        <w:rPr>
          <w:rFonts w:ascii="Times New Roman" w:cs="Times New Roman" w:eastAsia="Times New Roman" w:hAnsi="Times New Roman"/>
          <w:sz w:val="13"/>
          <w:szCs w:val="13"/>
          <w:color w:val="auto"/>
        </w:rPr>
        <w:t>Of the proceeds we receive from this offering and the sale of the private placement units described in this prospectus, $100 million, or $115 million if the underwriters’ over-allotment option is exercised in full ($10.00 per unit in either case), will be deposited into a trust account in the United States with Continental Stock Transfer &amp; Trust Company acting as trustee, after deducting $2,000,000 in underwriting discounts and commissions payable upon the closing of this offering (or $2,300,000 if the underwriters’ over-allotment option is exercised in full) and an aggregate of $1.75 million to pay expenses in connection with the closing of this offering and for working capital following this offering.</w:t>
      </w:r>
    </w:p>
    <w:p>
      <w:pPr>
        <w:spacing w:after="0" w:line="37" w:lineRule="exact"/>
        <w:rPr>
          <w:sz w:val="24"/>
          <w:szCs w:val="24"/>
          <w:color w:val="auto"/>
        </w:rPr>
      </w:pPr>
    </w:p>
    <w:p>
      <w:pPr>
        <w:ind w:left="1260" w:right="699" w:firstLine="360"/>
        <w:spacing w:after="0" w:line="299" w:lineRule="auto"/>
        <w:rPr>
          <w:sz w:val="20"/>
          <w:szCs w:val="20"/>
          <w:color w:val="auto"/>
        </w:rPr>
      </w:pPr>
      <w:r>
        <w:rPr>
          <w:rFonts w:ascii="Times New Roman" w:cs="Times New Roman" w:eastAsia="Times New Roman" w:hAnsi="Times New Roman"/>
          <w:sz w:val="13"/>
          <w:szCs w:val="13"/>
          <w:color w:val="auto"/>
        </w:rPr>
        <w:t>The underwriters are offering the units for sale on a firm commitment basis. The underwriters expect to deliver the units to the purchasers on or about September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11430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9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Cantor</w:t>
      </w:r>
    </w:p>
    <w:p>
      <w:pPr>
        <w:sectPr>
          <w:pgSz w:w="11900" w:h="16838" w:orient="portrait"/>
          <w:cols w:equalWidth="0" w:num="1">
            <w:col w:w="10139"/>
          </w:cols>
          <w:pgMar w:left="320" w:top="221" w:right="1440" w:bottom="1440" w:gutter="0" w:footer="0" w:header="0"/>
        </w:sectPr>
      </w:pPr>
    </w:p>
    <w:p>
      <w:pPr>
        <w:spacing w:after="0" w:line="5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7"/>
          <w:szCs w:val="17"/>
          <w:b w:val="1"/>
          <w:bCs w:val="1"/>
          <w:color w:val="auto"/>
        </w:rPr>
        <w:t>September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6806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221" w:right="1440"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225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6245" cy="8225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6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3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i w:val="1"/>
          <w:iCs w:val="1"/>
          <w:color w:val="auto"/>
        </w:rPr>
        <w:t>Unless otherwise stated in this prospectus or the context otherwise requires, references to:</w:t>
      </w:r>
    </w:p>
    <w:p>
      <w:pPr>
        <w:spacing w:after="0" w:line="104" w:lineRule="exact"/>
        <w:rPr>
          <w:sz w:val="20"/>
          <w:szCs w:val="20"/>
          <w:color w:val="auto"/>
        </w:rPr>
      </w:pPr>
    </w:p>
    <w:p>
      <w:pPr>
        <w:ind w:left="1820" w:right="839" w:hanging="180"/>
        <w:spacing w:after="0" w:line="284"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“amended and restated certificate of incorporation” are to our certificate of incorporation to be in effect upon the completion of this offering;</w:t>
      </w:r>
    </w:p>
    <w:p>
      <w:pPr>
        <w:spacing w:after="0" w:line="5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are to our board of directors;</w:t>
      </w:r>
    </w:p>
    <w:p>
      <w:pPr>
        <w:spacing w:after="0" w:line="117"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“Cantor” are to Cantor Fitzgerald &amp; Co., the representatives of the underwriters in this offering;</w:t>
      </w:r>
    </w:p>
    <w:p>
      <w:pPr>
        <w:spacing w:after="0" w:line="117"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“common stock” are to our Class A common stock and our Class B common stock;</w:t>
      </w:r>
    </w:p>
    <w:p>
      <w:pPr>
        <w:spacing w:after="0" w:line="117"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“directors” are to our current directors and director nominees;</w:t>
      </w:r>
    </w:p>
    <w:p>
      <w:pPr>
        <w:spacing w:after="0" w:line="117" w:lineRule="exact"/>
        <w:rPr>
          <w:rFonts w:ascii="Times New Roman" w:cs="Times New Roman" w:eastAsia="Times New Roman" w:hAnsi="Times New Roman"/>
          <w:sz w:val="18"/>
          <w:szCs w:val="18"/>
          <w:color w:val="auto"/>
        </w:rPr>
      </w:pPr>
    </w:p>
    <w:p>
      <w:pPr>
        <w:ind w:left="1820" w:right="739" w:hanging="180"/>
        <w:spacing w:after="0" w:line="264"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“equity-linked securities” are to any debt or equity securities that are convertible, exercisable or exchangeable for shares of our Class A common stock issued in a financing transaction in connection with our initial business combination, including but not limited to a private placement of such securities;</w:t>
      </w:r>
    </w:p>
    <w:p>
      <w:pPr>
        <w:spacing w:after="0" w:line="288" w:lineRule="exact"/>
        <w:rPr>
          <w:rFonts w:ascii="Times New Roman" w:cs="Times New Roman" w:eastAsia="Times New Roman" w:hAnsi="Times New Roman"/>
          <w:sz w:val="18"/>
          <w:szCs w:val="18"/>
          <w:color w:val="auto"/>
        </w:rPr>
      </w:pPr>
    </w:p>
    <w:p>
      <w:pPr>
        <w:jc w:val="both"/>
        <w:ind w:left="1820" w:right="719" w:hanging="180"/>
        <w:spacing w:after="0" w:line="267"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“founder shares” are to shares of our Class B common stock and the shares of our Class A common stock issued upon the automatic conversion thereof at the time of our initial business combination as provided herein;</w:t>
      </w:r>
    </w:p>
    <w:p>
      <w:pPr>
        <w:spacing w:after="0" w:line="65"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“HighCape” are to HighCape Capital, LP, a Delaware limited partnership;</w:t>
      </w:r>
    </w:p>
    <w:p>
      <w:pPr>
        <w:spacing w:after="0" w:line="103" w:lineRule="exact"/>
        <w:rPr>
          <w:rFonts w:ascii="Times New Roman" w:cs="Times New Roman" w:eastAsia="Times New Roman" w:hAnsi="Times New Roman"/>
          <w:sz w:val="18"/>
          <w:szCs w:val="18"/>
          <w:color w:val="auto"/>
        </w:rPr>
      </w:pPr>
    </w:p>
    <w:p>
      <w:pPr>
        <w:ind w:left="1820" w:right="699" w:hanging="180"/>
        <w:spacing w:after="0" w:line="284"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“HighCape Partners QP” are to HighCape Partners II QP, L.P., a Delaware limited partnership and an affiliate of HighCape;</w:t>
      </w:r>
    </w:p>
    <w:p>
      <w:pPr>
        <w:spacing w:after="0" w:line="5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“HighCape Partners LP” are to HighCape Partners II, L.P, a Delaware limited partnership;</w:t>
      </w:r>
    </w:p>
    <w:p>
      <w:pPr>
        <w:spacing w:after="0" w:line="117" w:lineRule="exact"/>
        <w:rPr>
          <w:rFonts w:ascii="Times New Roman" w:cs="Times New Roman" w:eastAsia="Times New Roman" w:hAnsi="Times New Roman"/>
          <w:sz w:val="18"/>
          <w:szCs w:val="18"/>
          <w:color w:val="auto"/>
        </w:rPr>
      </w:pPr>
    </w:p>
    <w:p>
      <w:pPr>
        <w:ind w:left="1820" w:right="879" w:hanging="180"/>
        <w:spacing w:after="0" w:line="284"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stockholders” are to our sponsor and any other holders of our founder shares immediately prior to this offering;</w:t>
      </w:r>
    </w:p>
    <w:p>
      <w:pPr>
        <w:spacing w:after="0" w:line="50" w:lineRule="exact"/>
        <w:rPr>
          <w:rFonts w:ascii="Times New Roman" w:cs="Times New Roman" w:eastAsia="Times New Roman" w:hAnsi="Times New Roman"/>
          <w:sz w:val="18"/>
          <w:szCs w:val="18"/>
          <w:color w:val="auto"/>
        </w:rPr>
      </w:pPr>
    </w:p>
    <w:p>
      <w:pPr>
        <w:ind w:left="1820" w:right="1159" w:hanging="180"/>
        <w:spacing w:after="0" w:line="284"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“letter agreement” refers to the letter agreement, the form of which is filed as an exhibit to the registration statement of which this prospectus forms a part;</w:t>
      </w:r>
    </w:p>
    <w:p>
      <w:pPr>
        <w:spacing w:after="0" w:line="50"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or our “management team” are to our officers and directors;</w:t>
      </w:r>
    </w:p>
    <w:p>
      <w:pPr>
        <w:spacing w:after="0" w:line="117" w:lineRule="exact"/>
        <w:rPr>
          <w:rFonts w:ascii="Times New Roman" w:cs="Times New Roman" w:eastAsia="Times New Roman" w:hAnsi="Times New Roman"/>
          <w:sz w:val="18"/>
          <w:szCs w:val="18"/>
          <w:color w:val="auto"/>
        </w:rPr>
      </w:pPr>
    </w:p>
    <w:p>
      <w:pPr>
        <w:ind w:left="1820" w:right="979" w:hanging="180"/>
        <w:spacing w:after="0" w:line="284"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shares” are to the shares of Class A common stock sold as part of the private placement units;</w:t>
      </w:r>
    </w:p>
    <w:p>
      <w:pPr>
        <w:spacing w:after="0" w:line="50" w:lineRule="exact"/>
        <w:rPr>
          <w:rFonts w:ascii="Times New Roman" w:cs="Times New Roman" w:eastAsia="Times New Roman" w:hAnsi="Times New Roman"/>
          <w:sz w:val="18"/>
          <w:szCs w:val="18"/>
          <w:color w:val="auto"/>
        </w:rPr>
      </w:pPr>
    </w:p>
    <w:p>
      <w:pPr>
        <w:ind w:left="1820" w:right="879" w:hanging="180"/>
        <w:spacing w:after="0" w:line="267"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units” are to the units issued to our sponsor in a private placement simultaneously with the closing of this offering, which private placement units are identical to the units sold in this offering, subject to certain limited exceptions as described in this prospectus;</w:t>
      </w:r>
    </w:p>
    <w:p>
      <w:pPr>
        <w:spacing w:after="0" w:line="51" w:lineRule="exact"/>
        <w:rPr>
          <w:rFonts w:ascii="Times New Roman" w:cs="Times New Roman" w:eastAsia="Times New Roman" w:hAnsi="Times New Roman"/>
          <w:sz w:val="18"/>
          <w:szCs w:val="18"/>
          <w:color w:val="auto"/>
        </w:rPr>
      </w:pPr>
    </w:p>
    <w:p>
      <w:pPr>
        <w:ind w:left="1820" w:hanging="180"/>
        <w:spacing w:after="0"/>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placement warrants” are to the warrants sold as part of the private placement units;</w:t>
      </w:r>
    </w:p>
    <w:p>
      <w:pPr>
        <w:spacing w:after="0" w:line="117" w:lineRule="exact"/>
        <w:rPr>
          <w:rFonts w:ascii="Times New Roman" w:cs="Times New Roman" w:eastAsia="Times New Roman" w:hAnsi="Times New Roman"/>
          <w:sz w:val="18"/>
          <w:szCs w:val="18"/>
          <w:color w:val="auto"/>
        </w:rPr>
      </w:pPr>
    </w:p>
    <w:p>
      <w:pPr>
        <w:ind w:left="1820" w:right="839" w:hanging="180"/>
        <w:spacing w:after="0" w:line="284"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shares” are to shares of our Class A common stock sold as part of the units in this offering (whether they are purchased in this offering or thereafter in the open market);</w:t>
      </w:r>
    </w:p>
    <w:p>
      <w:pPr>
        <w:spacing w:after="0" w:line="50" w:lineRule="exact"/>
        <w:rPr>
          <w:rFonts w:ascii="Times New Roman" w:cs="Times New Roman" w:eastAsia="Times New Roman" w:hAnsi="Times New Roman"/>
          <w:sz w:val="18"/>
          <w:szCs w:val="18"/>
          <w:color w:val="auto"/>
        </w:rPr>
      </w:pPr>
    </w:p>
    <w:p>
      <w:pPr>
        <w:ind w:left="1820" w:right="839" w:hanging="180"/>
        <w:spacing w:after="0" w:line="267"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stockholders” are to the holders of our public shares, including our sponsor, officers and directors to the extent our sponsor, officers or directors purchase public shares, provided that each of their status as a “public stockholder” shall only exist with respect to such public shares;</w:t>
      </w:r>
    </w:p>
    <w:p>
      <w:pPr>
        <w:spacing w:after="0" w:line="65" w:lineRule="exact"/>
        <w:rPr>
          <w:rFonts w:ascii="Times New Roman" w:cs="Times New Roman" w:eastAsia="Times New Roman" w:hAnsi="Times New Roman"/>
          <w:sz w:val="18"/>
          <w:szCs w:val="18"/>
          <w:color w:val="auto"/>
        </w:rPr>
      </w:pPr>
    </w:p>
    <w:p>
      <w:pPr>
        <w:ind w:left="1820" w:right="959" w:hanging="180"/>
        <w:spacing w:after="0" w:line="284"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“sponsor” is to HighCape Capital Acquisition LLC, a Delaware limited liability company and an affiliate of HighCape;</w:t>
      </w:r>
    </w:p>
    <w:p>
      <w:pPr>
        <w:spacing w:after="0" w:line="50" w:lineRule="exact"/>
        <w:rPr>
          <w:rFonts w:ascii="Times New Roman" w:cs="Times New Roman" w:eastAsia="Times New Roman" w:hAnsi="Times New Roman"/>
          <w:sz w:val="18"/>
          <w:szCs w:val="18"/>
          <w:color w:val="auto"/>
        </w:rPr>
      </w:pPr>
    </w:p>
    <w:p>
      <w:pPr>
        <w:ind w:left="1820" w:right="1239" w:hanging="180"/>
        <w:spacing w:after="0" w:line="284"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“underwriters’ option to purchase additional units” are to the underwriters’ 45-day option to purchase up to an additional 1,500,000 units to cover over-allotments, if any;</w:t>
      </w:r>
    </w:p>
    <w:p>
      <w:pPr>
        <w:spacing w:after="0" w:line="50" w:lineRule="exact"/>
        <w:rPr>
          <w:rFonts w:ascii="Times New Roman" w:cs="Times New Roman" w:eastAsia="Times New Roman" w:hAnsi="Times New Roman"/>
          <w:sz w:val="18"/>
          <w:szCs w:val="18"/>
          <w:color w:val="auto"/>
        </w:rPr>
      </w:pPr>
    </w:p>
    <w:p>
      <w:pPr>
        <w:ind w:left="1820" w:right="719" w:hanging="180"/>
        <w:spacing w:after="0" w:line="284"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“warrants” are to our warrants sold as part of the units in this offering (whether they are purchased in this offering or thereafter in the open market) and the private placement warrants; and</w:t>
      </w:r>
    </w:p>
    <w:p>
      <w:pPr>
        <w:sectPr>
          <w:pgSz w:w="11900" w:h="16838" w:orient="portrait"/>
          <w:cols w:equalWidth="0" w:num="1">
            <w:col w:w="10139"/>
          </w:cols>
          <w:pgMar w:left="320" w:top="114" w:right="1440" w:bottom="1440" w:gutter="0" w:footer="0" w:header="0"/>
        </w:sectPr>
      </w:pPr>
    </w:p>
    <w:p>
      <w:pPr>
        <w:spacing w:after="0" w:line="34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20" w:right="1019" w:hanging="180"/>
        <w:spacing w:after="0" w:line="284"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“us,” “our” and “the company,” are to HighCape Capital Acquisition Corp., a Delaware corporation.</w:t>
      </w:r>
    </w:p>
    <w:p>
      <w:pPr>
        <w:spacing w:after="0" w:line="77" w:lineRule="exact"/>
        <w:rPr>
          <w:sz w:val="20"/>
          <w:szCs w:val="20"/>
          <w:color w:val="auto"/>
        </w:rPr>
      </w:pPr>
    </w:p>
    <w:p>
      <w:pPr>
        <w:ind w:left="1280" w:right="7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Unless we tell you otherwise, the information in this prospectus assumes that the underwriters will not exercise their option to purchase additional units and the forfeiture by our sponsor of 375,000 founder shares.</w:t>
      </w:r>
    </w:p>
    <w:p>
      <w:pPr>
        <w:spacing w:after="0" w:line="3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80" w:right="659" w:firstLine="360"/>
        <w:spacing w:after="0"/>
        <w:rPr>
          <w:sz w:val="20"/>
          <w:szCs w:val="20"/>
          <w:color w:val="auto"/>
        </w:rPr>
      </w:pPr>
      <w:r>
        <w:rPr>
          <w:rFonts w:ascii="Times New Roman" w:cs="Times New Roman" w:eastAsia="Times New Roman" w:hAnsi="Times New Roman"/>
          <w:sz w:val="18"/>
          <w:szCs w:val="18"/>
          <w:color w:val="auto"/>
        </w:rPr>
        <w:t>We are a newly organized blank check company incorporated in June 2020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315" w:lineRule="exact"/>
        <w:rPr>
          <w:sz w:val="20"/>
          <w:szCs w:val="20"/>
          <w:color w:val="auto"/>
        </w:rPr>
      </w:pPr>
    </w:p>
    <w:p>
      <w:pPr>
        <w:jc w:val="both"/>
        <w:ind w:left="1280" w:right="1079" w:firstLine="360"/>
        <w:spacing w:after="0" w:line="245" w:lineRule="auto"/>
        <w:rPr>
          <w:sz w:val="20"/>
          <w:szCs w:val="20"/>
          <w:color w:val="auto"/>
        </w:rPr>
      </w:pPr>
      <w:r>
        <w:rPr>
          <w:rFonts w:ascii="Times New Roman" w:cs="Times New Roman" w:eastAsia="Times New Roman" w:hAnsi="Times New Roman"/>
          <w:sz w:val="18"/>
          <w:szCs w:val="18"/>
          <w:color w:val="auto"/>
        </w:rPr>
        <w:t>While we may pursue an acquisition opportunity in any business, industry, sector or geographical location, we intend to focus on industries that complement our management team’s background in life sciences and life sciences related industries, and to capitalize on the ability of our management team to identify and acquire a business within those industries.</w:t>
      </w:r>
    </w:p>
    <w:p>
      <w:pPr>
        <w:spacing w:after="0" w:line="17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80" w:right="739" w:firstLine="360"/>
        <w:spacing w:after="0" w:line="245" w:lineRule="auto"/>
        <w:rPr>
          <w:sz w:val="20"/>
          <w:szCs w:val="20"/>
          <w:color w:val="auto"/>
        </w:rPr>
      </w:pPr>
      <w:r>
        <w:rPr>
          <w:rFonts w:ascii="Times New Roman" w:cs="Times New Roman" w:eastAsia="Times New Roman" w:hAnsi="Times New Roman"/>
          <w:sz w:val="18"/>
          <w:szCs w:val="18"/>
          <w:color w:val="auto"/>
        </w:rPr>
        <w:t>Our strategy will be to identify, acquire and, after our initial business combination, build, a life sciences or life sciences related business. We intend to focus our investment effort broadly across the entire life sciences industry, which encompasses therapeutics, devices, diagnostics, medical information technology, agrisciences and animal health.</w:t>
      </w:r>
    </w:p>
    <w:p>
      <w:pPr>
        <w:spacing w:after="0" w:line="113" w:lineRule="exact"/>
        <w:rPr>
          <w:sz w:val="20"/>
          <w:szCs w:val="20"/>
          <w:color w:val="auto"/>
        </w:rPr>
      </w:pPr>
    </w:p>
    <w:p>
      <w:pPr>
        <w:ind w:left="1280" w:right="739" w:firstLine="360"/>
        <w:spacing w:after="0"/>
        <w:rPr>
          <w:sz w:val="20"/>
          <w:szCs w:val="20"/>
          <w:color w:val="auto"/>
        </w:rPr>
      </w:pPr>
      <w:r>
        <w:rPr>
          <w:rFonts w:ascii="Times New Roman" w:cs="Times New Roman" w:eastAsia="Times New Roman" w:hAnsi="Times New Roman"/>
          <w:sz w:val="18"/>
          <w:szCs w:val="18"/>
          <w:color w:val="auto"/>
        </w:rPr>
        <w:t>We were formed by HighCape, a life sciences investment firm with a focus on active investing in commercial stage companies. HighCape typically invests in companies that have FDA cleared products and are at the point of product launch or have already generated revenue for multiple years. HighCape’s expertise in working with companies at this stage of development is what makes it unique. We believe that the experience of HighCape’s partners and advisors and our management team and board of directors will allow us to source, identify and execute an attractive transaction for our stockholders. Collectively, this group has been actively involved in initial public offerings and exits totaling in excess of $5 billion.</w:t>
      </w:r>
    </w:p>
    <w:p>
      <w:pPr>
        <w:spacing w:after="0" w:line="117" w:lineRule="exact"/>
        <w:rPr>
          <w:sz w:val="20"/>
          <w:szCs w:val="20"/>
          <w:color w:val="auto"/>
        </w:rPr>
      </w:pPr>
    </w:p>
    <w:p>
      <w:pPr>
        <w:ind w:left="1280" w:right="699" w:firstLine="360"/>
        <w:spacing w:after="0" w:line="238" w:lineRule="auto"/>
        <w:rPr>
          <w:sz w:val="20"/>
          <w:szCs w:val="20"/>
          <w:color w:val="auto"/>
        </w:rPr>
      </w:pPr>
      <w:r>
        <w:rPr>
          <w:rFonts w:ascii="Times New Roman" w:cs="Times New Roman" w:eastAsia="Times New Roman" w:hAnsi="Times New Roman"/>
          <w:sz w:val="18"/>
          <w:szCs w:val="18"/>
          <w:color w:val="auto"/>
        </w:rPr>
        <w:t>Our management team is led by Kevin Rakin, our chief executive officer, who has more than 30 years of experience in leading, investing and exiting life sciences companies across a wide array of products and services. Mr. Rakin has been a chief executive officer, chairman and a board member for a number of public and private life sciences companies, including Genaissance Pharmaceuticals, Inc. (“Genaissance”) (merged with Clinical Data, Inc. (“Clinical Data”) and subsequently sold to Forest Laboratories, Inc.), Cyvek, Inc. (sold to Bio-Techne Corporation), Ipsogen SA (sold to Qiagen Inc. (“Qiagen”)) and Collagen Matrix, Inc. (sold to Linden Capital Partners). Prior to co-founding HighCape in 2013, Mr. Rakin was the chairman and chief executive officer of Advanced BioHealing, Inc. (“ABH”). From 2006-2011, together with most of the members of the HighCape team, ABH grew from a company with eight employees and no revenue to one with a revenue run rate approaching $176 million per year and over 500 employees. In 2011, ABH was acquired by Shire Plc for $750 million.</w:t>
      </w:r>
    </w:p>
    <w:p>
      <w:pPr>
        <w:spacing w:after="0" w:line="105" w:lineRule="exact"/>
        <w:rPr>
          <w:sz w:val="20"/>
          <w:szCs w:val="20"/>
          <w:color w:val="auto"/>
        </w:rPr>
      </w:pPr>
    </w:p>
    <w:p>
      <w:pPr>
        <w:ind w:left="1280" w:right="679" w:firstLine="360"/>
        <w:spacing w:after="0"/>
        <w:rPr>
          <w:sz w:val="20"/>
          <w:szCs w:val="20"/>
          <w:color w:val="auto"/>
        </w:rPr>
      </w:pPr>
      <w:r>
        <w:rPr>
          <w:rFonts w:ascii="Times New Roman" w:cs="Times New Roman" w:eastAsia="Times New Roman" w:hAnsi="Times New Roman"/>
          <w:sz w:val="18"/>
          <w:szCs w:val="18"/>
          <w:color w:val="auto"/>
        </w:rPr>
        <w:t>The other member of our management team is Matt Zuga, who will be our chief financial officer. Messrs. Rakin and Zuga co-founded HighCape and have worked on transactions together for more than 20 years. Prior to HighCape, Mr. Zuga was a managing director with Syngenta Ventures Pte Ltd, an investment vehicle of Syngenta Corp. He was also the founder and managing member of Red Abbey Venture Partners (“Red Abbey”), an investment company focused on biotechnology companies. Prior to Red Abbey, Mr. Zuga was a Managing Director and head of life sciences investment banking at Legg Mason, Inc. (“Legg Mason”).</w:t>
      </w:r>
    </w:p>
    <w:p>
      <w:pPr>
        <w:spacing w:after="0" w:line="324" w:lineRule="exact"/>
        <w:rPr>
          <w:sz w:val="20"/>
          <w:szCs w:val="20"/>
          <w:color w:val="auto"/>
        </w:rPr>
      </w:pPr>
    </w:p>
    <w:p>
      <w:pPr>
        <w:ind w:left="1280" w:right="1259" w:firstLine="360"/>
        <w:spacing w:after="0" w:line="266" w:lineRule="auto"/>
        <w:rPr>
          <w:sz w:val="20"/>
          <w:szCs w:val="20"/>
          <w:color w:val="auto"/>
        </w:rPr>
      </w:pPr>
      <w:r>
        <w:rPr>
          <w:rFonts w:ascii="Times New Roman" w:cs="Times New Roman" w:eastAsia="Times New Roman" w:hAnsi="Times New Roman"/>
          <w:sz w:val="18"/>
          <w:szCs w:val="18"/>
          <w:color w:val="auto"/>
        </w:rPr>
        <w:t>We have assembled a group of independent directors who we believe will provide us oversight, governance and extensive experience in sourcing, evaluating and transacting significant life sciences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933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799"/>
        <w:spacing w:after="0" w:line="245" w:lineRule="auto"/>
        <w:rPr>
          <w:sz w:val="20"/>
          <w:szCs w:val="20"/>
          <w:color w:val="auto"/>
        </w:rPr>
      </w:pPr>
      <w:r>
        <w:rPr>
          <w:rFonts w:ascii="Times New Roman" w:cs="Times New Roman" w:eastAsia="Times New Roman" w:hAnsi="Times New Roman"/>
          <w:sz w:val="18"/>
          <w:szCs w:val="18"/>
          <w:color w:val="auto"/>
        </w:rPr>
        <w:t>opportunities. Our directors have extensive experience, having served as directors or officers for numerous publicly-listed and privately-owned companies, with acquisitions, divestitures and corporate strategy and implementation, which we believe will significantly benefit us as we evaluate potential acquisition or merger candidates. These directors include:</w:t>
      </w:r>
    </w:p>
    <w:p>
      <w:pPr>
        <w:spacing w:after="0" w:line="69" w:lineRule="exact"/>
        <w:rPr>
          <w:sz w:val="20"/>
          <w:szCs w:val="20"/>
          <w:color w:val="auto"/>
        </w:rPr>
      </w:pPr>
    </w:p>
    <w:p>
      <w:pPr>
        <w:ind w:left="1820" w:right="659" w:hanging="180"/>
        <w:spacing w:after="0" w:line="25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David Colpman </w:t>
      </w:r>
      <w:r>
        <w:rPr>
          <w:rFonts w:ascii="Times New Roman" w:cs="Times New Roman" w:eastAsia="Times New Roman" w:hAnsi="Times New Roman"/>
          <w:sz w:val="18"/>
          <w:szCs w:val="18"/>
          <w:color w:val="auto"/>
        </w:rPr>
        <w:t>was the Managing Partner of Colpman Consulting Ltd, a business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consultancy, until March 2020. Since 2014, Colpman Consulting secured transformational deals for Alligator Bioscience AB, Cormorant Pharmaceuticals AB, Agalimmune Ltd., Diaprost AB and Ziylo Ltd. Prior to this, Mr. Colpman was the head of business development for Shire Plc, where he executed on the M&amp;A and licensing strategy which successfully built the company to become a global leader in rare diseases and specialty medicines. Reporting directly to the CEO he led a team of over 20 business development professionals. Notable transactions included the $4.2 billion acquisition of ViroPharma Incorporated and the acquisition of SARcode Bioscience, Inc., which delivered the blockbuster drug Xiidra for Dry Eye. Earlier in his career at Shire Plc, he identified and led the acquisition of Transkaryotic Therapies Inc. which went on to become the cornerstone of Shire Plc’s successful rare disease business. He also in-licensed Lialda, which achieved sales of</w:t>
      </w:r>
    </w:p>
    <w:p>
      <w:pPr>
        <w:spacing w:after="0" w:line="7"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to become sector leader in ulcerative colitis.</w:t>
      </w:r>
    </w:p>
    <w:p>
      <w:pPr>
        <w:spacing w:after="0" w:line="94" w:lineRule="exact"/>
        <w:rPr>
          <w:rFonts w:ascii="Times New Roman" w:cs="Times New Roman" w:eastAsia="Times New Roman" w:hAnsi="Times New Roman"/>
          <w:sz w:val="18"/>
          <w:szCs w:val="18"/>
          <w:color w:val="auto"/>
        </w:rPr>
      </w:pPr>
    </w:p>
    <w:p>
      <w:pPr>
        <w:ind w:left="1820" w:right="719" w:hanging="180"/>
        <w:spacing w:after="0" w:line="247"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Antony Loebel, M.D. </w:t>
      </w:r>
      <w:r>
        <w:rPr>
          <w:rFonts w:ascii="Times New Roman" w:cs="Times New Roman" w:eastAsia="Times New Roman" w:hAnsi="Times New Roman"/>
          <w:sz w:val="18"/>
          <w:szCs w:val="18"/>
          <w:color w:val="auto"/>
        </w:rPr>
        <w:t>is the Chief Executive Officer of Sunovion Pharmaceuticals Inc. (“Sunovion”),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subsidiary of Sumitomo Dainippon Pharma Co. Ltd, a company he joined in 2007. Sunovion’s track record of discovery, development and commercialization of important psychiatric, neurological and respiratory therapies has included Latuda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Brovana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Aptiom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Lonhala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Magnair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Inhalation Solution and, most recently, KYNMOBI™ sublingual film. His prior industry experience includes seven years in drug development and medical affairs roles at Pfizer Inc. (“Pfizer”). He serves as an Executive Leadership Team member of Sunovion and an Executive Officer of Sumitomo Dainippon Pharma Co., Ltd., the parent company of Sunovion. Dr. Loebel also serves on the Pharmaceutical Research and Manufacturers of America (PhRMA) Board of Directors and previously served on the Massachusetts Biotechnology Council (MassBio) Board of Directors. For his achievements in advancing new treatments for central nervous system (CNS) disorders, Dr. Loebel received the 2015 Award for Leadership from the International Society for CNS Drug Development and the 2019 CNS Summit Leadership Award. Selected by PharmaVOICE in 2019 and 2013 as one of the “100 Most Inspiring People” in the pharmaceutical industry.</w:t>
      </w:r>
    </w:p>
    <w:p>
      <w:pPr>
        <w:spacing w:after="0" w:line="68" w:lineRule="exact"/>
        <w:rPr>
          <w:rFonts w:ascii="Times New Roman" w:cs="Times New Roman" w:eastAsia="Times New Roman" w:hAnsi="Times New Roman"/>
          <w:sz w:val="18"/>
          <w:szCs w:val="18"/>
          <w:color w:val="auto"/>
        </w:rPr>
      </w:pPr>
    </w:p>
    <w:p>
      <w:pPr>
        <w:ind w:left="1820" w:right="659" w:hanging="180"/>
        <w:spacing w:after="0" w:line="254"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Robert Taub </w:t>
      </w:r>
      <w:r>
        <w:rPr>
          <w:rFonts w:ascii="Times New Roman" w:cs="Times New Roman" w:eastAsia="Times New Roman" w:hAnsi="Times New Roman"/>
          <w:sz w:val="18"/>
          <w:szCs w:val="18"/>
          <w:color w:val="auto"/>
        </w:rPr>
        <w:t>has more than four decades of business experience in the biopharmaceutical and medtech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industries. Mr. Taub is the Co-Founder and Chairman of the Board of Nyxoah S.A. (“Nyxoah”), a private company which is developing implants to treat Obstructive Sleep Apnea and recently received an approximately $25 million investment from investors including ResMed Inc. Prior to this, Mr. Taub was the Chairman of Neuroderm Ltd. (“Neuroderm”), a Nasdaq listed biotech company that was sold to Mitsubishi-Tanabe Pharma Corporation (“Mitsubishi-Tanabe”) for</w:t>
      </w:r>
    </w:p>
    <w:p>
      <w:pPr>
        <w:spacing w:after="0" w:line="3" w:lineRule="exact"/>
        <w:rPr>
          <w:rFonts w:ascii="Times New Roman" w:cs="Times New Roman" w:eastAsia="Times New Roman" w:hAnsi="Times New Roman"/>
          <w:sz w:val="18"/>
          <w:szCs w:val="18"/>
          <w:color w:val="auto"/>
        </w:rPr>
      </w:pPr>
    </w:p>
    <w:p>
      <w:pPr>
        <w:ind w:left="1820" w:right="7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billion in 2017. Mr. Taub also founded and served as President, Chief Executive Officer and a member of the board of directors of Omrix Biopharmaceuticals, Inc. (“Omrix”), a biopharmaceutical company that marketed biological products for the biosurgical and immunotherapy markets and which was acquired by Johnson &amp; Johnson in 2008, following a listing on Nasdaq in 2006.</w:t>
      </w:r>
    </w:p>
    <w:p>
      <w:pPr>
        <w:spacing w:after="0" w:line="121" w:lineRule="exact"/>
        <w:rPr>
          <w:sz w:val="20"/>
          <w:szCs w:val="20"/>
          <w:color w:val="auto"/>
        </w:rPr>
      </w:pPr>
    </w:p>
    <w:p>
      <w:pPr>
        <w:ind w:left="1280" w:right="699" w:firstLine="360"/>
        <w:spacing w:after="0" w:line="245" w:lineRule="auto"/>
        <w:rPr>
          <w:sz w:val="20"/>
          <w:szCs w:val="20"/>
          <w:color w:val="auto"/>
        </w:rPr>
      </w:pPr>
      <w:r>
        <w:rPr>
          <w:rFonts w:ascii="Times New Roman" w:cs="Times New Roman" w:eastAsia="Times New Roman" w:hAnsi="Times New Roman"/>
          <w:sz w:val="18"/>
          <w:szCs w:val="18"/>
          <w:color w:val="auto"/>
        </w:rPr>
        <w:t>We believe our management team is well positioned to take advantage of the growing set of acquisition opportunities in the life sciences industry and that our contacts and relationships, ranging from owners of private and public companies, private equity funds, venture capital firms, investment bankers, attorneys, accountants and business brokers will allow us to generate an attractive transaction for our stockholders.</w:t>
      </w:r>
    </w:p>
    <w:p>
      <w:pPr>
        <w:spacing w:after="0" w:line="113" w:lineRule="exact"/>
        <w:rPr>
          <w:sz w:val="20"/>
          <w:szCs w:val="20"/>
          <w:color w:val="auto"/>
        </w:rPr>
      </w:pPr>
    </w:p>
    <w:p>
      <w:pPr>
        <w:ind w:left="1280" w:right="779" w:firstLine="360"/>
        <w:spacing w:after="0"/>
        <w:rPr>
          <w:sz w:val="20"/>
          <w:szCs w:val="20"/>
          <w:color w:val="auto"/>
        </w:rPr>
      </w:pPr>
      <w:r>
        <w:rPr>
          <w:rFonts w:ascii="Times New Roman" w:cs="Times New Roman" w:eastAsia="Times New Roman" w:hAnsi="Times New Roman"/>
          <w:sz w:val="18"/>
          <w:szCs w:val="18"/>
          <w:color w:val="auto"/>
        </w:rPr>
        <w:t>Our founder, HighCape, is a life sciences investment firm with approximately $145 million in assets under management as of June 30, 2020. Since its founding in 2013, HighCape has focused exclusively on commercial stage life sciences companies and has made five investments, each time as the lead investor. In total the companies in the HighCape portfolio have attracted in excess of $500 million of invested capital. Mr. Rakin served as the chairman of two of the portfolio companies. A fundamental element of the HighCape strategy is limiting investments to one to two per year, thus allowing for a rigorous selection process and the team to engage with each company to drive stockholder value creation. This approach has been successful, as demonstrated by the fact that two portfolio companies have already exited and a third has completed an Initial Public Offering. In October of 2019, Cheetah Medical, Inc. completed its acquisition by Baxter</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699"/>
        <w:spacing w:after="0" w:line="250" w:lineRule="auto"/>
        <w:rPr>
          <w:sz w:val="20"/>
          <w:szCs w:val="20"/>
          <w:color w:val="auto"/>
        </w:rPr>
      </w:pPr>
      <w:r>
        <w:rPr>
          <w:rFonts w:ascii="Times New Roman" w:cs="Times New Roman" w:eastAsia="Times New Roman" w:hAnsi="Times New Roman"/>
          <w:sz w:val="18"/>
          <w:szCs w:val="18"/>
          <w:color w:val="auto"/>
        </w:rPr>
        <w:t>International Inc. for a total deal value of $230 million (including up to $ 30 million in milestone payments), while in November of 2019, TELA Bio, Inc. (Nasdaq: TELA) completed an IPO. In December of 2019, ZipLine Medical, Inc. was acquired by a global medical device company for an undisclosed amount.</w:t>
      </w:r>
    </w:p>
    <w:p>
      <w:pPr>
        <w:spacing w:after="0" w:line="96" w:lineRule="exact"/>
        <w:rPr>
          <w:sz w:val="20"/>
          <w:szCs w:val="20"/>
          <w:color w:val="auto"/>
        </w:rPr>
      </w:pPr>
    </w:p>
    <w:p>
      <w:pPr>
        <w:ind w:left="1280" w:right="959" w:firstLine="360"/>
        <w:spacing w:after="0" w:line="266" w:lineRule="auto"/>
        <w:rPr>
          <w:sz w:val="20"/>
          <w:szCs w:val="20"/>
          <w:color w:val="auto"/>
        </w:rPr>
      </w:pPr>
      <w:r>
        <w:rPr>
          <w:rFonts w:ascii="Times New Roman" w:cs="Times New Roman" w:eastAsia="Times New Roman" w:hAnsi="Times New Roman"/>
          <w:sz w:val="18"/>
          <w:szCs w:val="18"/>
          <w:color w:val="auto"/>
        </w:rPr>
        <w:t>The rapid progress of HighCape from a concept in 2013 to a proven investment firm today has been driven by four key fundamentals that form the foundation for the firm’s day to day operations:</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The Team</w:t>
      </w:r>
    </w:p>
    <w:p>
      <w:pPr>
        <w:spacing w:after="0" w:line="160" w:lineRule="exact"/>
        <w:rPr>
          <w:sz w:val="20"/>
          <w:szCs w:val="20"/>
          <w:color w:val="auto"/>
        </w:rPr>
      </w:pPr>
    </w:p>
    <w:p>
      <w:pPr>
        <w:jc w:val="both"/>
        <w:ind w:left="1280" w:right="699" w:firstLine="360"/>
        <w:spacing w:after="0" w:line="250" w:lineRule="auto"/>
        <w:rPr>
          <w:sz w:val="20"/>
          <w:szCs w:val="20"/>
          <w:color w:val="auto"/>
        </w:rPr>
      </w:pPr>
      <w:r>
        <w:rPr>
          <w:rFonts w:ascii="Times New Roman" w:cs="Times New Roman" w:eastAsia="Times New Roman" w:hAnsi="Times New Roman"/>
          <w:sz w:val="18"/>
          <w:szCs w:val="18"/>
          <w:color w:val="auto"/>
        </w:rPr>
        <w:t>The HighCape partners have worked together for as long as 22 years in some instances, and during that time have built a level of mutual trust and respect that facilitates a highly efficient level of interaction with each other and the portfolio companies.</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Relationships</w:t>
      </w:r>
    </w:p>
    <w:p>
      <w:pPr>
        <w:spacing w:after="0" w:line="160" w:lineRule="exact"/>
        <w:rPr>
          <w:sz w:val="20"/>
          <w:szCs w:val="20"/>
          <w:color w:val="auto"/>
        </w:rPr>
      </w:pPr>
    </w:p>
    <w:p>
      <w:pPr>
        <w:ind w:left="1280" w:right="839" w:firstLine="360"/>
        <w:spacing w:after="0" w:line="245" w:lineRule="auto"/>
        <w:rPr>
          <w:sz w:val="20"/>
          <w:szCs w:val="20"/>
          <w:color w:val="auto"/>
        </w:rPr>
      </w:pPr>
      <w:r>
        <w:rPr>
          <w:rFonts w:ascii="Times New Roman" w:cs="Times New Roman" w:eastAsia="Times New Roman" w:hAnsi="Times New Roman"/>
          <w:sz w:val="18"/>
          <w:szCs w:val="18"/>
          <w:color w:val="auto"/>
        </w:rPr>
        <w:t>The firm has nurtured deep relationships across the industry based on years of creating, building and exiting multiple life sciences companies. The firm’s relationships extend to investment bankers, venture capital firms, industry consultants and numerous management teams. This myriad of connections provides numerous proprietary investment opportunities.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Partnership</w:t>
      </w:r>
    </w:p>
    <w:p>
      <w:pPr>
        <w:spacing w:after="0" w:line="146" w:lineRule="exact"/>
        <w:rPr>
          <w:sz w:val="20"/>
          <w:szCs w:val="20"/>
          <w:color w:val="auto"/>
        </w:rPr>
      </w:pPr>
    </w:p>
    <w:p>
      <w:pPr>
        <w:ind w:left="1280" w:right="679" w:firstLine="360"/>
        <w:spacing w:after="0" w:line="242" w:lineRule="auto"/>
        <w:rPr>
          <w:sz w:val="20"/>
          <w:szCs w:val="20"/>
          <w:color w:val="auto"/>
        </w:rPr>
      </w:pPr>
      <w:r>
        <w:rPr>
          <w:rFonts w:ascii="Times New Roman" w:cs="Times New Roman" w:eastAsia="Times New Roman" w:hAnsi="Times New Roman"/>
          <w:sz w:val="18"/>
          <w:szCs w:val="18"/>
          <w:color w:val="auto"/>
        </w:rPr>
        <w:t>The distinctive background of each HighCape partner as well as an intentionally focused investment approach allows the firm to truly partner with portfolio companies. Aside from board-level involvement, the partners routinely assist portfolio companies with strategic planning across a wide range of functional areas, capital formation strategies and planning, assisting with identifying and recruiting key leadership positions and providing business development/transaction assistance.</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Breadth of Experience and Execution Capabilities</w:t>
      </w:r>
    </w:p>
    <w:p>
      <w:pPr>
        <w:spacing w:after="0" w:line="160" w:lineRule="exact"/>
        <w:rPr>
          <w:sz w:val="20"/>
          <w:szCs w:val="20"/>
          <w:color w:val="auto"/>
        </w:rPr>
      </w:pPr>
    </w:p>
    <w:p>
      <w:pPr>
        <w:ind w:left="1280" w:right="739" w:firstLine="360"/>
        <w:spacing w:after="0" w:line="245" w:lineRule="auto"/>
        <w:rPr>
          <w:sz w:val="20"/>
          <w:szCs w:val="20"/>
          <w:color w:val="auto"/>
        </w:rPr>
      </w:pPr>
      <w:r>
        <w:rPr>
          <w:rFonts w:ascii="Times New Roman" w:cs="Times New Roman" w:eastAsia="Times New Roman" w:hAnsi="Times New Roman"/>
          <w:sz w:val="18"/>
          <w:szCs w:val="18"/>
          <w:color w:val="auto"/>
        </w:rPr>
        <w:t>The HighCape team has a unique breadth of industry experience and functional expertise. With a combined &gt;150 years of industry knowledge and backgrounds ranging from banking and finance to product development to building world-class commercial organizations, the HighCape team brings to each transaction an unusually deep level of industry and functional expertise.</w:t>
      </w:r>
    </w:p>
    <w:p>
      <w:pPr>
        <w:spacing w:after="0" w:line="113" w:lineRule="exact"/>
        <w:rPr>
          <w:sz w:val="20"/>
          <w:szCs w:val="20"/>
          <w:color w:val="auto"/>
        </w:rPr>
      </w:pPr>
    </w:p>
    <w:p>
      <w:pPr>
        <w:ind w:left="1280" w:right="659" w:firstLine="360"/>
        <w:spacing w:after="0"/>
        <w:rPr>
          <w:sz w:val="20"/>
          <w:szCs w:val="20"/>
          <w:color w:val="auto"/>
        </w:rPr>
      </w:pPr>
      <w:r>
        <w:rPr>
          <w:rFonts w:ascii="Times New Roman" w:cs="Times New Roman" w:eastAsia="Times New Roman" w:hAnsi="Times New Roman"/>
          <w:sz w:val="18"/>
          <w:szCs w:val="18"/>
          <w:color w:val="auto"/>
        </w:rPr>
        <w:t>We expect to receive significant input and support from the HighCape team and advisors as we identify, pursue, evaluate and complete our initial business combination. The HighCape team members include Jennifer Barretta, a former head of Human Resources, Charles Hart, Ph.D., a former Chief Scientific Officer, Carol Reed, M.D., a former Chief Medical Officer, and Dean Tozer, a former Chief Marketing Officer. The HighCape advisors include Seth Rudnick M.D., former head of Canaan Partners’ life sciences team, Jon Soderstrom, Ph.D., managing director of the Yale Office of Cooperative Research, Kevin O’Boyle, the former chief financial officer of ABH and NuVasive, Inc. and Christopher Wright, an investment professional. Collectively, the HighCape team and advisors have worked together for decades with Messrs. Rakin and Zuga in various executive and investing capacities. The biographies of HighCape’s team and advisors are detailed below.</w:t>
      </w:r>
    </w:p>
    <w:p>
      <w:pPr>
        <w:spacing w:after="0" w:line="293" w:lineRule="exact"/>
        <w:rPr>
          <w:sz w:val="20"/>
          <w:szCs w:val="20"/>
          <w:color w:val="auto"/>
        </w:rPr>
      </w:pPr>
    </w:p>
    <w:p>
      <w:pPr>
        <w:ind w:left="1280" w:right="73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Barretta. </w:t>
      </w:r>
      <w:r>
        <w:rPr>
          <w:rFonts w:ascii="Times New Roman" w:cs="Times New Roman" w:eastAsia="Times New Roman" w:hAnsi="Times New Roman"/>
          <w:sz w:val="18"/>
          <w:szCs w:val="18"/>
          <w:color w:val="auto"/>
        </w:rPr>
        <w:t>Since April 2014, Ms. Barretta has been a partner at HighCape, and brings 20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human resources experience. From 2011 to 2012, Ms. Barretta was the vice president of Human Resources for Shire Regenerative Medicine, Inc. (“SRM”). Prior to that, Ms. Barretta served as vice president of ABH from 2006 until its acquisition by SRM in 2011, where she led human resources until August 2012. Prior to ABH, Ms. Barretta was Director of Human Resources at Genaissance until its merger with Clinical Data in 2005. Ms. Barretta received a B.S. from Syracuse University.</w:t>
      </w:r>
    </w:p>
    <w:p>
      <w:pPr>
        <w:spacing w:after="0" w:line="111" w:lineRule="exact"/>
        <w:rPr>
          <w:sz w:val="20"/>
          <w:szCs w:val="20"/>
          <w:color w:val="auto"/>
        </w:rPr>
      </w:pPr>
    </w:p>
    <w:p>
      <w:pPr>
        <w:ind w:left="1280" w:right="77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Hart, Ph.D. </w:t>
      </w:r>
      <w:r>
        <w:rPr>
          <w:rFonts w:ascii="Times New Roman" w:cs="Times New Roman" w:eastAsia="Times New Roman" w:hAnsi="Times New Roman"/>
          <w:sz w:val="18"/>
          <w:szCs w:val="18"/>
          <w:color w:val="auto"/>
        </w:rPr>
        <w:t>Since April 2014, Dr. Hart has been an operating partner at HighCape, and brings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 years of research and development experience in the biotechnology field. From 2011 to 2013, Dr. Hart was the vice president of research of SRM. Prior to that, Dr. Hart served as chief scientific officer of ABH from 2008 until its acquisition by SRM. He also served as the vice president and chief scientific officer at BioMimetic Therapeutics, Inc. (“BioMimetic”), a company focused on the development of products for the treatment of musculoskeletal injuries, from 2004 to 2008. Before BioMimetic, he had spent 21 years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859"/>
        <w:spacing w:after="0" w:line="250" w:lineRule="auto"/>
        <w:rPr>
          <w:sz w:val="20"/>
          <w:szCs w:val="20"/>
          <w:color w:val="auto"/>
        </w:rPr>
      </w:pPr>
      <w:r>
        <w:rPr>
          <w:rFonts w:ascii="Times New Roman" w:cs="Times New Roman" w:eastAsia="Times New Roman" w:hAnsi="Times New Roman"/>
          <w:sz w:val="18"/>
          <w:szCs w:val="18"/>
          <w:color w:val="auto"/>
        </w:rPr>
        <w:t>at ZymoGenetics, Inc., a biotech company. Dr. Hart has authored over 60 scientific publications and holds over 45 U.S. patents. He received a Ph.D. from the University of Washington, a M.S. from Oregon State University and a B.S. from the University of California at Davis.</w:t>
      </w:r>
    </w:p>
    <w:p>
      <w:pPr>
        <w:spacing w:after="0" w:line="92" w:lineRule="exact"/>
        <w:rPr>
          <w:sz w:val="20"/>
          <w:szCs w:val="20"/>
          <w:color w:val="auto"/>
        </w:rPr>
      </w:pPr>
    </w:p>
    <w:p>
      <w:pPr>
        <w:ind w:left="1280" w:right="81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Carol Reed, M.D. </w:t>
      </w:r>
      <w:r>
        <w:rPr>
          <w:rFonts w:ascii="Times New Roman" w:cs="Times New Roman" w:eastAsia="Times New Roman" w:hAnsi="Times New Roman"/>
          <w:sz w:val="18"/>
          <w:szCs w:val="18"/>
          <w:color w:val="auto"/>
        </w:rPr>
        <w:t>Since April 2014, Dr. Reed has been an operating partner at HighCape, and brings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twenty years of experience in drug and device development in the areas of pulmonary diseases, psychiatry, cardiology, gastroenterology and infectious diseases, in addition to ten years’ experience as a physician in the practice of pulmonary and critical care medicine from 1989 to 1999. From 1999 to 2005, Dr. Reed was the vice president, medical affairs at Genaissance Pharmaceuticals. Following that, Dr. Reed was the chief medical officer and executive vice president of Clinical Data from 2005 to 2011, and the senior vice president of Medical Affairs at Synthetic Biologics, Inc. from 2011 to 2014. Dr. Reed received her M.D. from Rush Medical College in Chicago and an M.S. in Biology from the University of Illinois at Chicago. She is a Fellow at the American College of Physicians and the American College of Chest Physicians.</w:t>
      </w:r>
    </w:p>
    <w:p>
      <w:pPr>
        <w:spacing w:after="0" w:line="311" w:lineRule="exact"/>
        <w:rPr>
          <w:sz w:val="20"/>
          <w:szCs w:val="20"/>
          <w:color w:val="auto"/>
        </w:rPr>
      </w:pPr>
    </w:p>
    <w:p>
      <w:pPr>
        <w:ind w:left="1280" w:right="67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Dean Tozer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April 2014, Mr. Tozer has been a partner at High Cape, and brings 25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global healthcare industry. From March 2014 to January 2016, Mr. Tozer served as executive vice president and chief commercial officer and then the president and chief executive officer of Nuo Therapeutics, Inc. Prior to joining Nuo Therapeutics, Inc., he was the senior vice president of corporate development for SRM, which acquired ABH in 2011, where he had been a senior vice president. Prior to these roles, he spent 10 years in the global pharmaceutical industry. Mr. Tozer is currently on the board of BLDG Active, Inc., and he received a Bachelor of Commerce from Saint Mary’s University in Halifax, Nova Scotia and a Certified Management Accountant designation in Ontario, Canada.</w:t>
      </w:r>
    </w:p>
    <w:p>
      <w:pPr>
        <w:spacing w:after="0" w:line="120" w:lineRule="exact"/>
        <w:rPr>
          <w:sz w:val="20"/>
          <w:szCs w:val="20"/>
          <w:color w:val="auto"/>
        </w:rPr>
      </w:pPr>
    </w:p>
    <w:p>
      <w:pPr>
        <w:ind w:left="1280" w:right="71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Seth Rudnick, M.D. </w:t>
      </w:r>
      <w:r>
        <w:rPr>
          <w:rFonts w:ascii="Times New Roman" w:cs="Times New Roman" w:eastAsia="Times New Roman" w:hAnsi="Times New Roman"/>
          <w:sz w:val="18"/>
          <w:szCs w:val="18"/>
          <w:color w:val="auto"/>
        </w:rPr>
        <w:t>Since January 2014, Dr. Rudnick has been an advisor to HighCape. Dr. Rudnick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extensive expertise in oncology, drug discovery and development, and healthcare investments. From 1999 until his retirement in 2013, Dr. Rudnick was a general partner at Canaan Partners, where he built the global venture capital firm’s capability in biopharmaceutical investing. Prior to joining Canaan, he was the Chief Executive Officer and Chairman of CytoTherapeutics, Inc., a developer of cell therapies to combat chronic diseases. From 1986 to 1991, he was a founder of and head of research and development at Johnson</w:t>
      </w:r>
    </w:p>
    <w:p>
      <w:pPr>
        <w:spacing w:after="0" w:line="2" w:lineRule="exact"/>
        <w:rPr>
          <w:sz w:val="20"/>
          <w:szCs w:val="20"/>
          <w:color w:val="auto"/>
        </w:rPr>
      </w:pPr>
    </w:p>
    <w:p>
      <w:pPr>
        <w:ind w:left="1280" w:right="1479"/>
        <w:spacing w:after="0" w:line="243" w:lineRule="auto"/>
        <w:tabs>
          <w:tab w:leader="none" w:pos="14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Johnson’s biotechnology company, Ortho Biotech, Inc., and from 1982 to 1986, he was head of pharmaceutical development at Biogen N.V.</w:t>
      </w:r>
    </w:p>
    <w:p>
      <w:pPr>
        <w:spacing w:after="0" w:line="101" w:lineRule="exact"/>
        <w:rPr>
          <w:sz w:val="20"/>
          <w:szCs w:val="20"/>
          <w:color w:val="auto"/>
        </w:rPr>
      </w:pPr>
    </w:p>
    <w:p>
      <w:pPr>
        <w:ind w:left="1280" w:right="819" w:firstLine="360"/>
        <w:spacing w:after="0" w:line="242" w:lineRule="auto"/>
        <w:rPr>
          <w:sz w:val="20"/>
          <w:szCs w:val="20"/>
          <w:color w:val="auto"/>
        </w:rPr>
      </w:pPr>
      <w:r>
        <w:rPr>
          <w:rFonts w:ascii="Times New Roman" w:cs="Times New Roman" w:eastAsia="Times New Roman" w:hAnsi="Times New Roman"/>
          <w:sz w:val="18"/>
          <w:szCs w:val="18"/>
          <w:color w:val="auto"/>
        </w:rPr>
        <w:t>Dr. Rudnick started his career as a faculty member in Medical Oncology and Epidemiology at the University of North Carolina in Chapel Hill. He was a Yale Fellow and Robert Wood Johnson scholar in medical oncology. He earned his medical degree at the University of Virginia and holds a B.A. in history from the University of Pennsylvania. He currently serves as a board member of Liquidia Technologies and G1 Therapeutics and was formerly Chairman of the Board for both companies.</w:t>
      </w:r>
    </w:p>
    <w:p>
      <w:pPr>
        <w:spacing w:after="0" w:line="113" w:lineRule="exact"/>
        <w:rPr>
          <w:sz w:val="20"/>
          <w:szCs w:val="20"/>
          <w:color w:val="auto"/>
        </w:rPr>
      </w:pPr>
    </w:p>
    <w:p>
      <w:pPr>
        <w:ind w:left="1280" w:right="77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O’Boyle. </w:t>
      </w:r>
      <w:r>
        <w:rPr>
          <w:rFonts w:ascii="Times New Roman" w:cs="Times New Roman" w:eastAsia="Times New Roman" w:hAnsi="Times New Roman"/>
          <w:sz w:val="18"/>
          <w:szCs w:val="18"/>
          <w:color w:val="auto"/>
        </w:rPr>
        <w:t>Since May 2020, Mr. O’Boyle has been an advisor to HighCape. He has over 20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executive management experience in the medical device industry. Mr. O’Boyle currently serves as a director of Wright Medical Group N.V., GenMark Diagnostics, Inc., Nevro Corp. and Sientra, Inc.</w:t>
      </w:r>
    </w:p>
    <w:p>
      <w:pPr>
        <w:ind w:left="1280" w:right="759"/>
        <w:spacing w:after="0" w:line="234" w:lineRule="auto"/>
        <w:rPr>
          <w:sz w:val="20"/>
          <w:szCs w:val="20"/>
          <w:color w:val="auto"/>
        </w:rPr>
      </w:pPr>
      <w:r>
        <w:rPr>
          <w:rFonts w:ascii="Times New Roman" w:cs="Times New Roman" w:eastAsia="Times New Roman" w:hAnsi="Times New Roman"/>
          <w:sz w:val="18"/>
          <w:szCs w:val="18"/>
          <w:color w:val="auto"/>
        </w:rPr>
        <w:t>Mr. O’Boyle served as the Senior Vice President and Chief Financial Officer of ABH from December 2010 until it was acquired in July 2011. From January 2003 until December 2009, Mr. O’Boyle served as Chief Financial Officer of NuVasive, Inc. Prior to that, Mr. O’Boyle served in various leadership positions during his six years with ChromaVision Medical Systems, Inc., including as its Chief Financial Officer and Chief Operating Officer. Before that, Mr. O’Boyle spent seven years with Albert Fisher Group PLC, an international food company, where he held several leadership positions including Chief Financial Officer and Senior Vice President of Operations. Mr. O’Boyle previously served as a director of each Zeltiq Aesthetics Inc., from July 2011 until it was acquired in April 2017, Durata Therapeutics, Inc., from</w:t>
      </w:r>
    </w:p>
    <w:p>
      <w:pPr>
        <w:spacing w:after="0" w:line="6" w:lineRule="exact"/>
        <w:rPr>
          <w:sz w:val="20"/>
          <w:szCs w:val="20"/>
          <w:color w:val="auto"/>
        </w:rPr>
      </w:pPr>
    </w:p>
    <w:p>
      <w:pPr>
        <w:ind w:left="1280" w:right="679"/>
        <w:spacing w:after="0" w:line="238" w:lineRule="auto"/>
        <w:rPr>
          <w:sz w:val="20"/>
          <w:szCs w:val="20"/>
          <w:color w:val="auto"/>
        </w:rPr>
      </w:pPr>
      <w:r>
        <w:rPr>
          <w:rFonts w:ascii="Times New Roman" w:cs="Times New Roman" w:eastAsia="Times New Roman" w:hAnsi="Times New Roman"/>
          <w:sz w:val="18"/>
          <w:szCs w:val="18"/>
          <w:color w:val="auto"/>
        </w:rPr>
        <w:t>April 2012 until it was acquired in November 2014, and NeoTract, Inc., from April 2017 until it was acquired in October 2017. Mr. O’Boyle received a Bachelor of Science in Accounting from Rochester Institute of Technology and successfully completed the Executive Management Program at the University of California Los Angeles, John E Anderson Graduate School of Business.</w:t>
      </w:r>
    </w:p>
    <w:p>
      <w:pPr>
        <w:spacing w:after="0" w:line="113" w:lineRule="exact"/>
        <w:rPr>
          <w:sz w:val="20"/>
          <w:szCs w:val="20"/>
          <w:color w:val="auto"/>
        </w:rPr>
      </w:pPr>
    </w:p>
    <w:p>
      <w:pPr>
        <w:ind w:left="1280" w:right="69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 Soderstrom, Ph.D. </w:t>
      </w:r>
      <w:r>
        <w:rPr>
          <w:rFonts w:ascii="Times New Roman" w:cs="Times New Roman" w:eastAsia="Times New Roman" w:hAnsi="Times New Roman"/>
          <w:sz w:val="18"/>
          <w:szCs w:val="18"/>
          <w:color w:val="auto"/>
        </w:rPr>
        <w:t>Since December 2019, Dr. Soderstrom has been an advisor to HighCape.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Soderstrom is managing director of technology commercialization and faculty innovation at Yale University’s Office of Cooperative Research, responsible for working with leadership and faculty across the university to facilitate, support and enhance the protection, commercial translation, and dissemination of</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719"/>
        <w:spacing w:after="0" w:line="282" w:lineRule="auto"/>
        <w:rPr>
          <w:sz w:val="20"/>
          <w:szCs w:val="20"/>
          <w:color w:val="auto"/>
        </w:rPr>
      </w:pPr>
      <w:r>
        <w:rPr>
          <w:rFonts w:ascii="Times New Roman" w:cs="Times New Roman" w:eastAsia="Times New Roman" w:hAnsi="Times New Roman"/>
          <w:sz w:val="18"/>
          <w:szCs w:val="18"/>
          <w:color w:val="auto"/>
        </w:rPr>
        <w:t>intellectual property developed through Yale research, and for overseeing operations toward that goal. He is also responsible for facilitating a robust ecosystem that supports faculty entrepreneurship.</w:t>
      </w:r>
    </w:p>
    <w:p>
      <w:pPr>
        <w:spacing w:after="0" w:line="81" w:lineRule="exact"/>
        <w:rPr>
          <w:sz w:val="20"/>
          <w:szCs w:val="20"/>
          <w:color w:val="auto"/>
        </w:rPr>
      </w:pPr>
    </w:p>
    <w:p>
      <w:pPr>
        <w:ind w:left="1280" w:right="759" w:firstLine="360"/>
        <w:spacing w:after="0" w:line="255" w:lineRule="auto"/>
        <w:rPr>
          <w:sz w:val="20"/>
          <w:szCs w:val="20"/>
          <w:color w:val="auto"/>
        </w:rPr>
      </w:pPr>
      <w:r>
        <w:rPr>
          <w:rFonts w:ascii="Times New Roman" w:cs="Times New Roman" w:eastAsia="Times New Roman" w:hAnsi="Times New Roman"/>
          <w:sz w:val="18"/>
          <w:szCs w:val="18"/>
          <w:color w:val="auto"/>
        </w:rPr>
        <w:t>Dr. Soderstrom has helped form 25 new ventures, including Molecular Staging, Inc. (acquired by Qiagen), Agilix Labs, Inc., Achillion Pharmaceuticals, Inc. (NASQ: ACHN), PhytoCeutica, Inc. (acquired by Kadmon Corporation), Protometrix Inc. (acquired by Invitrogen Corporation), Iconic Therapeutics, Inc., Applied Spine Technologies Inc., HistoRx, Inc. (acquired by Genoptix, Inc.), VaxInnate Corporation, Affomix Corporation (acquired by Illumina, Inc.), Kolltan Pharmaceuticals, Inc. (acquired by Celldex Therapeutics, Inc.), Arvinas, Inc. (NASQ: ARVN) and Artizan Biosciences, Inc. Collectively, these companies have raised over $500 million in professional venture capital.</w:t>
      </w:r>
    </w:p>
    <w:p>
      <w:pPr>
        <w:spacing w:after="0" w:line="121" w:lineRule="exact"/>
        <w:rPr>
          <w:sz w:val="20"/>
          <w:szCs w:val="20"/>
          <w:color w:val="auto"/>
        </w:rPr>
      </w:pPr>
    </w:p>
    <w:p>
      <w:pPr>
        <w:ind w:left="1280" w:right="739" w:firstLine="360"/>
        <w:spacing w:after="0" w:line="258" w:lineRule="auto"/>
        <w:rPr>
          <w:sz w:val="20"/>
          <w:szCs w:val="20"/>
          <w:color w:val="auto"/>
        </w:rPr>
      </w:pPr>
      <w:r>
        <w:rPr>
          <w:rFonts w:ascii="Times New Roman" w:cs="Times New Roman" w:eastAsia="Times New Roman" w:hAnsi="Times New Roman"/>
          <w:sz w:val="18"/>
          <w:szCs w:val="18"/>
          <w:color w:val="auto"/>
        </w:rPr>
        <w:t>Previously, Dr. Soderstrom was the director of program development for Oak Ridge National Laboratory after serving for 10 years as director of technology licensing for Martin Marietta Energy Systems, Inc. In the Office of Technology Applications, he directed a group of 10 professionals responsible for negotiating license contracts and cooperative research and development agreements. Dr. Soderstrom received his Ph.D. from Northwestern University in 1980 and his B.A. from Hope College in 1976.</w:t>
      </w:r>
    </w:p>
    <w:p>
      <w:pPr>
        <w:spacing w:after="0" w:line="112" w:lineRule="exact"/>
        <w:rPr>
          <w:sz w:val="20"/>
          <w:szCs w:val="20"/>
          <w:color w:val="auto"/>
        </w:rPr>
      </w:pPr>
    </w:p>
    <w:p>
      <w:pPr>
        <w:ind w:left="1280" w:right="7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Wright. </w:t>
      </w:r>
      <w:r>
        <w:rPr>
          <w:rFonts w:ascii="Times New Roman" w:cs="Times New Roman" w:eastAsia="Times New Roman" w:hAnsi="Times New Roman"/>
          <w:sz w:val="18"/>
          <w:szCs w:val="18"/>
          <w:color w:val="auto"/>
        </w:rPr>
        <w:t>Since January 2014, Mr. Wright has been an advisor to HighCape. Christopher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Wright has been a director of Merifin Capital NV, a private European family owned investment firm since 1987. Until mid-2003, he also served as Head of Global Private Equity Partners and CEO of Dresdner Kleinwort Capital and was a Group Board Member of Dresdner Kleinwort based in NYC, London and Frankfurt. He served as Chairman of various investment funds prior to and following the latter’s integration with Allianz SE. He was subsequently Acting Global Head of Private Equity and Infrastructure Investments at Standard Bank of South Africa Ltd from 2005 to 2006.</w:t>
      </w:r>
    </w:p>
    <w:p>
      <w:pPr>
        <w:spacing w:after="0" w:line="106" w:lineRule="exact"/>
        <w:rPr>
          <w:sz w:val="20"/>
          <w:szCs w:val="20"/>
          <w:color w:val="auto"/>
        </w:rPr>
      </w:pPr>
    </w:p>
    <w:p>
      <w:pPr>
        <w:ind w:left="1280" w:right="719" w:firstLine="360"/>
        <w:spacing w:after="0" w:line="253" w:lineRule="auto"/>
        <w:rPr>
          <w:sz w:val="20"/>
          <w:szCs w:val="20"/>
          <w:color w:val="auto"/>
        </w:rPr>
      </w:pPr>
      <w:r>
        <w:rPr>
          <w:rFonts w:ascii="Times New Roman" w:cs="Times New Roman" w:eastAsia="Times New Roman" w:hAnsi="Times New Roman"/>
          <w:sz w:val="18"/>
          <w:szCs w:val="18"/>
          <w:color w:val="auto"/>
        </w:rPr>
        <w:t>He was until 2014 non-executive Chairman of Maxcess International Corporation (an industrial controls business), and a founding board member of IDOX Plc, a leader in e-government software in the UK. He is co-founder and member of the board executive committee of Roper Technologies Inc (NYSE listed, S+P 500, large-cap diversified software, medtech and instrumentation company) whose audit committee he currently chairs. He is Chairman of YIMEI Capital, an asset management firm, based in Shanghai. He served until 2005 on the board of Genaissance. Mr. Wright is Emeritus Director of Campbell Lutyens &amp; Co. Ltd, a leading private equity and infrastructure focused investment banking firm based in London. He serves on the board of the UK charity, The Sutton Trust, and is an Advisory Director of the Scientific Exploration Society in the UK. He is a Fellow of the Royal Geographical Society and of the Royal Society of Arts. Mr. Wright was educated at Oxford University and holds a Certified Diploma in Accounting and Finance from ACCA. He is Honorary Fellow, Corpus Christi College, Oxford and serves as a member of its Endowment Investment Committee.</w:t>
      </w:r>
    </w:p>
    <w:p>
      <w:pPr>
        <w:spacing w:after="0" w:line="340" w:lineRule="exact"/>
        <w:rPr>
          <w:sz w:val="20"/>
          <w:szCs w:val="20"/>
          <w:color w:val="auto"/>
        </w:rPr>
      </w:pPr>
    </w:p>
    <w:p>
      <w:pPr>
        <w:ind w:left="1280" w:right="659" w:firstLine="360"/>
        <w:spacing w:after="0" w:line="258" w:lineRule="auto"/>
        <w:rPr>
          <w:sz w:val="20"/>
          <w:szCs w:val="20"/>
          <w:color w:val="auto"/>
        </w:rPr>
      </w:pPr>
      <w:r>
        <w:rPr>
          <w:rFonts w:ascii="Times New Roman" w:cs="Times New Roman" w:eastAsia="Times New Roman" w:hAnsi="Times New Roman"/>
          <w:sz w:val="18"/>
          <w:szCs w:val="18"/>
          <w:color w:val="auto"/>
        </w:rPr>
        <w:t>The past performance of the members of our management team, HighCape or their affiliates is not a guarantee that we will be able to identify a suitable candidate for our initial business combination or of success with respect to any business combination we may consummate. You should not rely on the historical record of the performance of our management, HighCape or any of its affiliates’ performance as indicative of our future performance.</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intend to capitalize on the following competitive advantages in our pursuit of a target company:</w:t>
      </w:r>
    </w:p>
    <w:p>
      <w:pPr>
        <w:spacing w:after="0" w:line="2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Our Ability to Provide Counsel and Position a Company for Success in the Public Market</w:t>
      </w:r>
    </w:p>
    <w:p>
      <w:pPr>
        <w:spacing w:after="0" w:line="146" w:lineRule="exact"/>
        <w:rPr>
          <w:sz w:val="20"/>
          <w:szCs w:val="20"/>
          <w:color w:val="auto"/>
        </w:rPr>
      </w:pPr>
    </w:p>
    <w:p>
      <w:pPr>
        <w:ind w:left="1280" w:right="699" w:firstLine="360"/>
        <w:spacing w:after="0" w:line="256" w:lineRule="auto"/>
        <w:rPr>
          <w:sz w:val="20"/>
          <w:szCs w:val="20"/>
          <w:color w:val="auto"/>
        </w:rPr>
      </w:pPr>
      <w:r>
        <w:rPr>
          <w:rFonts w:ascii="Times New Roman" w:cs="Times New Roman" w:eastAsia="Times New Roman" w:hAnsi="Times New Roman"/>
          <w:sz w:val="18"/>
          <w:szCs w:val="18"/>
          <w:color w:val="auto"/>
        </w:rPr>
        <w:t>We believe our greatest competitive advantage comes from HighCape’s partners’ extensive background and experience. The HighCape partners have been chief executive officers, board members, investors and executive leaders with years of experience in almost every phase and function of life sciences companies. These experiences bridge both public and private settings. We believe a target management team will see tremendous value in partnering with a firm that can say “we have truly sat in your seat” and, through that, help management with the transition issues from running a private company to managing a public entity.</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933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Proactive and Proprietary Transaction Sourcing</w:t>
      </w:r>
    </w:p>
    <w:p>
      <w:pPr>
        <w:spacing w:after="0" w:line="160" w:lineRule="exact"/>
        <w:rPr>
          <w:sz w:val="20"/>
          <w:szCs w:val="20"/>
          <w:color w:val="auto"/>
        </w:rPr>
      </w:pPr>
    </w:p>
    <w:p>
      <w:pPr>
        <w:jc w:val="both"/>
        <w:ind w:left="1280" w:right="1119" w:firstLine="360"/>
        <w:spacing w:after="0" w:line="282" w:lineRule="auto"/>
        <w:rPr>
          <w:sz w:val="20"/>
          <w:szCs w:val="20"/>
          <w:color w:val="auto"/>
        </w:rPr>
      </w:pPr>
      <w:r>
        <w:rPr>
          <w:rFonts w:ascii="Times New Roman" w:cs="Times New Roman" w:eastAsia="Times New Roman" w:hAnsi="Times New Roman"/>
          <w:sz w:val="18"/>
          <w:szCs w:val="18"/>
          <w:color w:val="auto"/>
        </w:rPr>
        <w:t>Our management team believes that its leading market reputation, proactive approach to sourcing transactions, and extensive network of relationships will provide proprietary investment opportunities.</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Execution and Structuring Capability</w:t>
      </w:r>
    </w:p>
    <w:p>
      <w:pPr>
        <w:spacing w:after="0" w:line="160" w:lineRule="exact"/>
        <w:rPr>
          <w:sz w:val="20"/>
          <w:szCs w:val="20"/>
          <w:color w:val="auto"/>
        </w:rPr>
      </w:pPr>
    </w:p>
    <w:p>
      <w:pPr>
        <w:ind w:left="1280" w:right="699" w:firstLine="360"/>
        <w:spacing w:after="0" w:line="261" w:lineRule="auto"/>
        <w:rPr>
          <w:sz w:val="20"/>
          <w:szCs w:val="20"/>
          <w:color w:val="auto"/>
        </w:rPr>
      </w:pPr>
      <w:r>
        <w:rPr>
          <w:rFonts w:ascii="Times New Roman" w:cs="Times New Roman" w:eastAsia="Times New Roman" w:hAnsi="Times New Roman"/>
          <w:sz w:val="18"/>
          <w:szCs w:val="18"/>
          <w:color w:val="auto"/>
        </w:rPr>
        <w:t>Our management team believes that its industry expertise and reputation allow them to source and complete transactions possessing structural attributes that create an attractive investment thesis. These types of transactions are typically complex and require creativity, industry knowledge and expertise, rigorous due diligence, and extensive negotiation and documentation.</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Focused Experience Across Public and Private Opportunities</w:t>
      </w:r>
    </w:p>
    <w:p>
      <w:pPr>
        <w:spacing w:after="0" w:line="146" w:lineRule="exact"/>
        <w:rPr>
          <w:sz w:val="20"/>
          <w:szCs w:val="20"/>
          <w:color w:val="auto"/>
        </w:rPr>
      </w:pPr>
    </w:p>
    <w:p>
      <w:pPr>
        <w:ind w:left="1280" w:right="699" w:firstLine="360"/>
        <w:spacing w:after="0" w:line="255" w:lineRule="auto"/>
        <w:rPr>
          <w:sz w:val="20"/>
          <w:szCs w:val="20"/>
          <w:color w:val="auto"/>
        </w:rPr>
      </w:pPr>
      <w:r>
        <w:rPr>
          <w:rFonts w:ascii="Times New Roman" w:cs="Times New Roman" w:eastAsia="Times New Roman" w:hAnsi="Times New Roman"/>
          <w:sz w:val="18"/>
          <w:szCs w:val="18"/>
          <w:color w:val="auto"/>
        </w:rPr>
        <w:t>Our management team combines deep experience in public and private transactions. Mr. Rakin has more than 30 years of experience as a chief executive officer and board member in both private and public companies, while Mr. Zuga similarly has more than 30 years in the banking and investing arena. Additionally, the entire HighCape team have more than 100 years years combined experience sourcing, leading and transacting both public and private opportunities. We believe this versatility of experience and understanding of both public and private markets will allow our team to identify companies that could make successful public market candidates and prepare them to make the transition to strong publicly-traded companies.</w:t>
      </w: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Significant Value-Add Capability</w:t>
      </w:r>
    </w:p>
    <w:p>
      <w:pPr>
        <w:spacing w:after="0" w:line="160" w:lineRule="exact"/>
        <w:rPr>
          <w:sz w:val="20"/>
          <w:szCs w:val="20"/>
          <w:color w:val="auto"/>
        </w:rPr>
      </w:pPr>
    </w:p>
    <w:p>
      <w:pPr>
        <w:ind w:left="1280" w:right="659" w:firstLine="360"/>
        <w:spacing w:after="0" w:line="255" w:lineRule="auto"/>
        <w:rPr>
          <w:sz w:val="20"/>
          <w:szCs w:val="20"/>
          <w:color w:val="auto"/>
        </w:rPr>
      </w:pPr>
      <w:r>
        <w:rPr>
          <w:rFonts w:ascii="Times New Roman" w:cs="Times New Roman" w:eastAsia="Times New Roman" w:hAnsi="Times New Roman"/>
          <w:sz w:val="18"/>
          <w:szCs w:val="18"/>
          <w:color w:val="auto"/>
        </w:rPr>
        <w:t>We believe that the life sciences sector expertise and broad network of relationships of our management team will allow them to add significant value after consummation of an initial transaction. We anticipate that our team will be involved with a target company in a number of capacities, including: (i) assisting in setting strategic direction and priorities; (ii) designing specific performance improvement projects;</w:t>
      </w:r>
    </w:p>
    <w:p>
      <w:pPr>
        <w:spacing w:after="0" w:line="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(iii) helping to identify and recruit managers; (iv) advising on acquisition and financing transactions;</w:t>
      </w:r>
    </w:p>
    <w:p>
      <w:pPr>
        <w:spacing w:after="0" w:line="9" w:lineRule="exact"/>
        <w:rPr>
          <w:sz w:val="20"/>
          <w:szCs w:val="20"/>
          <w:color w:val="auto"/>
        </w:rPr>
      </w:pPr>
    </w:p>
    <w:p>
      <w:pPr>
        <w:ind w:left="1280" w:right="679"/>
        <w:spacing w:after="0" w:line="253" w:lineRule="auto"/>
        <w:tabs>
          <w:tab w:leader="none" w:pos="15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contributing market information; and (vi) developing a targeted investor relations program. Furthermore, our management team is also experienced in navigating complex reimbursement and regulatory issues that many companies in healthcare manage over time. Our management believes that its ability to identify and execute value creation initiatives has been an essential driver of past performance and will remain central to its acquisition strategy.</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62" w:lineRule="exact"/>
        <w:rPr>
          <w:sz w:val="20"/>
          <w:szCs w:val="20"/>
          <w:color w:val="auto"/>
        </w:rPr>
      </w:pPr>
    </w:p>
    <w:p>
      <w:pPr>
        <w:ind w:left="1280" w:right="719" w:firstLine="360"/>
        <w:spacing w:after="0" w:line="266" w:lineRule="auto"/>
        <w:rPr>
          <w:sz w:val="20"/>
          <w:szCs w:val="20"/>
          <w:color w:val="auto"/>
        </w:rPr>
      </w:pPr>
      <w:r>
        <w:rPr>
          <w:rFonts w:ascii="Times New Roman" w:cs="Times New Roman" w:eastAsia="Times New Roman" w:hAnsi="Times New Roman"/>
          <w:sz w:val="18"/>
          <w:szCs w:val="18"/>
          <w:color w:val="auto"/>
        </w:rPr>
        <w:t>While we may acquire a business in any industry, our focus will be in the life sciences industry in the United States and other developed countries. We believe the life sciences industry is attractive for a number of reasons:</w:t>
      </w:r>
    </w:p>
    <w:p>
      <w:pPr>
        <w:spacing w:after="0" w:line="1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Large Target Market</w:t>
      </w:r>
    </w:p>
    <w:p>
      <w:pPr>
        <w:spacing w:after="0" w:line="146" w:lineRule="exact"/>
        <w:rPr>
          <w:sz w:val="20"/>
          <w:szCs w:val="20"/>
          <w:color w:val="auto"/>
        </w:rPr>
      </w:pPr>
    </w:p>
    <w:p>
      <w:pPr>
        <w:ind w:left="1280" w:right="679" w:firstLine="360"/>
        <w:spacing w:after="0" w:line="256" w:lineRule="auto"/>
        <w:rPr>
          <w:sz w:val="20"/>
          <w:szCs w:val="20"/>
          <w:color w:val="auto"/>
        </w:rPr>
      </w:pPr>
      <w:r>
        <w:rPr>
          <w:rFonts w:ascii="Times New Roman" w:cs="Times New Roman" w:eastAsia="Times New Roman" w:hAnsi="Times New Roman"/>
          <w:sz w:val="18"/>
          <w:szCs w:val="18"/>
          <w:color w:val="auto"/>
        </w:rPr>
        <w:t>The life sciences industry represents an enormous target market. Total U.S. national health expenditure exceeds $3 trillion, and the Center for Medicare and Medicaid Services has estimated that total healthcare spending will approach 20% of total U.S. Gross Domestic Product over the coming years. The number of private companies in the life sciences industry is significant, with over 30,000 firms focused on various sub-sectors of the healthcare value chain in the United States alone. The market dynamics are similar in Europe and other developed countries.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Broad Universe of Potential Targets</w:t>
      </w:r>
    </w:p>
    <w:p>
      <w:pPr>
        <w:spacing w:after="0" w:line="160" w:lineRule="exact"/>
        <w:rPr>
          <w:sz w:val="20"/>
          <w:szCs w:val="20"/>
          <w:color w:val="auto"/>
        </w:rPr>
      </w:pPr>
    </w:p>
    <w:p>
      <w:pPr>
        <w:ind w:left="1280" w:right="679" w:firstLine="360"/>
        <w:spacing w:after="0" w:line="258" w:lineRule="auto"/>
        <w:rPr>
          <w:sz w:val="20"/>
          <w:szCs w:val="20"/>
          <w:color w:val="auto"/>
        </w:rPr>
      </w:pPr>
      <w:r>
        <w:rPr>
          <w:rFonts w:ascii="Times New Roman" w:cs="Times New Roman" w:eastAsia="Times New Roman" w:hAnsi="Times New Roman"/>
          <w:sz w:val="18"/>
          <w:szCs w:val="18"/>
          <w:color w:val="auto"/>
        </w:rPr>
        <w:t>We intend to focus our investment effort broadly across the life sciences industry, which encompasses therapeutics, devices, diagnostics and animal health. We believe that our investment and operating expertise in healthcare across multiple industry verticals will give us a large, addressable universe of potential targets. The diversity of the target universe and the number of largely uncorrelated sub-sectors maximizes that likelihood that our management team will be able to identify and execute an attractive transaction.</w:t>
      </w:r>
    </w:p>
    <w:p>
      <w:pPr>
        <w:sectPr>
          <w:pgSz w:w="11900" w:h="16838" w:orient="portrait"/>
          <w:cols w:equalWidth="0" w:num="1">
            <w:col w:w="10139"/>
          </w:cols>
          <w:pgMar w:left="320" w:top="114" w:right="1440" w:bottom="1440" w:gutter="0" w:footer="0" w:header="0"/>
        </w:sectPr>
      </w:pPr>
    </w:p>
    <w:p>
      <w:pPr>
        <w:spacing w:after="0" w:line="3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036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Limited Competition</w:t>
      </w:r>
    </w:p>
    <w:p>
      <w:pPr>
        <w:spacing w:after="0" w:line="160" w:lineRule="exact"/>
        <w:rPr>
          <w:sz w:val="20"/>
          <w:szCs w:val="20"/>
          <w:color w:val="auto"/>
        </w:rPr>
      </w:pPr>
    </w:p>
    <w:p>
      <w:pPr>
        <w:ind w:left="1280" w:right="779" w:firstLine="360"/>
        <w:spacing w:after="0" w:line="241" w:lineRule="auto"/>
        <w:rPr>
          <w:sz w:val="20"/>
          <w:szCs w:val="20"/>
          <w:color w:val="auto"/>
        </w:rPr>
      </w:pPr>
      <w:r>
        <w:rPr>
          <w:rFonts w:ascii="Times New Roman" w:cs="Times New Roman" w:eastAsia="Times New Roman" w:hAnsi="Times New Roman"/>
          <w:sz w:val="18"/>
          <w:szCs w:val="18"/>
          <w:color w:val="auto"/>
        </w:rPr>
        <w:t>Our management team believes that the complexity of the life sciences industry acts as a barrier to entry, requiring investors to have significant knowledge and expertise to identify and appropriately analyze investment opportunities. Technical, clinical and scientific knowledge, an understanding of the reimbursement environment and regulatory landscape, complex valuation methodologies, specialized accounting treatments, and regulatory and political considerations may deter competition from generalist firms.</w:t>
      </w: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Favorable Trends</w:t>
      </w:r>
    </w:p>
    <w:p>
      <w:pPr>
        <w:spacing w:after="0" w:line="160" w:lineRule="exact"/>
        <w:rPr>
          <w:sz w:val="20"/>
          <w:szCs w:val="20"/>
          <w:color w:val="auto"/>
        </w:rPr>
      </w:pPr>
    </w:p>
    <w:p>
      <w:pPr>
        <w:ind w:left="1280" w:right="759" w:firstLine="360"/>
        <w:spacing w:after="0" w:line="239" w:lineRule="auto"/>
        <w:rPr>
          <w:sz w:val="20"/>
          <w:szCs w:val="20"/>
          <w:color w:val="auto"/>
        </w:rPr>
      </w:pPr>
      <w:r>
        <w:rPr>
          <w:rFonts w:ascii="Times New Roman" w:cs="Times New Roman" w:eastAsia="Times New Roman" w:hAnsi="Times New Roman"/>
          <w:sz w:val="18"/>
          <w:szCs w:val="18"/>
          <w:color w:val="auto"/>
        </w:rPr>
        <w:t>Total global healthcare expenditure has grown at a pace substantially above the global economy in the recent past, and this growth is projected to continue over the years to come, which we anticipate will include an aging population, increased prevalence of chronic disease and improved access to healthcare. While the size of healthcare spending has grown and will continue to grow, this expense has put significant pressure on payers, including federal and state governments as well as individuals. This dynamic provides opportunities to life sciences companies with innovative approaches that provide better clinical outcomes and also bend the cost curve for payers. The HighCape team has extensive experience in identifying, growing and exiting exactly these types of companies.</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Acquisition Criteria</w:t>
      </w:r>
    </w:p>
    <w:p>
      <w:pPr>
        <w:spacing w:after="0" w:line="148" w:lineRule="exact"/>
        <w:rPr>
          <w:sz w:val="20"/>
          <w:szCs w:val="20"/>
          <w:color w:val="auto"/>
        </w:rPr>
      </w:pPr>
    </w:p>
    <w:p>
      <w:pPr>
        <w:ind w:left="1280" w:right="839" w:firstLine="360"/>
        <w:spacing w:after="0" w:line="245" w:lineRule="auto"/>
        <w:rPr>
          <w:sz w:val="20"/>
          <w:szCs w:val="20"/>
          <w:color w:val="auto"/>
        </w:rPr>
      </w:pPr>
      <w:r>
        <w:rPr>
          <w:rFonts w:ascii="Times New Roman" w:cs="Times New Roman" w:eastAsia="Times New Roman" w:hAnsi="Times New Roman"/>
          <w:sz w:val="18"/>
          <w:szCs w:val="18"/>
          <w:color w:val="auto"/>
        </w:rPr>
        <w:t>Consistent with our strategy, we have identified the following general criteria and guidelines that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Life Sciences Businesses</w:t>
      </w:r>
    </w:p>
    <w:p>
      <w:pPr>
        <w:spacing w:after="0" w:line="160" w:lineRule="exact"/>
        <w:rPr>
          <w:sz w:val="20"/>
          <w:szCs w:val="20"/>
          <w:color w:val="auto"/>
        </w:rPr>
      </w:pPr>
    </w:p>
    <w:p>
      <w:pPr>
        <w:ind w:left="1280" w:right="779" w:firstLine="360"/>
        <w:spacing w:after="0" w:line="242" w:lineRule="auto"/>
        <w:rPr>
          <w:sz w:val="20"/>
          <w:szCs w:val="20"/>
          <w:color w:val="auto"/>
        </w:rPr>
      </w:pPr>
      <w:r>
        <w:rPr>
          <w:rFonts w:ascii="Times New Roman" w:cs="Times New Roman" w:eastAsia="Times New Roman" w:hAnsi="Times New Roman"/>
          <w:sz w:val="18"/>
          <w:szCs w:val="18"/>
          <w:color w:val="auto"/>
        </w:rPr>
        <w:t>We believe that the life sciences segment provides the greatest number of opportunities for investment and is consistent with HighCape’s historical investment history. This segment is where we believe we also have the strongest network to identify the greatest number of attractive opportunities and we believe the larger market capitalization and public float of the resulting company will be more attractive to our investors.</w:t>
      </w:r>
    </w:p>
    <w:p>
      <w:pPr>
        <w:spacing w:after="0" w:line="392" w:lineRule="exact"/>
        <w:rPr>
          <w:sz w:val="20"/>
          <w:szCs w:val="20"/>
          <w:color w:val="auto"/>
        </w:rPr>
      </w:pPr>
    </w:p>
    <w:p>
      <w:pPr>
        <w:ind w:left="1280"/>
        <w:spacing w:after="0"/>
        <w:tabs>
          <w:tab w:leader="none" w:pos="7280" w:val="left"/>
        </w:tabs>
        <w:rPr>
          <w:sz w:val="20"/>
          <w:szCs w:val="20"/>
          <w:color w:val="auto"/>
        </w:rPr>
      </w:pPr>
      <w:r>
        <w:rPr>
          <w:rFonts w:ascii="Times New Roman" w:cs="Times New Roman" w:eastAsia="Times New Roman" w:hAnsi="Times New Roman"/>
          <w:sz w:val="18"/>
          <w:szCs w:val="18"/>
          <w:i w:val="1"/>
          <w:iCs w:val="1"/>
          <w:color w:val="auto"/>
        </w:rPr>
        <w:t>Companies with Revenue and Earnings Growth or Potential for Revenue and</w:t>
        <w:tab/>
        <w:t>Earnings Growth</w:t>
      </w:r>
    </w:p>
    <w:p>
      <w:pPr>
        <w:spacing w:after="0" w:line="160" w:lineRule="exact"/>
        <w:rPr>
          <w:sz w:val="20"/>
          <w:szCs w:val="20"/>
          <w:color w:val="auto"/>
        </w:rPr>
      </w:pPr>
    </w:p>
    <w:p>
      <w:pPr>
        <w:jc w:val="both"/>
        <w:ind w:left="1280" w:right="699" w:firstLine="360"/>
        <w:spacing w:after="0" w:line="245" w:lineRule="auto"/>
        <w:rPr>
          <w:sz w:val="20"/>
          <w:szCs w:val="20"/>
          <w:color w:val="auto"/>
        </w:rPr>
      </w:pPr>
      <w:r>
        <w:rPr>
          <w:rFonts w:ascii="Times New Roman" w:cs="Times New Roman" w:eastAsia="Times New Roman" w:hAnsi="Times New Roman"/>
          <w:sz w:val="18"/>
          <w:szCs w:val="18"/>
          <w:color w:val="auto"/>
        </w:rPr>
        <w:t>We will seek to acquire one or more businesses that have achieved or have the potential for significant revenue and earnings growth through a combination of organic growth, synergistic add- on acquisitions, new product markets and geographies, increased production capacity, expense reduction and increased operating leverage.</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Companies with, or with the Potential for, Strong Free Cash Flow Generation</w:t>
      </w:r>
    </w:p>
    <w:p>
      <w:pPr>
        <w:spacing w:after="0" w:line="146" w:lineRule="exact"/>
        <w:rPr>
          <w:sz w:val="20"/>
          <w:szCs w:val="20"/>
          <w:color w:val="auto"/>
        </w:rPr>
      </w:pPr>
    </w:p>
    <w:p>
      <w:pPr>
        <w:ind w:left="1280" w:right="759" w:firstLine="360"/>
        <w:spacing w:after="0" w:line="250" w:lineRule="auto"/>
        <w:rPr>
          <w:sz w:val="20"/>
          <w:szCs w:val="20"/>
          <w:color w:val="auto"/>
        </w:rPr>
      </w:pPr>
      <w:r>
        <w:rPr>
          <w:rFonts w:ascii="Times New Roman" w:cs="Times New Roman" w:eastAsia="Times New Roman" w:hAnsi="Times New Roman"/>
          <w:sz w:val="18"/>
          <w:szCs w:val="18"/>
          <w:color w:val="auto"/>
        </w:rPr>
        <w:t>We will seek to acquire one or more businesses that already have, or have the potential to generate, consistent, stable and recurring free cash flow when their product or products have achieved an appropriate level of market penetration.</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Strong Competitive Position</w:t>
      </w:r>
    </w:p>
    <w:p>
      <w:pPr>
        <w:spacing w:after="0" w:line="160" w:lineRule="exact"/>
        <w:rPr>
          <w:sz w:val="20"/>
          <w:szCs w:val="20"/>
          <w:color w:val="auto"/>
        </w:rPr>
      </w:pPr>
    </w:p>
    <w:p>
      <w:pPr>
        <w:ind w:left="1280" w:right="679" w:firstLine="360"/>
        <w:spacing w:after="0" w:line="245" w:lineRule="auto"/>
        <w:rPr>
          <w:sz w:val="20"/>
          <w:szCs w:val="20"/>
          <w:color w:val="auto"/>
        </w:rPr>
      </w:pPr>
      <w:r>
        <w:rPr>
          <w:rFonts w:ascii="Times New Roman" w:cs="Times New Roman" w:eastAsia="Times New Roman" w:hAnsi="Times New Roman"/>
          <w:sz w:val="18"/>
          <w:szCs w:val="18"/>
          <w:color w:val="auto"/>
        </w:rPr>
        <w:t>We intend to focus on acquisition targets that have a leading, growing or niche market position in their respective industries. We will analyze the strengths and weaknesses of target businesses relative to their competitors. We will seek to acquire one or more businesses that demonstrate advantages when compared to their competitors, which may help to protect their market position and profitability.</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Experienced Management Team</w:t>
      </w:r>
    </w:p>
    <w:p>
      <w:pPr>
        <w:spacing w:after="0" w:line="160" w:lineRule="exact"/>
        <w:rPr>
          <w:sz w:val="20"/>
          <w:szCs w:val="20"/>
          <w:color w:val="auto"/>
        </w:rPr>
      </w:pPr>
    </w:p>
    <w:p>
      <w:pPr>
        <w:ind w:left="1280" w:right="719" w:firstLine="360"/>
        <w:spacing w:after="0" w:line="245" w:lineRule="auto"/>
        <w:rPr>
          <w:sz w:val="20"/>
          <w:szCs w:val="20"/>
          <w:color w:val="auto"/>
        </w:rPr>
      </w:pPr>
      <w:r>
        <w:rPr>
          <w:rFonts w:ascii="Times New Roman" w:cs="Times New Roman" w:eastAsia="Times New Roman" w:hAnsi="Times New Roman"/>
          <w:sz w:val="18"/>
          <w:szCs w:val="18"/>
          <w:color w:val="auto"/>
        </w:rPr>
        <w:t>We will seek to acquire one or more businesses with a complete, experienced management team that provides a platform for us to further develop the acquired business’s management capabilities. We will seek to partner with a potential target’s management team and expect that the operating and financial abilities of our executive team and board will complement their own capabilities.</w:t>
      </w:r>
    </w:p>
    <w:p>
      <w:pPr>
        <w:sectPr>
          <w:pgSz w:w="11900" w:h="16838" w:orient="portrait"/>
          <w:cols w:equalWidth="0" w:num="1">
            <w:col w:w="10139"/>
          </w:cols>
          <w:pgMar w:left="320" w:top="114"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08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Benefit from Being a Public Company</w:t>
      </w:r>
    </w:p>
    <w:p>
      <w:pPr>
        <w:spacing w:after="0" w:line="160" w:lineRule="exact"/>
        <w:rPr>
          <w:sz w:val="20"/>
          <w:szCs w:val="20"/>
          <w:color w:val="auto"/>
        </w:rPr>
      </w:pPr>
    </w:p>
    <w:p>
      <w:pPr>
        <w:ind w:left="1280" w:right="739" w:firstLine="360"/>
        <w:spacing w:after="0" w:line="258" w:lineRule="auto"/>
        <w:rPr>
          <w:sz w:val="20"/>
          <w:szCs w:val="20"/>
          <w:color w:val="auto"/>
        </w:rPr>
      </w:pPr>
      <w:r>
        <w:rPr>
          <w:rFonts w:ascii="Times New Roman" w:cs="Times New Roman" w:eastAsia="Times New Roman" w:hAnsi="Times New Roman"/>
          <w:sz w:val="18"/>
          <w:szCs w:val="18"/>
          <w:color w:val="auto"/>
        </w:rPr>
        <w:t>We intend to acquire one or more businesses that will benefit from being publicly traded and can effectively utilize the broader access to capital and the public profile that are associated with being a publicly traded company. We will focus on companies that have proven technology or products, with strong supporting data, near and long term milestones and strong fundamentals. We do not intend to acquire start-up companies or companies without a path to long-term profitability.</w:t>
      </w:r>
    </w:p>
    <w:p>
      <w:pPr>
        <w:spacing w:after="0" w:line="116" w:lineRule="exact"/>
        <w:rPr>
          <w:sz w:val="20"/>
          <w:szCs w:val="20"/>
          <w:color w:val="auto"/>
        </w:rPr>
      </w:pPr>
    </w:p>
    <w:p>
      <w:pPr>
        <w:ind w:left="1280" w:right="699" w:firstLine="360"/>
        <w:spacing w:after="0" w:line="253"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a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or tender offer materials, as applicable, that we would file with the SEC. In evaluating a prospective target business, we expect to conduct a due diligence review which may encompass, among other things, meetings with incumbent management and employees, document reviews, interviews of customers and suppliers, inspections of facilities, as well as reviewing financial and other information which will be made available to us.</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48" w:lineRule="exact"/>
        <w:rPr>
          <w:sz w:val="20"/>
          <w:szCs w:val="20"/>
          <w:color w:val="auto"/>
        </w:rPr>
      </w:pPr>
    </w:p>
    <w:p>
      <w:pPr>
        <w:ind w:left="1280" w:right="739" w:firstLine="360"/>
        <w:spacing w:after="0" w:line="254" w:lineRule="auto"/>
        <w:rPr>
          <w:sz w:val="20"/>
          <w:szCs w:val="20"/>
          <w:color w:val="auto"/>
        </w:rPr>
      </w:pPr>
      <w:r>
        <w:rPr>
          <w:rFonts w:ascii="Times New Roman" w:cs="Times New Roman" w:eastAsia="Times New Roman" w:hAnsi="Times New Roman"/>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340" w:lineRule="exact"/>
        <w:rPr>
          <w:sz w:val="20"/>
          <w:szCs w:val="20"/>
          <w:color w:val="auto"/>
        </w:rPr>
      </w:pPr>
    </w:p>
    <w:p>
      <w:pPr>
        <w:ind w:left="1280" w:right="679" w:firstLine="360"/>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the target businesses.</w:t>
      </w:r>
    </w:p>
    <w:p>
      <w:pPr>
        <w:spacing w:after="0" w:line="338" w:lineRule="exact"/>
        <w:rPr>
          <w:sz w:val="20"/>
          <w:szCs w:val="20"/>
          <w:color w:val="auto"/>
        </w:rPr>
      </w:pPr>
    </w:p>
    <w:p>
      <w:pPr>
        <w:ind w:left="1280" w:right="1059" w:firstLine="360"/>
        <w:spacing w:after="0" w:line="261" w:lineRule="auto"/>
        <w:rPr>
          <w:sz w:val="20"/>
          <w:szCs w:val="20"/>
          <w:color w:val="auto"/>
        </w:rPr>
      </w:pPr>
      <w:r>
        <w:rPr>
          <w:rFonts w:ascii="Times New Roman" w:cs="Times New Roman" w:eastAsia="Times New Roman" w:hAnsi="Times New Roman"/>
          <w:sz w:val="18"/>
          <w:szCs w:val="18"/>
          <w:color w:val="auto"/>
        </w:rPr>
        <w:t>Deerfield Management has indicated that one or more Deerfield Funds managed by Deerfield Management and its affiliates has an interest in purchasing 1,000,000 units in this offering at the public offering price. However, because indications of interest are not binding agreements or commitments to purchase, the Deerfield Funds may decide not to purchase any units in this offering. In addition, the</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80" w:right="1039"/>
        <w:spacing w:after="0" w:line="282" w:lineRule="auto"/>
        <w:rPr>
          <w:sz w:val="20"/>
          <w:szCs w:val="20"/>
          <w:color w:val="auto"/>
        </w:rPr>
      </w:pPr>
      <w:r>
        <w:rPr>
          <w:rFonts w:ascii="Times New Roman" w:cs="Times New Roman" w:eastAsia="Times New Roman" w:hAnsi="Times New Roman"/>
          <w:sz w:val="18"/>
          <w:szCs w:val="18"/>
          <w:color w:val="auto"/>
        </w:rPr>
        <w:t>underwriters could determine to sell fewer or not to sell any units to the Deerfield Funds. The Deerfield Funds are also investing in our sponsor.</w:t>
      </w:r>
    </w:p>
    <w:p>
      <w:pPr>
        <w:spacing w:after="0" w:line="81" w:lineRule="exact"/>
        <w:rPr>
          <w:sz w:val="20"/>
          <w:szCs w:val="20"/>
          <w:color w:val="auto"/>
        </w:rPr>
      </w:pPr>
    </w:p>
    <w:p>
      <w:pPr>
        <w:ind w:left="1280" w:right="659" w:firstLine="360"/>
        <w:spacing w:after="0" w:line="258" w:lineRule="auto"/>
        <w:rPr>
          <w:sz w:val="20"/>
          <w:szCs w:val="20"/>
          <w:color w:val="auto"/>
        </w:rPr>
      </w:pPr>
      <w:r>
        <w:rPr>
          <w:rFonts w:ascii="Times New Roman" w:cs="Times New Roman" w:eastAsia="Times New Roman" w:hAnsi="Times New Roman"/>
          <w:sz w:val="18"/>
          <w:szCs w:val="18"/>
          <w:color w:val="auto"/>
        </w:rPr>
        <w:t>Prior to the date of this prospectus, we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759" w:firstLine="36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343" w:lineRule="exact"/>
        <w:rPr>
          <w:sz w:val="20"/>
          <w:szCs w:val="20"/>
          <w:color w:val="auto"/>
        </w:rPr>
      </w:pPr>
    </w:p>
    <w:p>
      <w:pPr>
        <w:ind w:left="1280" w:right="879" w:firstLine="360"/>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ind w:left="1280" w:right="659"/>
        <w:spacing w:after="0" w:line="250" w:lineRule="auto"/>
        <w:tabs>
          <w:tab w:leader="none" w:pos="15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end of the prior fiscal year’s second fiscal quarter; and (2) the date on which we have issued more than</w:t>
      </w:r>
    </w:p>
    <w:p>
      <w:pPr>
        <w:spacing w:after="0" w:line="1" w:lineRule="exact"/>
        <w:rPr>
          <w:rFonts w:ascii="Times New Roman" w:cs="Times New Roman" w:eastAsia="Times New Roman" w:hAnsi="Times New Roman"/>
          <w:sz w:val="18"/>
          <w:szCs w:val="18"/>
          <w:color w:val="auto"/>
        </w:rPr>
      </w:pPr>
    </w:p>
    <w:p>
      <w:pPr>
        <w:ind w:left="1280" w:right="10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billion in non-convertible debt during the prior three-year period. References herein to “emerging growth company” shall have the meaning associated with it in the JOBS Act.</w:t>
      </w:r>
    </w:p>
    <w:p>
      <w:pPr>
        <w:spacing w:after="0" w:line="114" w:lineRule="exact"/>
        <w:rPr>
          <w:sz w:val="20"/>
          <w:szCs w:val="20"/>
          <w:color w:val="auto"/>
        </w:rPr>
      </w:pPr>
    </w:p>
    <w:p>
      <w:pPr>
        <w:ind w:left="1280" w:right="879" w:firstLine="360"/>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30th.</w:t>
      </w:r>
    </w:p>
    <w:p>
      <w:pPr>
        <w:spacing w:after="0" w:line="86" w:lineRule="exact"/>
        <w:rPr>
          <w:sz w:val="20"/>
          <w:szCs w:val="20"/>
          <w:color w:val="auto"/>
        </w:rPr>
      </w:pPr>
    </w:p>
    <w:p>
      <w:pPr>
        <w:ind w:left="1280" w:right="759" w:firstLine="360"/>
        <w:spacing w:after="0" w:line="236" w:lineRule="auto"/>
        <w:rPr>
          <w:sz w:val="20"/>
          <w:szCs w:val="20"/>
          <w:color w:val="auto"/>
        </w:rPr>
      </w:pPr>
      <w:r>
        <w:rPr>
          <w:rFonts w:ascii="Times New Roman" w:cs="Times New Roman" w:eastAsia="Times New Roman" w:hAnsi="Times New Roman"/>
          <w:sz w:val="18"/>
          <w:szCs w:val="18"/>
          <w:color w:val="auto"/>
        </w:rPr>
        <w:t>Our executive offices are located at 452 Fifth Avenue,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10018 and our phone number is 646-793-3510.</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ind w:left="1280" w:right="75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w:t>
      </w:r>
      <w:hyperlink w:anchor="page33">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prospectus.</w:t>
      </w:r>
    </w:p>
    <w:p>
      <w:pPr>
        <w:sectPr>
          <w:pgSz w:w="11900" w:h="16838" w:orient="portrait"/>
          <w:cols w:equalWidth="0" w:num="1">
            <w:col w:w="10139"/>
          </w:cols>
          <w:pgMar w:left="320" w:top="114" w:right="1440" w:bottom="1440" w:gutter="0" w:footer="0" w:header="0"/>
        </w:sectPr>
      </w:pPr>
    </w:p>
    <w:p>
      <w:pPr>
        <w:spacing w:after="0" w:line="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460" w:right="320" w:hanging="179"/>
        <w:spacing w:after="0" w:line="266" w:lineRule="auto"/>
        <w:rPr>
          <w:sz w:val="20"/>
          <w:szCs w:val="20"/>
          <w:color w:val="auto"/>
        </w:rPr>
      </w:pPr>
      <w:r>
        <w:rPr>
          <w:rFonts w:ascii="Times New Roman" w:cs="Times New Roman" w:eastAsia="Times New Roman" w:hAnsi="Times New Roman"/>
          <w:sz w:val="18"/>
          <w:szCs w:val="18"/>
          <w:color w:val="auto"/>
        </w:rPr>
        <w:t>Trading commencement and separation of shares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60" w:hanging="179"/>
        <w:spacing w:after="0" w:line="261" w:lineRule="auto"/>
        <w:rPr>
          <w:sz w:val="20"/>
          <w:szCs w:val="20"/>
          <w:color w:val="auto"/>
        </w:rPr>
      </w:pPr>
      <w:r>
        <w:rPr>
          <w:rFonts w:ascii="Times New Roman" w:cs="Times New Roman" w:eastAsia="Times New Roman" w:hAnsi="Times New Roman"/>
          <w:sz w:val="18"/>
          <w:szCs w:val="18"/>
          <w:color w:val="auto"/>
        </w:rPr>
        <w:t>Separate trading of the Class A common stock and warrants is prohibited until</w:t>
      </w:r>
    </w:p>
    <w:p>
      <w:pPr>
        <w:ind w:left="1460"/>
        <w:spacing w:after="0"/>
        <w:rPr>
          <w:sz w:val="20"/>
          <w:szCs w:val="20"/>
          <w:color w:val="auto"/>
        </w:rPr>
      </w:pPr>
      <w:r>
        <w:rPr>
          <w:rFonts w:ascii="Times New Roman" w:cs="Times New Roman" w:eastAsia="Times New Roman" w:hAnsi="Times New Roman"/>
          <w:sz w:val="18"/>
          <w:szCs w:val="18"/>
          <w:color w:val="auto"/>
        </w:rPr>
        <w:t>we have filed a Current Report on</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Form 8-K</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1399"/>
        <w:spacing w:after="0" w:line="282" w:lineRule="auto"/>
        <w:rPr>
          <w:sz w:val="20"/>
          <w:szCs w:val="20"/>
          <w:color w:val="auto"/>
        </w:rPr>
      </w:pPr>
      <w:r>
        <w:rPr>
          <w:rFonts w:ascii="Times New Roman" w:cs="Times New Roman" w:eastAsia="Times New Roman" w:hAnsi="Times New Roman"/>
          <w:sz w:val="18"/>
          <w:szCs w:val="18"/>
          <w:color w:val="auto"/>
        </w:rPr>
        <w:t>10,000,000 units, at $10.00 per unit, each unit consisting of:</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share of Class A common stock; and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one-third of one redeemable warrant.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“CAPAU”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“CAPA”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“CAPAW”</w:t>
      </w:r>
    </w:p>
    <w:p>
      <w:pPr>
        <w:spacing w:after="0" w:line="200" w:lineRule="exact"/>
        <w:rPr>
          <w:sz w:val="20"/>
          <w:szCs w:val="20"/>
          <w:color w:val="auto"/>
        </w:rPr>
      </w:pPr>
    </w:p>
    <w:p>
      <w:pPr>
        <w:spacing w:after="0" w:line="349" w:lineRule="exact"/>
        <w:rPr>
          <w:sz w:val="20"/>
          <w:szCs w:val="20"/>
          <w:color w:val="auto"/>
        </w:rPr>
      </w:pPr>
    </w:p>
    <w:p>
      <w:pPr>
        <w:ind w:right="679"/>
        <w:spacing w:after="0" w:line="251" w:lineRule="auto"/>
        <w:rPr>
          <w:sz w:val="20"/>
          <w:szCs w:val="20"/>
          <w:color w:val="auto"/>
        </w:rPr>
      </w:pPr>
      <w:r>
        <w:rPr>
          <w:rFonts w:ascii="Times New Roman" w:cs="Times New Roman" w:eastAsia="Times New Roman" w:hAnsi="Times New Roman"/>
          <w:sz w:val="18"/>
          <w:szCs w:val="18"/>
          <w:color w:val="auto"/>
        </w:rPr>
        <w:t>The units are expected to begin trading on or promptly after the date of this prospectus. The shares of Class A common stock and warrants comprising the units will begin separate trading on the 52nd day following the date of this prospectus unless Cantor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 No fractional warrants will be issued upon separation of the units and only whole warrants will trade. Accordingly, unless you purchase at least</w:t>
      </w:r>
    </w:p>
    <w:p>
      <w:pPr>
        <w:spacing w:after="0" w:line="10" w:lineRule="exact"/>
        <w:rPr>
          <w:sz w:val="20"/>
          <w:szCs w:val="20"/>
          <w:color w:val="auto"/>
        </w:rPr>
      </w:pPr>
    </w:p>
    <w:p>
      <w:pPr>
        <w:ind w:right="939"/>
        <w:spacing w:after="0" w:line="260" w:lineRule="auto"/>
        <w:rPr>
          <w:sz w:val="20"/>
          <w:szCs w:val="20"/>
          <w:color w:val="auto"/>
        </w:rPr>
      </w:pPr>
      <w:r>
        <w:rPr>
          <w:rFonts w:ascii="Times New Roman" w:cs="Times New Roman" w:eastAsia="Times New Roman" w:hAnsi="Times New Roman"/>
          <w:sz w:val="18"/>
          <w:szCs w:val="18"/>
          <w:color w:val="auto"/>
        </w:rPr>
        <w:t>three units, you will not be able to receive or trade a whole warrant.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719"/>
        <w:spacing w:after="0" w:line="253" w:lineRule="auto"/>
        <w:rPr>
          <w:sz w:val="20"/>
          <w:szCs w:val="20"/>
          <w:color w:val="auto"/>
        </w:rPr>
      </w:pPr>
      <w:r>
        <w:rPr>
          <w:rFonts w:ascii="Times New Roman" w:cs="Times New Roman" w:eastAsia="Times New Roman" w:hAnsi="Times New Roman"/>
          <w:sz w:val="18"/>
          <w:szCs w:val="18"/>
          <w:color w:val="auto"/>
        </w:rPr>
        <w:t>In no event will the Class A common stock and warrants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which closing is anticipated to take place three business days from the date of this prospectus. If the underwriters’ over-allotment option is exercised following the initial filing of such Current Report on Form 8-K, a second or amended Current</w:t>
      </w:r>
    </w:p>
    <w:p>
      <w:pPr>
        <w:spacing w:after="0" w:line="200" w:lineRule="exact"/>
        <w:rPr>
          <w:sz w:val="20"/>
          <w:szCs w:val="20"/>
          <w:color w:val="auto"/>
        </w:rPr>
      </w:pPr>
    </w:p>
    <w:p>
      <w:pPr>
        <w:sectPr>
          <w:pgSz w:w="11900" w:h="16838" w:orient="portrait"/>
          <w:cols w:equalWidth="0" w:num="2">
            <w:col w:w="4760" w:space="500"/>
            <w:col w:w="4879"/>
          </w:cols>
          <w:pgMar w:left="320" w:top="114" w:right="1440" w:bottom="1440" w:gutter="0" w:footer="0" w:header="0"/>
          <w:type w:val="continuous"/>
        </w:sectPr>
      </w:pPr>
    </w:p>
    <w:p>
      <w:pPr>
        <w:spacing w:after="0" w:line="20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Report on Form 8-K will be filed to provide updated</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information to reflect the exercise of the</w:t>
            </w: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underwriters’ over-allotment option.</w:t>
            </w:r>
          </w:p>
        </w:tc>
        <w:tc>
          <w:tcPr>
            <w:tcW w:w="0" w:type="dxa"/>
            <w:vAlign w:val="bottom"/>
          </w:tcPr>
          <w:p>
            <w:pPr>
              <w:spacing w:after="0"/>
              <w:rPr>
                <w:sz w:val="1"/>
                <w:szCs w:val="1"/>
                <w:color w:val="auto"/>
              </w:rPr>
            </w:pPr>
          </w:p>
        </w:tc>
      </w:tr>
      <w:tr>
        <w:trPr>
          <w:trHeight w:val="3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Units:</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before this offering</w:t>
            </w: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0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after this offering</w:t>
            </w: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10,375,000</w:t>
            </w:r>
            <w:r>
              <w:rPr>
                <w:rFonts w:ascii="Times New Roman" w:cs="Times New Roman" w:eastAsia="Times New Roman" w:hAnsi="Times New Roman"/>
                <w:sz w:val="26"/>
                <w:szCs w:val="26"/>
                <w:color w:val="auto"/>
                <w:vertAlign w:val="superscript"/>
              </w:rPr>
              <w:t>(1)(2)</w:t>
            </w:r>
          </w:p>
        </w:tc>
        <w:tc>
          <w:tcPr>
            <w:tcW w:w="0" w:type="dxa"/>
            <w:vAlign w:val="bottom"/>
          </w:tcPr>
          <w:p>
            <w:pPr>
              <w:spacing w:after="0"/>
              <w:rPr>
                <w:sz w:val="1"/>
                <w:szCs w:val="1"/>
                <w:color w:val="auto"/>
              </w:rPr>
            </w:pPr>
          </w:p>
        </w:tc>
      </w:tr>
      <w:tr>
        <w:trPr>
          <w:trHeight w:val="25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before this offering</w:t>
            </w: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2,875,000</w:t>
            </w:r>
            <w:r>
              <w:rPr>
                <w:rFonts w:ascii="Times New Roman" w:cs="Times New Roman" w:eastAsia="Times New Roman" w:hAnsi="Times New Roman"/>
                <w:sz w:val="26"/>
                <w:szCs w:val="26"/>
                <w:color w:val="auto"/>
                <w:vertAlign w:val="superscript"/>
              </w:rPr>
              <w:t>(3)(4)</w:t>
            </w:r>
          </w:p>
        </w:tc>
        <w:tc>
          <w:tcPr>
            <w:tcW w:w="0" w:type="dxa"/>
            <w:vAlign w:val="bottom"/>
          </w:tcPr>
          <w:p>
            <w:pPr>
              <w:spacing w:after="0"/>
              <w:rPr>
                <w:sz w:val="1"/>
                <w:szCs w:val="1"/>
                <w:color w:val="auto"/>
              </w:rPr>
            </w:pPr>
          </w:p>
        </w:tc>
      </w:tr>
      <w:tr>
        <w:trPr>
          <w:trHeight w:val="35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Number outstanding after this offering</w:t>
            </w: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12,875,000</w:t>
            </w:r>
            <w:r>
              <w:rPr>
                <w:rFonts w:ascii="Times New Roman" w:cs="Times New Roman" w:eastAsia="Times New Roman" w:hAnsi="Times New Roman"/>
                <w:sz w:val="26"/>
                <w:szCs w:val="26"/>
                <w:color w:val="auto"/>
                <w:vertAlign w:val="superscript"/>
              </w:rPr>
              <w:t>(1)(4)</w:t>
            </w:r>
          </w:p>
        </w:tc>
        <w:tc>
          <w:tcPr>
            <w:tcW w:w="0" w:type="dxa"/>
            <w:vAlign w:val="bottom"/>
          </w:tcPr>
          <w:p>
            <w:pPr>
              <w:spacing w:after="0"/>
              <w:rPr>
                <w:sz w:val="1"/>
                <w:szCs w:val="1"/>
                <w:color w:val="auto"/>
              </w:rPr>
            </w:pPr>
          </w:p>
        </w:tc>
      </w:tr>
      <w:tr>
        <w:trPr>
          <w:trHeight w:val="25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4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Number of private placement warrants to be</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sold in a private placement simultaneously</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this offering</w:t>
            </w:r>
          </w:p>
        </w:tc>
        <w:tc>
          <w:tcPr>
            <w:tcW w:w="4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30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Number of warrants to be outstanding after</w:t>
            </w:r>
          </w:p>
        </w:tc>
        <w:tc>
          <w:tcPr>
            <w:tcW w:w="42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3,458,333</w:t>
            </w:r>
            <w:r>
              <w:rPr>
                <w:rFonts w:ascii="Times New Roman" w:cs="Times New Roman" w:eastAsia="Times New Roman" w:hAnsi="Times New Roman"/>
                <w:sz w:val="26"/>
                <w:szCs w:val="26"/>
                <w:color w:val="auto"/>
                <w:vertAlign w:val="superscript"/>
              </w:rPr>
              <w:t>(1)(5)</w:t>
            </w:r>
          </w:p>
        </w:tc>
        <w:tc>
          <w:tcPr>
            <w:tcW w:w="0" w:type="dxa"/>
            <w:vAlign w:val="bottom"/>
          </w:tcPr>
          <w:p>
            <w:pPr>
              <w:spacing w:after="0"/>
              <w:rPr>
                <w:sz w:val="1"/>
                <w:szCs w:val="1"/>
                <w:color w:val="auto"/>
              </w:rPr>
            </w:pPr>
          </w:p>
        </w:tc>
      </w:tr>
      <w:tr>
        <w:trPr>
          <w:trHeight w:val="320"/>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offering and the private placement</w:t>
            </w:r>
          </w:p>
        </w:tc>
        <w:tc>
          <w:tcPr>
            <w:tcW w:w="4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640" w:right="839" w:hanging="360"/>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over-allotment option and the forfeiture of 375,000 founder shares by our initial stockholders for no consideration.</w:t>
      </w:r>
    </w:p>
    <w:p>
      <w:pPr>
        <w:spacing w:after="0" w:line="94" w:lineRule="exact"/>
        <w:rPr>
          <w:rFonts w:ascii="Times New Roman" w:cs="Times New Roman" w:eastAsia="Times New Roman" w:hAnsi="Times New Roman"/>
          <w:sz w:val="18"/>
          <w:szCs w:val="18"/>
          <w:color w:val="auto"/>
        </w:rPr>
      </w:pPr>
    </w:p>
    <w:p>
      <w:pPr>
        <w:ind w:left="1640" w:hanging="360"/>
        <w:spacing w:after="0"/>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10,000,000 units sold in this offering and 375,000 private placement units.</w:t>
      </w:r>
    </w:p>
    <w:p>
      <w:pPr>
        <w:spacing w:after="0" w:line="144" w:lineRule="exact"/>
        <w:rPr>
          <w:rFonts w:ascii="Times New Roman" w:cs="Times New Roman" w:eastAsia="Times New Roman" w:hAnsi="Times New Roman"/>
          <w:sz w:val="18"/>
          <w:szCs w:val="18"/>
          <w:color w:val="auto"/>
        </w:rPr>
      </w:pPr>
    </w:p>
    <w:p>
      <w:pPr>
        <w:ind w:left="1640" w:right="919" w:hanging="360"/>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375,000 founder shares that will be forfeited by our initial stockholders depending on the extent to which the underwriters’ over-allotment option is exercised.</w:t>
      </w:r>
    </w:p>
    <w:p>
      <w:pPr>
        <w:spacing w:after="0" w:line="94" w:lineRule="exact"/>
        <w:rPr>
          <w:rFonts w:ascii="Times New Roman" w:cs="Times New Roman" w:eastAsia="Times New Roman" w:hAnsi="Times New Roman"/>
          <w:sz w:val="18"/>
          <w:szCs w:val="18"/>
          <w:color w:val="auto"/>
        </w:rPr>
      </w:pPr>
    </w:p>
    <w:p>
      <w:pPr>
        <w:ind w:left="1640" w:right="719" w:hanging="360"/>
        <w:spacing w:after="0" w:line="255"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10,000,000 shares of Class A common stock included in the units sold in this offering, 375,000 shares of Class A common stock included in the private placement units to be sold in the private placement and 2,500,000 founder shares. Founder shares are currently classified as shares of Class B common stock, which shares will automatically convert into shares of Class A common stock concurrently with or immediately following the consummation of our initial business combination on a one-for-one basis, subject to adjustment as described below adjacent to the caption “Founder shares conversion and anti-dilution rights.”</w:t>
      </w:r>
    </w:p>
    <w:p>
      <w:pPr>
        <w:spacing w:after="0" w:line="121" w:lineRule="exact"/>
        <w:rPr>
          <w:rFonts w:ascii="Times New Roman" w:cs="Times New Roman" w:eastAsia="Times New Roman" w:hAnsi="Times New Roman"/>
          <w:sz w:val="18"/>
          <w:szCs w:val="18"/>
          <w:color w:val="auto"/>
        </w:rPr>
      </w:pPr>
    </w:p>
    <w:p>
      <w:pPr>
        <w:ind w:left="1640" w:right="1019" w:hanging="360"/>
        <w:spacing w:after="0" w:line="282" w:lineRule="auto"/>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3,333,333 public warrants sold in the units to be sold in this offering 125,000 private placement warrants included in the private placement units to be sold in the private placement.</w:t>
      </w:r>
    </w:p>
    <w:p>
      <w:pPr>
        <w:spacing w:after="0" w:line="54"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color w:val="auto"/>
        </w:rPr>
        <w:t>Exercisability</w:t>
      </w:r>
      <w:r>
        <w:rPr>
          <w:sz w:val="20"/>
          <w:szCs w:val="20"/>
          <w:color w:val="auto"/>
        </w:rPr>
        <w:tab/>
      </w:r>
      <w:r>
        <w:rPr>
          <w:rFonts w:ascii="Times New Roman" w:cs="Times New Roman" w:eastAsia="Times New Roman" w:hAnsi="Times New Roman"/>
          <w:sz w:val="18"/>
          <w:szCs w:val="18"/>
          <w:color w:val="auto"/>
        </w:rPr>
        <w:t>Each whole warrant offered in this offering is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exercisable to purchase one share of Class A common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stock. Only whole warrants are exercisable. No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fractional warrants will be issued upon separation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units and only whole warrants will trade.</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We structured each unit to contain one-third of one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warrant, with each whole warrant exercisable for one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share of Class A common stock, as compared to units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issued by some other similar special purpose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acquisition companies which contain whole warrants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exercisable for one whole share, in order to reduce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dilutive effect of the warrants upon completion of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business combination as compared to units that each</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contain a whole warrant to purchase one whole share,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thus making us, we believe, a more attractive business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combination partner for target businesses.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044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804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$11.50 per share, subject to adjustments as described</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herein. In addition, if (x) we issue additional shares of</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Class A common stock or equity-linked securities for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capital raising purposes in connection with the closing</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of our initial business combination at an issue price or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effective issue price of less than $9.20 per share of</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Class A common stock (with such issue price or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effective issue price to be determined in good faith by</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our board of directors and, in the case of any such</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issuance to our initial stockholders or their affiliates,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without taking into account any founder shares held by</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our initial stockholders or such affiliates, as applicable,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prior to such issuance) (the “Newly Issued Price”),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(y) the aggregate gross proceeds from such issuances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represent more than 60% of the total equity proceeds,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and interest thereon, available for the funding of our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initial business combination on the date of the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consummation of our initial business combination (net</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of redemptions), and (z) the volume weighted average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trading price of our Class A common stock during the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20 trading day period starting on the trading day after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the day on which we consummate our initial business</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combination (such price, the “Market Value”) is below</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$9.20 per share, the exercise price of the warrants will</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be adjusted (to the nearest cent) to be equal to 115% of</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the higher of the Market Value and the Newly Issued</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Price, and the $18.00 per share redemption trigger price</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described below under “Redemption of warrants for</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cash” will be adjusted (to the nearest cent) to be equal</w:t>
            </w:r>
          </w:p>
        </w:tc>
      </w:tr>
      <w:tr>
        <w:trPr>
          <w:trHeight w:val="216"/>
        </w:trPr>
        <w:tc>
          <w:tcPr>
            <w:tcW w:w="2580" w:type="dxa"/>
            <w:vAlign w:val="bottom"/>
          </w:tcPr>
          <w:p>
            <w:pPr>
              <w:spacing w:after="0"/>
              <w:rPr>
                <w:sz w:val="18"/>
                <w:szCs w:val="18"/>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to 180% of the higher of the Market Value and the</w:t>
            </w:r>
          </w:p>
        </w:tc>
      </w:tr>
      <w:tr>
        <w:trPr>
          <w:trHeight w:val="234"/>
        </w:trPr>
        <w:tc>
          <w:tcPr>
            <w:tcW w:w="2580" w:type="dxa"/>
            <w:vAlign w:val="bottom"/>
          </w:tcPr>
          <w:p>
            <w:pPr>
              <w:spacing w:after="0"/>
              <w:rPr>
                <w:sz w:val="20"/>
                <w:szCs w:val="20"/>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Newly Issued Price.</w:t>
            </w:r>
          </w:p>
        </w:tc>
      </w:tr>
      <w:tr>
        <w:trPr>
          <w:trHeight w:val="32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Exercise period</w:t>
            </w: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The warrants will become exercisable on the later of:</w:t>
            </w:r>
          </w:p>
        </w:tc>
      </w:tr>
      <w:tr>
        <w:trPr>
          <w:trHeight w:val="346"/>
        </w:trPr>
        <w:tc>
          <w:tcPr>
            <w:tcW w:w="2580" w:type="dxa"/>
            <w:vAlign w:val="bottom"/>
          </w:tcPr>
          <w:p>
            <w:pPr>
              <w:spacing w:after="0"/>
              <w:rPr>
                <w:sz w:val="24"/>
                <w:szCs w:val="24"/>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 days after the completion of our initial business</w:t>
            </w:r>
          </w:p>
        </w:tc>
      </w:tr>
      <w:tr>
        <w:trPr>
          <w:trHeight w:val="234"/>
        </w:trPr>
        <w:tc>
          <w:tcPr>
            <w:tcW w:w="2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combination, and</w:t>
            </w:r>
          </w:p>
        </w:tc>
      </w:tr>
      <w:tr>
        <w:trPr>
          <w:trHeight w:val="365"/>
        </w:trPr>
        <w:tc>
          <w:tcPr>
            <w:tcW w:w="2580" w:type="dxa"/>
            <w:vAlign w:val="bottom"/>
          </w:tcPr>
          <w:p>
            <w:pPr>
              <w:spacing w:after="0"/>
              <w:rPr>
                <w:sz w:val="24"/>
                <w:szCs w:val="24"/>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12 months from the closing of this offering;</w:t>
            </w:r>
          </w:p>
        </w:tc>
      </w:tr>
      <w:tr>
        <w:trPr>
          <w:trHeight w:val="333"/>
        </w:trPr>
        <w:tc>
          <w:tcPr>
            <w:tcW w:w="2580" w:type="dxa"/>
            <w:vAlign w:val="bottom"/>
          </w:tcPr>
          <w:p>
            <w:pPr>
              <w:spacing w:after="0"/>
              <w:rPr>
                <w:sz w:val="24"/>
                <w:szCs w:val="24"/>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provided in each case that we have an effective</w:t>
            </w:r>
          </w:p>
        </w:tc>
      </w:tr>
      <w:tr>
        <w:trPr>
          <w:trHeight w:val="234"/>
        </w:trPr>
        <w:tc>
          <w:tcPr>
            <w:tcW w:w="2580" w:type="dxa"/>
            <w:vAlign w:val="bottom"/>
          </w:tcPr>
          <w:p>
            <w:pPr>
              <w:spacing w:after="0"/>
              <w:rPr>
                <w:sz w:val="20"/>
                <w:szCs w:val="20"/>
                <w:color w:val="auto"/>
              </w:rPr>
            </w:pPr>
          </w:p>
        </w:tc>
        <w:tc>
          <w:tcPr>
            <w:tcW w:w="56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registration statement under the Securities Act covering</w:t>
            </w:r>
          </w:p>
        </w:tc>
      </w:tr>
    </w:tbl>
    <w:p>
      <w:pPr>
        <w:ind w:left="5260"/>
        <w:spacing w:after="0"/>
        <w:rPr>
          <w:sz w:val="20"/>
          <w:szCs w:val="20"/>
          <w:color w:val="auto"/>
        </w:rPr>
      </w:pPr>
      <w:r>
        <w:rPr>
          <w:rFonts w:ascii="Times New Roman" w:cs="Times New Roman" w:eastAsia="Times New Roman" w:hAnsi="Times New Roman"/>
          <w:sz w:val="18"/>
          <w:szCs w:val="18"/>
          <w:color w:val="auto"/>
        </w:rPr>
        <w:t>the shares of Class A common stock issuable upon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exercise of the warrants and a current prospectus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relating to them is available and such shares are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registered, qualified or exempt from registration under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securities, or blue sky, laws of the state of residence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the holder (or we permit holders to exercise their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warrants on a cashless basis under the circumstances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specified in the warrant agreement). If and when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warrants become redeemable by us, we may exercise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our redemption right even if we do not register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qualify the underlying securities for sale under all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applicable state securities laws.</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We are not registering the shares of Class A common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stock issuable upon exercise of the warrants at this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time. However, we have agreed that as soon as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practicable,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but in no event later than 15 business days after the</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closing of our initial business combination, we will use</w:t>
      </w:r>
    </w:p>
    <w:p>
      <w:pPr>
        <w:ind w:left="5260"/>
        <w:spacing w:after="0" w:line="234" w:lineRule="auto"/>
        <w:rPr>
          <w:sz w:val="20"/>
          <w:szCs w:val="20"/>
          <w:color w:val="auto"/>
        </w:rPr>
      </w:pPr>
      <w:r>
        <w:rPr>
          <w:rFonts w:ascii="Times New Roman" w:cs="Times New Roman" w:eastAsia="Times New Roman" w:hAnsi="Times New Roman"/>
          <w:sz w:val="18"/>
          <w:szCs w:val="18"/>
          <w:color w:val="auto"/>
        </w:rPr>
        <w:t>our best efforts to file with the SEC and have an</w:t>
      </w:r>
    </w:p>
    <w:p>
      <w:pPr>
        <w:ind w:left="5260"/>
        <w:spacing w:after="0" w:line="235" w:lineRule="auto"/>
        <w:rPr>
          <w:sz w:val="20"/>
          <w:szCs w:val="20"/>
          <w:color w:val="auto"/>
        </w:rPr>
      </w:pPr>
      <w:r>
        <w:rPr>
          <w:rFonts w:ascii="Times New Roman" w:cs="Times New Roman" w:eastAsia="Times New Roman" w:hAnsi="Times New Roman"/>
          <w:sz w:val="18"/>
          <w:szCs w:val="18"/>
          <w:color w:val="auto"/>
        </w:rPr>
        <w:t>effective registration statement covering the shares of</w:t>
      </w:r>
    </w:p>
    <w:p>
      <w:pPr>
        <w:ind w:left="5260"/>
        <w:spacing w:after="0" w:line="235" w:lineRule="auto"/>
        <w:rPr>
          <w:sz w:val="20"/>
          <w:szCs w:val="20"/>
          <w:color w:val="auto"/>
        </w:rPr>
      </w:pPr>
      <w:r>
        <w:rPr>
          <w:rFonts w:ascii="Times New Roman" w:cs="Times New Roman" w:eastAsia="Times New Roman" w:hAnsi="Times New Roman"/>
          <w:sz w:val="18"/>
          <w:szCs w:val="18"/>
          <w:color w:val="auto"/>
        </w:rPr>
        <w:t>Class A common stock issuable upon exercise of the</w:t>
      </w:r>
    </w:p>
    <w:p>
      <w:pPr>
        <w:ind w:left="5260"/>
        <w:spacing w:after="0" w:line="235" w:lineRule="auto"/>
        <w:rPr>
          <w:sz w:val="20"/>
          <w:szCs w:val="20"/>
          <w:color w:val="auto"/>
        </w:rPr>
      </w:pPr>
      <w:r>
        <w:rPr>
          <w:rFonts w:ascii="Times New Roman" w:cs="Times New Roman" w:eastAsia="Times New Roman" w:hAnsi="Times New Roman"/>
          <w:sz w:val="18"/>
          <w:szCs w:val="18"/>
          <w:color w:val="auto"/>
        </w:rPr>
        <w:t>warrants and to maintain a current prospectus relating</w:t>
      </w:r>
    </w:p>
    <w:p>
      <w:pPr>
        <w:ind w:left="5260"/>
        <w:spacing w:after="0" w:line="235" w:lineRule="auto"/>
        <w:rPr>
          <w:sz w:val="20"/>
          <w:szCs w:val="20"/>
          <w:color w:val="auto"/>
        </w:rPr>
      </w:pPr>
      <w:r>
        <w:rPr>
          <w:rFonts w:ascii="Times New Roman" w:cs="Times New Roman" w:eastAsia="Times New Roman" w:hAnsi="Times New Roman"/>
          <w:sz w:val="18"/>
          <w:szCs w:val="18"/>
          <w:color w:val="auto"/>
        </w:rPr>
        <w:t>to those shares of Class A common stock until the</w:t>
      </w:r>
    </w:p>
    <w:p>
      <w:pPr>
        <w:ind w:left="5260"/>
        <w:spacing w:after="0" w:line="234" w:lineRule="auto"/>
        <w:rPr>
          <w:sz w:val="20"/>
          <w:szCs w:val="20"/>
          <w:color w:val="auto"/>
        </w:rPr>
      </w:pPr>
      <w:r>
        <w:rPr>
          <w:rFonts w:ascii="Times New Roman" w:cs="Times New Roman" w:eastAsia="Times New Roman" w:hAnsi="Times New Roman"/>
          <w:sz w:val="18"/>
          <w:szCs w:val="18"/>
          <w:color w:val="auto"/>
        </w:rPr>
        <w:t>warrants expire or are redeemed, as specified in the</w:t>
      </w:r>
    </w:p>
    <w:p>
      <w:pPr>
        <w:ind w:left="5260"/>
        <w:spacing w:after="0" w:line="235" w:lineRule="auto"/>
        <w:rPr>
          <w:sz w:val="20"/>
          <w:szCs w:val="20"/>
          <w:color w:val="auto"/>
        </w:rPr>
      </w:pPr>
      <w:r>
        <w:rPr>
          <w:rFonts w:ascii="Times New Roman" w:cs="Times New Roman" w:eastAsia="Times New Roman" w:hAnsi="Times New Roman"/>
          <w:sz w:val="18"/>
          <w:szCs w:val="18"/>
          <w:color w:val="auto"/>
        </w:rPr>
        <w:t>warrant agreement. If a registration statement covering</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 Class A common stock issuable upon exercise of</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 warrants is not effective by the 60th business day</w:t>
      </w:r>
    </w:p>
    <w:p>
      <w:pPr>
        <w:ind w:left="5260"/>
        <w:spacing w:after="0" w:line="235" w:lineRule="auto"/>
        <w:rPr>
          <w:sz w:val="20"/>
          <w:szCs w:val="20"/>
          <w:color w:val="auto"/>
        </w:rPr>
      </w:pPr>
      <w:r>
        <w:rPr>
          <w:rFonts w:ascii="Times New Roman" w:cs="Times New Roman" w:eastAsia="Times New Roman" w:hAnsi="Times New Roman"/>
          <w:sz w:val="18"/>
          <w:szCs w:val="18"/>
          <w:color w:val="auto"/>
        </w:rPr>
        <w:t>after the closing of our initial business combination,</w:t>
      </w:r>
    </w:p>
    <w:p>
      <w:pPr>
        <w:ind w:left="5260"/>
        <w:spacing w:after="0" w:line="234" w:lineRule="auto"/>
        <w:rPr>
          <w:sz w:val="20"/>
          <w:szCs w:val="20"/>
          <w:color w:val="auto"/>
        </w:rPr>
      </w:pPr>
      <w:r>
        <w:rPr>
          <w:rFonts w:ascii="Times New Roman" w:cs="Times New Roman" w:eastAsia="Times New Roman" w:hAnsi="Times New Roman"/>
          <w:sz w:val="18"/>
          <w:szCs w:val="18"/>
          <w:color w:val="auto"/>
        </w:rPr>
        <w:t>warrant holders may, until such time as there is an</w:t>
      </w:r>
    </w:p>
    <w:p>
      <w:pPr>
        <w:ind w:left="5260"/>
        <w:spacing w:after="0" w:line="235" w:lineRule="auto"/>
        <w:rPr>
          <w:sz w:val="20"/>
          <w:szCs w:val="20"/>
          <w:color w:val="auto"/>
        </w:rPr>
      </w:pPr>
      <w:r>
        <w:rPr>
          <w:rFonts w:ascii="Times New Roman" w:cs="Times New Roman" w:eastAsia="Times New Roman" w:hAnsi="Times New Roman"/>
          <w:sz w:val="18"/>
          <w:szCs w:val="18"/>
          <w:color w:val="auto"/>
        </w:rPr>
        <w:t>effective registration statement and during any period</w:t>
      </w:r>
    </w:p>
    <w:p>
      <w:pPr>
        <w:ind w:left="5260"/>
        <w:spacing w:after="0" w:line="235" w:lineRule="auto"/>
        <w:rPr>
          <w:sz w:val="20"/>
          <w:szCs w:val="20"/>
          <w:color w:val="auto"/>
        </w:rPr>
      </w:pPr>
      <w:r>
        <w:rPr>
          <w:rFonts w:ascii="Times New Roman" w:cs="Times New Roman" w:eastAsia="Times New Roman" w:hAnsi="Times New Roman"/>
          <w:sz w:val="18"/>
          <w:szCs w:val="18"/>
          <w:color w:val="auto"/>
        </w:rPr>
        <w:t>when we will have failed to maintain an effective</w:t>
      </w:r>
    </w:p>
    <w:p>
      <w:pPr>
        <w:ind w:left="5260"/>
        <w:spacing w:after="0" w:line="235" w:lineRule="auto"/>
        <w:rPr>
          <w:sz w:val="20"/>
          <w:szCs w:val="20"/>
          <w:color w:val="auto"/>
        </w:rPr>
      </w:pPr>
      <w:r>
        <w:rPr>
          <w:rFonts w:ascii="Times New Roman" w:cs="Times New Roman" w:eastAsia="Times New Roman" w:hAnsi="Times New Roman"/>
          <w:sz w:val="18"/>
          <w:szCs w:val="18"/>
          <w:color w:val="auto"/>
        </w:rPr>
        <w:t>registration statement, exercise warrants on a “cashless</w:t>
      </w:r>
    </w:p>
    <w:p>
      <w:pPr>
        <w:ind w:left="5260"/>
        <w:spacing w:after="0" w:line="235" w:lineRule="auto"/>
        <w:rPr>
          <w:sz w:val="20"/>
          <w:szCs w:val="20"/>
          <w:color w:val="auto"/>
        </w:rPr>
      </w:pPr>
      <w:r>
        <w:rPr>
          <w:rFonts w:ascii="Times New Roman" w:cs="Times New Roman" w:eastAsia="Times New Roman" w:hAnsi="Times New Roman"/>
          <w:sz w:val="18"/>
          <w:szCs w:val="18"/>
          <w:color w:val="auto"/>
        </w:rPr>
        <w:t>basis” in accordance with Section 3(a)(9) of the</w:t>
      </w:r>
    </w:p>
    <w:p>
      <w:pPr>
        <w:ind w:left="5260"/>
        <w:spacing w:after="0" w:line="234" w:lineRule="auto"/>
        <w:rPr>
          <w:sz w:val="20"/>
          <w:szCs w:val="20"/>
          <w:color w:val="auto"/>
        </w:rPr>
      </w:pPr>
      <w:r>
        <w:rPr>
          <w:rFonts w:ascii="Times New Roman" w:cs="Times New Roman" w:eastAsia="Times New Roman" w:hAnsi="Times New Roman"/>
          <w:sz w:val="18"/>
          <w:szCs w:val="18"/>
          <w:color w:val="auto"/>
        </w:rPr>
        <w:t>Securities Act or another exemption. Notwithstanding</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 above, if our shares of Class A common stock are at</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 time of any exercise of a warrant not listed on a</w:t>
      </w:r>
    </w:p>
    <w:p>
      <w:pPr>
        <w:ind w:left="5260"/>
        <w:spacing w:after="0" w:line="235" w:lineRule="auto"/>
        <w:rPr>
          <w:sz w:val="20"/>
          <w:szCs w:val="20"/>
          <w:color w:val="auto"/>
        </w:rPr>
      </w:pPr>
      <w:r>
        <w:rPr>
          <w:rFonts w:ascii="Times New Roman" w:cs="Times New Roman" w:eastAsia="Times New Roman" w:hAnsi="Times New Roman"/>
          <w:sz w:val="18"/>
          <w:szCs w:val="18"/>
          <w:color w:val="auto"/>
        </w:rPr>
        <w:t>national securities exchange such that they satisfy the</w:t>
      </w:r>
    </w:p>
    <w:p>
      <w:pPr>
        <w:ind w:left="5260"/>
        <w:spacing w:after="0" w:line="235" w:lineRule="auto"/>
        <w:rPr>
          <w:sz w:val="20"/>
          <w:szCs w:val="20"/>
          <w:color w:val="auto"/>
        </w:rPr>
      </w:pPr>
      <w:r>
        <w:rPr>
          <w:rFonts w:ascii="Times New Roman" w:cs="Times New Roman" w:eastAsia="Times New Roman" w:hAnsi="Times New Roman"/>
          <w:sz w:val="18"/>
          <w:szCs w:val="18"/>
          <w:color w:val="auto"/>
        </w:rPr>
        <w:t>definition of a “covered security” under Section 18(b)</w:t>
      </w:r>
    </w:p>
    <w:p>
      <w:pPr>
        <w:ind w:left="5260"/>
        <w:spacing w:after="0" w:line="234" w:lineRule="auto"/>
        <w:rPr>
          <w:sz w:val="20"/>
          <w:szCs w:val="20"/>
          <w:color w:val="auto"/>
        </w:rPr>
      </w:pPr>
      <w:r>
        <w:rPr>
          <w:rFonts w:ascii="Times New Roman" w:cs="Times New Roman" w:eastAsia="Times New Roman" w:hAnsi="Times New Roman"/>
          <w:sz w:val="18"/>
          <w:szCs w:val="18"/>
          <w:color w:val="auto"/>
        </w:rPr>
        <w:t>(1) of the Securities Act, we may, at our option, require</w:t>
      </w:r>
    </w:p>
    <w:p>
      <w:pPr>
        <w:ind w:left="5260"/>
        <w:spacing w:after="0" w:line="235" w:lineRule="auto"/>
        <w:rPr>
          <w:sz w:val="20"/>
          <w:szCs w:val="20"/>
          <w:color w:val="auto"/>
        </w:rPr>
      </w:pPr>
      <w:r>
        <w:rPr>
          <w:rFonts w:ascii="Times New Roman" w:cs="Times New Roman" w:eastAsia="Times New Roman" w:hAnsi="Times New Roman"/>
          <w:sz w:val="18"/>
          <w:szCs w:val="18"/>
          <w:color w:val="auto"/>
        </w:rPr>
        <w:t>holders of public warrants who exercise their warrants</w:t>
      </w:r>
    </w:p>
    <w:p>
      <w:pPr>
        <w:ind w:left="5260"/>
        <w:spacing w:after="0" w:line="235" w:lineRule="auto"/>
        <w:rPr>
          <w:sz w:val="20"/>
          <w:szCs w:val="20"/>
          <w:color w:val="auto"/>
        </w:rPr>
      </w:pPr>
      <w:r>
        <w:rPr>
          <w:rFonts w:ascii="Times New Roman" w:cs="Times New Roman" w:eastAsia="Times New Roman" w:hAnsi="Times New Roman"/>
          <w:sz w:val="18"/>
          <w:szCs w:val="18"/>
          <w:color w:val="auto"/>
        </w:rPr>
        <w:t>to do so on a “cashless basis” in accordance with</w:t>
      </w:r>
    </w:p>
    <w:p>
      <w:pPr>
        <w:ind w:left="5260"/>
        <w:spacing w:after="0" w:line="235" w:lineRule="auto"/>
        <w:rPr>
          <w:sz w:val="20"/>
          <w:szCs w:val="20"/>
          <w:color w:val="auto"/>
        </w:rPr>
      </w:pPr>
      <w:r>
        <w:rPr>
          <w:rFonts w:ascii="Times New Roman" w:cs="Times New Roman" w:eastAsia="Times New Roman" w:hAnsi="Times New Roman"/>
          <w:sz w:val="18"/>
          <w:szCs w:val="18"/>
          <w:color w:val="auto"/>
        </w:rPr>
        <w:t>Section 3(a)(9) of the Securities Act and, in the event</w:t>
      </w:r>
    </w:p>
    <w:p>
      <w:pPr>
        <w:ind w:left="5260"/>
        <w:spacing w:after="0" w:line="235" w:lineRule="auto"/>
        <w:rPr>
          <w:sz w:val="20"/>
          <w:szCs w:val="20"/>
          <w:color w:val="auto"/>
        </w:rPr>
      </w:pPr>
      <w:r>
        <w:rPr>
          <w:rFonts w:ascii="Times New Roman" w:cs="Times New Roman" w:eastAsia="Times New Roman" w:hAnsi="Times New Roman"/>
          <w:sz w:val="18"/>
          <w:szCs w:val="18"/>
          <w:color w:val="auto"/>
        </w:rPr>
        <w:t>we so elect, we will not be required to file or maintain</w:t>
      </w:r>
    </w:p>
    <w:p>
      <w:pPr>
        <w:ind w:left="5260"/>
        <w:spacing w:after="0" w:line="234" w:lineRule="auto"/>
        <w:rPr>
          <w:sz w:val="20"/>
          <w:szCs w:val="20"/>
          <w:color w:val="auto"/>
        </w:rPr>
      </w:pPr>
      <w:r>
        <w:rPr>
          <w:rFonts w:ascii="Times New Roman" w:cs="Times New Roman" w:eastAsia="Times New Roman" w:hAnsi="Times New Roman"/>
          <w:sz w:val="18"/>
          <w:szCs w:val="18"/>
          <w:color w:val="auto"/>
        </w:rPr>
        <w:t>in effect a registration statement, and in the event we</w:t>
      </w:r>
    </w:p>
    <w:p>
      <w:pPr>
        <w:ind w:left="5260"/>
        <w:spacing w:after="0" w:line="235" w:lineRule="auto"/>
        <w:rPr>
          <w:sz w:val="20"/>
          <w:szCs w:val="20"/>
          <w:color w:val="auto"/>
        </w:rPr>
      </w:pPr>
      <w:r>
        <w:rPr>
          <w:rFonts w:ascii="Times New Roman" w:cs="Times New Roman" w:eastAsia="Times New Roman" w:hAnsi="Times New Roman"/>
          <w:sz w:val="18"/>
          <w:szCs w:val="18"/>
          <w:color w:val="auto"/>
        </w:rPr>
        <w:t>do not so elect, we will use our best efforts to register</w:t>
      </w:r>
    </w:p>
    <w:p>
      <w:pPr>
        <w:ind w:left="5260"/>
        <w:spacing w:after="0" w:line="235" w:lineRule="auto"/>
        <w:rPr>
          <w:sz w:val="20"/>
          <w:szCs w:val="20"/>
          <w:color w:val="auto"/>
        </w:rPr>
      </w:pPr>
      <w:r>
        <w:rPr>
          <w:rFonts w:ascii="Times New Roman" w:cs="Times New Roman" w:eastAsia="Times New Roman" w:hAnsi="Times New Roman"/>
          <w:sz w:val="18"/>
          <w:szCs w:val="18"/>
          <w:color w:val="auto"/>
        </w:rPr>
        <w:t>or qualify the shares under applicable blue sky laws to</w:t>
      </w:r>
    </w:p>
    <w:p>
      <w:pPr>
        <w:ind w:left="5260"/>
        <w:spacing w:after="0"/>
        <w:rPr>
          <w:sz w:val="20"/>
          <w:szCs w:val="20"/>
          <w:color w:val="auto"/>
        </w:rPr>
      </w:pPr>
      <w:r>
        <w:rPr>
          <w:rFonts w:ascii="Times New Roman" w:cs="Times New Roman" w:eastAsia="Times New Roman" w:hAnsi="Times New Roman"/>
          <w:sz w:val="18"/>
          <w:szCs w:val="18"/>
          <w:color w:val="auto"/>
        </w:rPr>
        <w:t>the extent an exemption is not available.</w:t>
      </w:r>
    </w:p>
    <w:p>
      <w:pPr>
        <w:spacing w:after="0" w:line="84" w:lineRule="exact"/>
        <w:rPr>
          <w:sz w:val="20"/>
          <w:szCs w:val="20"/>
          <w:color w:val="auto"/>
        </w:rPr>
      </w:pPr>
    </w:p>
    <w:p>
      <w:pPr>
        <w:ind w:left="5260" w:right="699" w:hanging="3977"/>
        <w:spacing w:after="0" w:line="266" w:lineRule="auto"/>
        <w:tabs>
          <w:tab w:leader="none" w:pos="5240" w:val="left"/>
        </w:tabs>
        <w:rPr>
          <w:sz w:val="20"/>
          <w:szCs w:val="20"/>
          <w:color w:val="auto"/>
        </w:rPr>
      </w:pPr>
      <w:r>
        <w:rPr>
          <w:rFonts w:ascii="Times New Roman" w:cs="Times New Roman" w:eastAsia="Times New Roman" w:hAnsi="Times New Roman"/>
          <w:sz w:val="18"/>
          <w:szCs w:val="18"/>
          <w:color w:val="auto"/>
        </w:rPr>
        <w:t>Redemption of warrants for cash</w:t>
      </w:r>
      <w:r>
        <w:rPr>
          <w:sz w:val="20"/>
          <w:szCs w:val="20"/>
          <w:color w:val="auto"/>
        </w:rPr>
        <w:tab/>
      </w:r>
      <w:r>
        <w:rPr>
          <w:rFonts w:ascii="Times New Roman" w:cs="Times New Roman" w:eastAsia="Times New Roman" w:hAnsi="Times New Roman"/>
          <w:sz w:val="18"/>
          <w:szCs w:val="18"/>
          <w:color w:val="auto"/>
        </w:rPr>
        <w:t>Once the warrants become exercisable, we may redeem the outstanding warrants for cash (except as described herein with respect to the private placement warrants):</w:t>
      </w:r>
    </w:p>
    <w:p>
      <w:pPr>
        <w:spacing w:after="0" w:line="95"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 whole and not in part;</w:t>
      </w:r>
    </w:p>
    <w:p>
      <w:pPr>
        <w:spacing w:after="0" w:line="158"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at a price of $0.01 per warrant;</w:t>
      </w:r>
    </w:p>
    <w:p>
      <w:pPr>
        <w:spacing w:after="0" w:line="144"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upon a minimum of 30 days’ prior written notice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 redemption, which we refer to as the 30-day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redemption period; and</w:t>
      </w:r>
    </w:p>
    <w:p>
      <w:pPr>
        <w:spacing w:after="0" w:line="139"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if, and only if, the closing price of our Class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common stock equals or exceeds $18.00 per share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adjusted for stock splits, stock capitalizations,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reorganizations, recapitalizations and the like) for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any 20 trading days within a 30-trading day period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ending on the third trading day prior to the date 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which we send the notice of redemption to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warrant holders.</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We will not redeem the warrants for cash unless an</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effective registration statement under the Securities Act</w:t>
      </w:r>
    </w:p>
    <w:p>
      <w:pPr>
        <w:ind w:left="5260"/>
        <w:spacing w:after="0" w:line="234" w:lineRule="auto"/>
        <w:rPr>
          <w:sz w:val="20"/>
          <w:szCs w:val="20"/>
          <w:color w:val="auto"/>
        </w:rPr>
      </w:pPr>
      <w:r>
        <w:rPr>
          <w:rFonts w:ascii="Times New Roman" w:cs="Times New Roman" w:eastAsia="Times New Roman" w:hAnsi="Times New Roman"/>
          <w:sz w:val="18"/>
          <w:szCs w:val="18"/>
          <w:color w:val="auto"/>
        </w:rPr>
        <w:t>covering the Class A common stock issuable upon</w:t>
      </w:r>
    </w:p>
    <w:p>
      <w:pPr>
        <w:ind w:left="5260"/>
        <w:spacing w:after="0" w:line="235" w:lineRule="auto"/>
        <w:rPr>
          <w:sz w:val="20"/>
          <w:szCs w:val="20"/>
          <w:color w:val="auto"/>
        </w:rPr>
      </w:pPr>
      <w:r>
        <w:rPr>
          <w:rFonts w:ascii="Times New Roman" w:cs="Times New Roman" w:eastAsia="Times New Roman" w:hAnsi="Times New Roman"/>
          <w:sz w:val="18"/>
          <w:szCs w:val="18"/>
          <w:color w:val="auto"/>
        </w:rPr>
        <w:t>exercise of the warrants is effective and a current</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prospectus relating to those shares of Class A common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stock is available throughout the 30-day redemption</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period, except if the warrants may be exercised on a</w:t>
      </w:r>
    </w:p>
    <w:p>
      <w:pPr>
        <w:ind w:left="5260"/>
        <w:spacing w:after="0" w:line="234" w:lineRule="auto"/>
        <w:rPr>
          <w:sz w:val="20"/>
          <w:szCs w:val="20"/>
          <w:color w:val="auto"/>
        </w:rPr>
      </w:pPr>
      <w:r>
        <w:rPr>
          <w:rFonts w:ascii="Times New Roman" w:cs="Times New Roman" w:eastAsia="Times New Roman" w:hAnsi="Times New Roman"/>
          <w:sz w:val="18"/>
          <w:szCs w:val="18"/>
          <w:color w:val="auto"/>
        </w:rPr>
        <w:t>cashless basis and such cashless exercise is exempt</w:t>
      </w:r>
    </w:p>
    <w:p>
      <w:pPr>
        <w:ind w:left="5260"/>
        <w:spacing w:after="0" w:line="235" w:lineRule="auto"/>
        <w:rPr>
          <w:sz w:val="20"/>
          <w:szCs w:val="20"/>
          <w:color w:val="auto"/>
        </w:rPr>
      </w:pPr>
      <w:r>
        <w:rPr>
          <w:rFonts w:ascii="Times New Roman" w:cs="Times New Roman" w:eastAsia="Times New Roman" w:hAnsi="Times New Roman"/>
          <w:sz w:val="18"/>
          <w:szCs w:val="18"/>
          <w:color w:val="auto"/>
        </w:rPr>
        <w:t>from registration under the Securities Act. If and when</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 warrants become redeemable by us, we may</w:t>
      </w:r>
    </w:p>
    <w:p>
      <w:pPr>
        <w:ind w:left="5260"/>
        <w:spacing w:after="0" w:line="235" w:lineRule="auto"/>
        <w:rPr>
          <w:sz w:val="20"/>
          <w:szCs w:val="20"/>
          <w:color w:val="auto"/>
        </w:rPr>
      </w:pPr>
      <w:r>
        <w:rPr>
          <w:rFonts w:ascii="Times New Roman" w:cs="Times New Roman" w:eastAsia="Times New Roman" w:hAnsi="Times New Roman"/>
          <w:sz w:val="18"/>
          <w:szCs w:val="18"/>
          <w:color w:val="auto"/>
        </w:rPr>
        <w:t>exercise our redemption right even if we are unable to</w:t>
      </w:r>
    </w:p>
    <w:p>
      <w:pPr>
        <w:ind w:left="5260"/>
        <w:spacing w:after="0" w:line="235" w:lineRule="auto"/>
        <w:rPr>
          <w:sz w:val="20"/>
          <w:szCs w:val="20"/>
          <w:color w:val="auto"/>
        </w:rPr>
      </w:pPr>
      <w:r>
        <w:rPr>
          <w:rFonts w:ascii="Times New Roman" w:cs="Times New Roman" w:eastAsia="Times New Roman" w:hAnsi="Times New Roman"/>
          <w:sz w:val="18"/>
          <w:szCs w:val="18"/>
          <w:color w:val="auto"/>
        </w:rPr>
        <w:t>register or qualify the underlying securities for sale</w:t>
      </w:r>
    </w:p>
    <w:p>
      <w:pPr>
        <w:ind w:left="5260"/>
        <w:spacing w:after="0"/>
        <w:rPr>
          <w:sz w:val="20"/>
          <w:szCs w:val="20"/>
          <w:color w:val="auto"/>
        </w:rPr>
      </w:pPr>
      <w:r>
        <w:rPr>
          <w:rFonts w:ascii="Times New Roman" w:cs="Times New Roman" w:eastAsia="Times New Roman" w:hAnsi="Times New Roman"/>
          <w:sz w:val="18"/>
          <w:szCs w:val="18"/>
          <w:color w:val="auto"/>
        </w:rPr>
        <w:t>under all applicable state securities laws.</w:t>
      </w:r>
    </w:p>
    <w:p>
      <w:pPr>
        <w:spacing w:after="0" w:line="1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None of the private placement warrants will be</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redeemable by us for cash so long as they are held by</w:t>
      </w:r>
    </w:p>
    <w:p>
      <w:pPr>
        <w:ind w:left="5260"/>
        <w:spacing w:after="0" w:line="234" w:lineRule="auto"/>
        <w:rPr>
          <w:sz w:val="20"/>
          <w:szCs w:val="20"/>
          <w:color w:val="auto"/>
        </w:rPr>
      </w:pPr>
      <w:r>
        <w:rPr>
          <w:rFonts w:ascii="Times New Roman" w:cs="Times New Roman" w:eastAsia="Times New Roman" w:hAnsi="Times New Roman"/>
          <w:sz w:val="18"/>
          <w:szCs w:val="18"/>
          <w:color w:val="auto"/>
        </w:rPr>
        <w:t>the initial purchasers of the private placement warrants</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or their permitted transferees.</w:t>
      </w:r>
    </w:p>
    <w:p>
      <w:pPr>
        <w:spacing w:after="0" w:line="84"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color w:val="auto"/>
        </w:rPr>
        <w:t>Cashless exercise</w:t>
      </w:r>
      <w:r>
        <w:rPr>
          <w:sz w:val="20"/>
          <w:szCs w:val="20"/>
          <w:color w:val="auto"/>
        </w:rPr>
        <w:tab/>
      </w:r>
      <w:r>
        <w:rPr>
          <w:rFonts w:ascii="Times New Roman" w:cs="Times New Roman" w:eastAsia="Times New Roman" w:hAnsi="Times New Roman"/>
          <w:sz w:val="18"/>
          <w:szCs w:val="18"/>
          <w:color w:val="auto"/>
        </w:rPr>
        <w:t>If we call the warrants for redemption as described</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above, our management will have the option to require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all holders that wish to exercise warrants to do so on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“cashless basis.” In determining whether to require all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holders to exercise their warrants on a “cashless basis,”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our management will consider, among other factors, our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cash position, the number of warrants that are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outstanding and the dilutive effect on our stockholders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issuing the maximum number of shares of Class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common stock issuable upon the exercise of our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warrants. In such event, each holder would pay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exercise price by surrendering the warrants for that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number of shares of Class A common stock equal to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quotient obtained by dividing (x) the product of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number of shares of Class A common stock underlying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warrants, multiplied by the excess of the “fair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market value” of our Class A common stock (defined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below) over the exercise price of the warrants by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(y) the fair market value. The “fair market value” will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mean the average reported closing price of the Class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common stock for the 10 trading days ending on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third trading day prior to the date on which the notice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redemption is sent to the holders of warrants. Please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see “Description of Securities — Warrants — Public</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Stockholders’ Warrants” for additional information.</w:t>
      </w:r>
    </w:p>
    <w:p>
      <w:pPr>
        <w:spacing w:after="0" w:line="99"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color w:val="auto"/>
        </w:rPr>
        <w:t>Founder shares</w:t>
      </w:r>
      <w:r>
        <w:rPr>
          <w:sz w:val="20"/>
          <w:szCs w:val="20"/>
          <w:color w:val="auto"/>
        </w:rPr>
        <w:tab/>
      </w:r>
      <w:r>
        <w:rPr>
          <w:rFonts w:ascii="Times New Roman" w:cs="Times New Roman" w:eastAsia="Times New Roman" w:hAnsi="Times New Roman"/>
          <w:sz w:val="18"/>
          <w:szCs w:val="18"/>
          <w:color w:val="auto"/>
        </w:rPr>
        <w:t>On June 10, 2020, our sponsor purchased an aggregate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2,875,000 founder shares in exchange for a capital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contribution of $25,000, or approximately $0.009 per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share. In June 2020, our sponsor transferred 30,000</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founder shares to each of David Colpman, Antony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Loebel and Robert Taub, resulting in our sponsor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holding 2,785,000 founder shares. Prior to the initial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investment in the company of $25,000 by the sponsor,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company had no assets, tangible or intangible.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per share price of the founder shares was determined by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dividing the amount of cash contributed to the company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by the number of founder shares issued. The number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founder shares outstanding was determined based 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expectation that the total size of this offering would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be a maximum of 11,500,000 units if the underwriters’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over-allotment option is exercised in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full, and therefore that such founder shares would</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represent 20% of the outstanding shares after this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offering, excluding the private placement shares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underlying the private placement units. Up to 375,000</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the founder shares will be forfeited depending on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extent to which the underwriters’ over-allotment option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is not exercised.</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founder shares are identical to the shares of</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Class A common stock included in the units being sold</w:t>
      </w:r>
    </w:p>
    <w:p>
      <w:pPr>
        <w:ind w:left="5260"/>
        <w:spacing w:after="0"/>
        <w:rPr>
          <w:sz w:val="20"/>
          <w:szCs w:val="20"/>
          <w:color w:val="auto"/>
        </w:rPr>
      </w:pPr>
      <w:r>
        <w:rPr>
          <w:rFonts w:ascii="Times New Roman" w:cs="Times New Roman" w:eastAsia="Times New Roman" w:hAnsi="Times New Roman"/>
          <w:sz w:val="18"/>
          <w:szCs w:val="18"/>
          <w:color w:val="auto"/>
        </w:rPr>
        <w:t>in this offering, except that:</w:t>
      </w:r>
    </w:p>
    <w:p>
      <w:pPr>
        <w:spacing w:after="0" w:line="124"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founder shares are subject to certain transfer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restrictions, as described in more detail below;</w:t>
      </w:r>
    </w:p>
    <w:p>
      <w:pPr>
        <w:spacing w:after="0" w:line="139"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our initial stockholders, sponsor, officers and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directors have entered into a letter agreement with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us, pursuant to which they have agreed to (i) waive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their redemption rights with respect to any founder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shares and public shares they hold in connection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 the completion of our initial business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(ii) waive their redemption rights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 respect to any founder shares and public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shares they hold in connection with a stockholder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vote to approve an amendment to our amended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restated certificate of incorporation to modify the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substance or timing of our obligation to redeem</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100% of our public shares if we have not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consummated an initial business combination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within 24 months from the closing of this offering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or with respect to any other material provisions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relating to stockholders’ rights or pre-initial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business combination activity and (iii) waive their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rights to liquidating distributions from the trust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account with respect to any founder shares they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 if we fail to complete our initial business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within 24 months from the closing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this offering (although they will be entitled to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liquidating distributions from the trust account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 respect to any public shares they hold if we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fail to complete our initial business combination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within the prescribed time frame).</w:t>
      </w:r>
    </w:p>
    <w:p>
      <w:pPr>
        <w:spacing w:after="0" w:line="126"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If we submit our initial business combination to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our public stockholders for a vote, our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stockholders have agreed to vote their founder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shares and any public shares purchased during 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after this offering in favor of our initial business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As a result, in addition to our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stockholders’ founder shares and private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placement shares, we would need 3,562,501, or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35.6%, of the 10,000,000 public shares sold in this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offering to be voted in favor of an initial business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in order to have our initial business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approved (assuming all outstanding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shares are voted and the over-allotment option is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not exercised); and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founder shares are automatically convertible</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into our Class A common stock concurrently with</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immediately following the consummation of our</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initial business combination on a one-for-one</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basis, subject to adjustment pursuant to certain</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anti-dilution rights, as described below adjacent to</w:t>
            </w:r>
          </w:p>
        </w:tc>
      </w:tr>
      <w:tr>
        <w:trPr>
          <w:trHeight w:val="216"/>
        </w:trPr>
        <w:tc>
          <w:tcPr>
            <w:tcW w:w="3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caption “Founder shares conversion and anti-</w:t>
            </w:r>
          </w:p>
        </w:tc>
      </w:tr>
      <w:tr>
        <w:trPr>
          <w:trHeight w:val="234"/>
        </w:trPr>
        <w:tc>
          <w:tcPr>
            <w:tcW w:w="3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dilution rights.”</w:t>
            </w:r>
          </w:p>
        </w:tc>
      </w:tr>
      <w:tr>
        <w:trPr>
          <w:trHeight w:val="30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Transfer restrictions on founder shares</w:t>
            </w: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Our initial stockholders have agreed not to transfer,</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assign or sell any of their founder shares until the</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earlier to occur of: (i) one year after the completion of</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our initial business combination and (ii) the date on</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which we complete a liquidation, merger, capital stock</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exchange or other similar transaction after our initial</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business combination that results in all of our</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stockholders having the right to exchange their Class A</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common stock for cash, securities or other property;</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except to certain permitted transferees and under</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certain circumstances as described herein under</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“Principal Stockholders — Transfers of Founder Shares</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 Private Placement Units.” Any permitted</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transferees will be subject to the same restrictions and</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agreements of our initial stockholders with</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respect to any founder shares. We refer to such transfer</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restrictions throughout this prospectus as the lock-up.</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Notwithstanding the foregoing, if (1) the closing price</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of our Class A common stock equals or exceeds $12.00</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 share (as adjusted for stock splits, stock</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capitalizations, reorganizations, recapitalizations and</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like) for any 20 trading days within any 30-trading</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day period commencing at least 150 days after our</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initial business combination or (2) if we consummate a</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transaction after our initial business combination which</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results in our stockholders having the right to exchange</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their shares for cash, securities or other property, the</w:t>
            </w:r>
          </w:p>
        </w:tc>
      </w:tr>
      <w:tr>
        <w:trPr>
          <w:trHeight w:val="234"/>
        </w:trPr>
        <w:tc>
          <w:tcPr>
            <w:tcW w:w="3640" w:type="dxa"/>
            <w:vAlign w:val="bottom"/>
          </w:tcPr>
          <w:p>
            <w:pPr>
              <w:spacing w:after="0"/>
              <w:rPr>
                <w:sz w:val="20"/>
                <w:szCs w:val="20"/>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founder shares will be released from the lock-up.</w:t>
            </w:r>
          </w:p>
        </w:tc>
      </w:tr>
      <w:tr>
        <w:trPr>
          <w:trHeight w:val="30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Founder shares conversion and anti-dilution</w:t>
            </w: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w:t>
            </w: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founder shares will automatically convert into</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shares of Class A common stock concurrently with or</w:t>
            </w:r>
          </w:p>
        </w:tc>
      </w:tr>
      <w:tr>
        <w:trPr>
          <w:trHeight w:val="216"/>
        </w:trPr>
        <w:tc>
          <w:tcPr>
            <w:tcW w:w="364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immediately following the consummation of our initial</w:t>
            </w:r>
          </w:p>
        </w:tc>
      </w:tr>
      <w:tr>
        <w:trPr>
          <w:trHeight w:val="234"/>
        </w:trPr>
        <w:tc>
          <w:tcPr>
            <w:tcW w:w="3640" w:type="dxa"/>
            <w:vAlign w:val="bottom"/>
          </w:tcPr>
          <w:p>
            <w:pPr>
              <w:spacing w:after="0"/>
              <w:rPr>
                <w:sz w:val="20"/>
                <w:szCs w:val="20"/>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business combination on a one-for-one basis, subject to</w:t>
            </w:r>
          </w:p>
        </w:tc>
      </w:tr>
    </w:tbl>
    <w:p>
      <w:pPr>
        <w:ind w:left="5260"/>
        <w:spacing w:after="0"/>
        <w:rPr>
          <w:sz w:val="20"/>
          <w:szCs w:val="20"/>
          <w:color w:val="auto"/>
        </w:rPr>
      </w:pPr>
      <w:r>
        <w:rPr>
          <w:rFonts w:ascii="Times New Roman" w:cs="Times New Roman" w:eastAsia="Times New Roman" w:hAnsi="Times New Roman"/>
          <w:sz w:val="18"/>
          <w:szCs w:val="18"/>
          <w:color w:val="auto"/>
        </w:rPr>
        <w:t>adjustment for stock splits, stock dividends,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reorganizations, recapitalizations and the like,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subject to further adjustment as provided herein. In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case that additional shares of Class A common stock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equity-linked securities are issued or deemed issued in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connection with our initial business combination,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number of shares of Class A common stock issuable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upon conversion of all founder shares will equal, in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aggregate, on an as-converted basis, 20% of the total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number of shares of Class A common stock outstanding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after such conversion (excluding the private placement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shares underlying the private placement units after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giving effect to any redemptions of shares of Class A</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139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813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common stock by public stockholders), including the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total number of shares of Class A common stock</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issued, or deemed issued or issuable upon conversion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or exercise of any equity-linked securities or rights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issued or deemed issued, by the Company in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connection with or in relation to the consummation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initial business combination, excluding any shares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Class A common stock or equity-linked securities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rights exercisable for or convertible into shares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Class A common stock issued, or to be issued, to any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seller in the initial business combination and any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private placement-equivalent units issued to our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sponsor, officers or directors upon conversion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working capital loans, provided that such conversion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founder shares will never occur on a less than one-for-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one basis.</w:t>
      </w:r>
    </w:p>
    <w:p>
      <w:pPr>
        <w:spacing w:after="0" w:line="99"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color w:val="auto"/>
        </w:rPr>
        <w:t>Voting Rights</w:t>
      </w:r>
      <w:r>
        <w:rPr>
          <w:sz w:val="20"/>
          <w:szCs w:val="20"/>
          <w:color w:val="auto"/>
        </w:rPr>
        <w:tab/>
      </w:r>
      <w:r>
        <w:rPr>
          <w:rFonts w:ascii="Times New Roman" w:cs="Times New Roman" w:eastAsia="Times New Roman" w:hAnsi="Times New Roman"/>
          <w:sz w:val="18"/>
          <w:szCs w:val="18"/>
          <w:color w:val="auto"/>
        </w:rPr>
        <w:t>Holders of record of our Class A common stock and</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holders of record of our Class B common stock will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vote together as a single class on all matters submitted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to a vote of our stockholders, with each share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common stock entitling the holder to one vote except as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required by law.</w:t>
      </w:r>
    </w:p>
    <w:p>
      <w:pPr>
        <w:spacing w:after="0" w:line="99"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color w:val="auto"/>
        </w:rPr>
        <w:t>Private placement units</w:t>
      </w:r>
      <w:r>
        <w:rPr>
          <w:sz w:val="20"/>
          <w:szCs w:val="20"/>
          <w:color w:val="auto"/>
        </w:rPr>
        <w:tab/>
      </w:r>
      <w:r>
        <w:rPr>
          <w:rFonts w:ascii="Times New Roman" w:cs="Times New Roman" w:eastAsia="Times New Roman" w:hAnsi="Times New Roman"/>
          <w:sz w:val="18"/>
          <w:szCs w:val="18"/>
          <w:color w:val="auto"/>
        </w:rPr>
        <w:t>Our sponsor has committed, pursuant to a written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agreement, to purchase an aggregate of 375,000 private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placement units (or 405,000 units if the underwriters’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over-allotment option is exercised in full), at a price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$10.00 per unit, or $3,750,000 in the aggregate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$4,050,000 if the underwriters’ over-allotment option is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exercised in full), in a private placement that will close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simultaneously with the closing of this offering.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 portion of the purchase price of the private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placement units will be added to the proceeds from this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offering to be held in the trust account such that at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time of closing of this offering $100 million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$115 million if the underwriters exercise their over-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allotment option in full) will be held in the trust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account. The private placement units will be identical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to the units sold in this offering except that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underlying private placement warrants, so long as they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are held by our sponsor or its permitted transferees,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 will not be redeemable by us, (ii) may not (including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Class A common stock issuable upon exercise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these warrants), subject to certain limited exceptions,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be transferred, assigned or sold by the holders until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30 days after the completion of our initial business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combination, (iii) may be exercised by the holders on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cashless basis and (iv) will be entitled to registration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rights. If the private placement warrants are held by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holders other than our sponsor or its permitted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transferees, the private placement warrants will be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redeemable by us and exercisable by the holders on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same basis as the warrants included in the units being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sold in this offering. If we do not complete our initial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business combination within 24 months from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closing of this offering,</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1051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810514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Transfer restrictions on private</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placement units and underlying</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319"/>
        <w:spacing w:after="0" w:line="282" w:lineRule="auto"/>
        <w:rPr>
          <w:sz w:val="20"/>
          <w:szCs w:val="20"/>
          <w:color w:val="auto"/>
        </w:rPr>
      </w:pPr>
      <w:r>
        <w:rPr>
          <w:rFonts w:ascii="Times New Roman" w:cs="Times New Roman" w:eastAsia="Times New Roman" w:hAnsi="Times New Roman"/>
          <w:sz w:val="18"/>
          <w:szCs w:val="18"/>
          <w:color w:val="auto"/>
        </w:rPr>
        <w:t>the private placement units (and the underlying securities) will expire worthless.</w:t>
      </w:r>
    </w:p>
    <w:p>
      <w:pPr>
        <w:spacing w:after="0" w:line="200" w:lineRule="exact"/>
        <w:rPr>
          <w:sz w:val="20"/>
          <w:szCs w:val="20"/>
          <w:color w:val="auto"/>
        </w:rPr>
      </w:pPr>
    </w:p>
    <w:p>
      <w:pPr>
        <w:spacing w:after="0" w:line="286" w:lineRule="exact"/>
        <w:rPr>
          <w:sz w:val="20"/>
          <w:szCs w:val="20"/>
          <w:color w:val="auto"/>
        </w:rPr>
      </w:pPr>
    </w:p>
    <w:p>
      <w:pPr>
        <w:ind w:right="819"/>
        <w:spacing w:after="0" w:line="254" w:lineRule="auto"/>
        <w:rPr>
          <w:sz w:val="20"/>
          <w:szCs w:val="20"/>
          <w:color w:val="auto"/>
        </w:rPr>
      </w:pPr>
      <w:r>
        <w:rPr>
          <w:rFonts w:ascii="Times New Roman" w:cs="Times New Roman" w:eastAsia="Times New Roman" w:hAnsi="Times New Roman"/>
          <w:sz w:val="18"/>
          <w:szCs w:val="18"/>
          <w:color w:val="auto"/>
        </w:rPr>
        <w:t>The private placement units (including the underlying private placement shares, private placement warrants and Class A common stock issuable upon exercise of the private placement warrants) will not be transferable, assignable or salable until 30 days after the completion of our initial business combination, except as described herein under “Principal Stockholders — Transfers of Founder Shares and Private Placement Units.”</w:t>
      </w:r>
    </w:p>
    <w:p>
      <w:pPr>
        <w:spacing w:after="0" w:line="200" w:lineRule="exact"/>
        <w:rPr>
          <w:sz w:val="20"/>
          <w:szCs w:val="20"/>
          <w:color w:val="auto"/>
        </w:rPr>
      </w:pPr>
    </w:p>
    <w:p>
      <w:pPr>
        <w:sectPr>
          <w:pgSz w:w="11900" w:h="16838" w:orient="portrait"/>
          <w:cols w:equalWidth="0" w:num="2">
            <w:col w:w="4540" w:space="720"/>
            <w:col w:w="4879"/>
          </w:cols>
          <w:pgMar w:left="320" w:top="114" w:right="1440" w:bottom="1440" w:gutter="0" w:footer="0" w:header="0"/>
          <w:type w:val="continuous"/>
        </w:sectPr>
      </w:pPr>
    </w:p>
    <w:p>
      <w:pPr>
        <w:spacing w:after="0" w:line="100"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color w:val="auto"/>
        </w:rPr>
        <w:t>Proceeds to be held in trust account</w:t>
      </w:r>
      <w:r>
        <w:rPr>
          <w:sz w:val="20"/>
          <w:szCs w:val="20"/>
          <w:color w:val="auto"/>
        </w:rPr>
        <w:tab/>
      </w:r>
      <w:r>
        <w:rPr>
          <w:rFonts w:ascii="Times New Roman" w:cs="Times New Roman" w:eastAsia="Times New Roman" w:hAnsi="Times New Roman"/>
          <w:sz w:val="18"/>
          <w:szCs w:val="18"/>
          <w:color w:val="auto"/>
        </w:rPr>
        <w:t>Nasdaq rules provide that at least 90% of the gross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proceeds from this offering and the sale of the private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placement units be deposited in a trust account. Of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proceeds we will receive from this offering and the sale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the private placement units described in this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prospectus, $100 million, or $115 million if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underwriters’ over-allotment option is exercised in full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($10.00 per unit in either case), will be deposited into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segregated trust account located in the United States at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JP Morgan Chase Bank, N.A. with Continental Stock</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Transfer &amp; Trust Company acting as trustee, after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deducting $2,000,000 in underwriting discounts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commissions payable upon the closing of this offering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(or $2,300,000 if the underwriters’ over-allotment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option is exercised in full) and an aggregate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$1.75 million to pay expenses in connection with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closing of this offering and for working capital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following this offering. The proceeds to be placed in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trust account include $3,500,000 (or up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$4,025,000 if the underwriters’ over-allotment option is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exercised in full) in deferred underwriting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commissions.</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Except with respect to interest earned on the funds held</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the trust account that may be released to us to pay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our taxes, the proceeds from this offering and the sale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the private placement units will not be released from</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trust account until the earliest of (i) the completion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our initial business combination, (ii) the redemption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our public shares if we do not complete our initial</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business combination within 24 months from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closing of this offering, subject to applicable law,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 the redemption of our public shares properly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submitted in connection with a stockholder vote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amend our amended and restated certificate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incorporation to modify the substance or timing of our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obligation to redeem 100% of our public shares if we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have not consummated an initial business combination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within 24 months from the closing of this offering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with respect to any other material provisions relating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stockholders’ rights or pre-initial business combination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activity. The proceeds deposited in the trust account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could become subject to the claims of our creditors, if</w:t>
      </w: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Anticipated expenses and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Indications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 w:right="879"/>
        <w:spacing w:after="0" w:line="266" w:lineRule="auto"/>
        <w:rPr>
          <w:sz w:val="20"/>
          <w:szCs w:val="20"/>
          <w:color w:val="auto"/>
        </w:rPr>
      </w:pPr>
      <w:r>
        <w:rPr>
          <w:rFonts w:ascii="Times New Roman" w:cs="Times New Roman" w:eastAsia="Times New Roman" w:hAnsi="Times New Roman"/>
          <w:sz w:val="18"/>
          <w:szCs w:val="18"/>
          <w:color w:val="auto"/>
        </w:rPr>
        <w:t>any, which could have priority over the claims of our public stockholders.</w:t>
      </w:r>
    </w:p>
    <w:p>
      <w:pPr>
        <w:spacing w:after="0" w:line="54" w:lineRule="exact"/>
        <w:rPr>
          <w:sz w:val="20"/>
          <w:szCs w:val="20"/>
          <w:color w:val="auto"/>
        </w:rPr>
      </w:pPr>
    </w:p>
    <w:p>
      <w:pPr>
        <w:ind w:left="2" w:right="679"/>
        <w:spacing w:after="0" w:line="252" w:lineRule="auto"/>
        <w:rPr>
          <w:sz w:val="20"/>
          <w:szCs w:val="20"/>
          <w:color w:val="auto"/>
        </w:rPr>
      </w:pPr>
      <w:r>
        <w:rPr>
          <w:rFonts w:ascii="Times New Roman" w:cs="Times New Roman" w:eastAsia="Times New Roman" w:hAnsi="Times New Roman"/>
          <w:sz w:val="18"/>
          <w:szCs w:val="18"/>
          <w:color w:val="auto"/>
        </w:rPr>
        <w:t>Unless and until we complete our initial business combination, no proceeds held in the trust account will be available for our use, except for permitted withdrawals and/or to redeem our public shares in connection with an amendment to our amended and restated certificate of incorporation, as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$500,000 per year, assuming an interest rate of 0.5% per year; however we can provide no assurances regarding this amount. Unless and until we complete our initial business combination, we may pay our expenses only from such interest withdrawn from the trust account and:</w:t>
      </w:r>
    </w:p>
    <w:p>
      <w:pPr>
        <w:spacing w:after="0" w:line="327" w:lineRule="exact"/>
        <w:rPr>
          <w:sz w:val="20"/>
          <w:szCs w:val="20"/>
          <w:color w:val="auto"/>
        </w:rPr>
      </w:pPr>
    </w:p>
    <w:p>
      <w:pPr>
        <w:ind w:left="362" w:right="699" w:hanging="362"/>
        <w:spacing w:after="0" w:line="257" w:lineRule="auto"/>
        <w:tabs>
          <w:tab w:leader="none" w:pos="3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this offering and the sale of the private placement units not held in the trust account, which initially will be approximately $750,000 in working capital after the payment of approximately $1,000,000 in expenses relating to this offering; and</w:t>
      </w:r>
    </w:p>
    <w:p>
      <w:pPr>
        <w:spacing w:after="0" w:line="322" w:lineRule="exact"/>
        <w:rPr>
          <w:rFonts w:ascii="Times New Roman" w:cs="Times New Roman" w:eastAsia="Times New Roman" w:hAnsi="Times New Roman"/>
          <w:sz w:val="18"/>
          <w:szCs w:val="18"/>
          <w:color w:val="auto"/>
        </w:rPr>
      </w:pPr>
    </w:p>
    <w:p>
      <w:pPr>
        <w:ind w:left="362" w:right="679" w:hanging="362"/>
        <w:spacing w:after="0" w:line="254" w:lineRule="auto"/>
        <w:tabs>
          <w:tab w:leader="none" w:pos="3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loans or additional investments from our sponsor, members of our management team or their affiliates or other third parties, although they are under no obligation to advance funds or invest in us, and provided any such loans will not have any claim on the proceeds held in the trust account unless such proceeds are released to us upon completion of our initial business combination.</w:t>
      </w:r>
    </w:p>
    <w:p>
      <w:pPr>
        <w:spacing w:after="0" w:line="84" w:lineRule="exact"/>
        <w:rPr>
          <w:sz w:val="20"/>
          <w:szCs w:val="20"/>
          <w:color w:val="auto"/>
        </w:rPr>
      </w:pPr>
    </w:p>
    <w:p>
      <w:pPr>
        <w:ind w:left="2" w:right="679"/>
        <w:spacing w:after="0" w:line="253" w:lineRule="auto"/>
        <w:rPr>
          <w:sz w:val="20"/>
          <w:szCs w:val="20"/>
          <w:color w:val="auto"/>
        </w:rPr>
      </w:pPr>
      <w:r>
        <w:rPr>
          <w:rFonts w:ascii="Times New Roman" w:cs="Times New Roman" w:eastAsia="Times New Roman" w:hAnsi="Times New Roman"/>
          <w:sz w:val="18"/>
          <w:szCs w:val="18"/>
          <w:color w:val="auto"/>
        </w:rPr>
        <w:t>Deerfield Management has indicated that one or more Deerfield Funds managed by Deerfield Management and its affiliates has an interest in purchasing 1,000,000 units in this offering at the public offering price. However, because indications of interest are not binding agreements or commitments to purchase, the Deerfield Funds may decide not to purchase any units in this offering. In addition, the underwriters could determine to sell fewer or not to sell any units to the Deerfield Funds. The Deerfield Funds are also investing in our sponsor.</w:t>
      </w:r>
    </w:p>
    <w:p>
      <w:pPr>
        <w:spacing w:after="0" w:line="200" w:lineRule="exact"/>
        <w:rPr>
          <w:sz w:val="20"/>
          <w:szCs w:val="20"/>
          <w:color w:val="auto"/>
        </w:rPr>
      </w:pPr>
    </w:p>
    <w:p>
      <w:pPr>
        <w:spacing w:after="0" w:line="318" w:lineRule="exact"/>
        <w:rPr>
          <w:sz w:val="20"/>
          <w:szCs w:val="20"/>
          <w:color w:val="auto"/>
        </w:rPr>
      </w:pPr>
    </w:p>
    <w:p>
      <w:pPr>
        <w:ind w:left="2" w:right="819"/>
        <w:spacing w:after="0" w:line="258" w:lineRule="auto"/>
        <w:rPr>
          <w:sz w:val="20"/>
          <w:szCs w:val="20"/>
          <w:color w:val="auto"/>
        </w:rPr>
      </w:pPr>
      <w:r>
        <w:rPr>
          <w:rFonts w:ascii="Times New Roman" w:cs="Times New Roman" w:eastAsia="Times New Roman" w:hAnsi="Times New Roman"/>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w:t>
      </w:r>
    </w:p>
    <w:p>
      <w:pPr>
        <w:spacing w:after="0" w:line="200" w:lineRule="exact"/>
        <w:rPr>
          <w:sz w:val="20"/>
          <w:szCs w:val="20"/>
          <w:color w:val="auto"/>
        </w:rPr>
      </w:pPr>
    </w:p>
    <w:p>
      <w:pPr>
        <w:sectPr>
          <w:pgSz w:w="11900" w:h="16838" w:orient="portrait"/>
          <w:cols w:equalWidth="0" w:num="2">
            <w:col w:w="4680" w:space="578"/>
            <w:col w:w="4882"/>
          </w:cols>
          <w:pgMar w:left="320" w:top="114" w:right="1440" w:bottom="1440" w:gutter="0" w:footer="0" w:header="0"/>
          <w:type w:val="continuous"/>
        </w:sect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interest earned on the trust account) at the time of our</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signing a definitive agreement in connection with our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initial business combination. Our board of directors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will make the determination as to the fair market value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our initial business combination. If our board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directors is not able to independently determine the fair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market value of our initial business combination, we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will obtain an opinion from an independent investment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banking firm which is a member of FINRA or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valuation or appraisal firm. While we consider it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unlikely that our board of directors will not be able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make an independent determination of the fair market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value of our initial business combination, it may be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unable to do so if it is less familiar or experienced with</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business of a particular target or if there is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significant amount of uncertainty as to the value of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target’s assets or prospects. We anticipate structuring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our initial business combination so that the post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transaction company in which our public stockholders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own shares will own or acquire 100% of the equity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interests or assets of the target business or businesses.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We may, however, structure our initial business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combination such that the post transaction company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owns or acquires less than 100% of such interests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assets of the target business in order to meet certain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objectives of the target management team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stockholders or for other reasons, including, but not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limited to, an affiliated joint acquisition with one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more affiliates of HighCape and/or one or more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investors in HighCape or one of its affiliates. There is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 limitation on our ability to raise funds privately,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through loans in connection with our initial business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combination including pursuant to forward purchase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agreements we may enter into following consummation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this offering.</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We will complete our initial business combination only</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if the post-transaction company in which our public</w:t>
      </w:r>
    </w:p>
    <w:p>
      <w:pPr>
        <w:ind w:left="5260"/>
        <w:spacing w:after="0" w:line="234" w:lineRule="auto"/>
        <w:rPr>
          <w:sz w:val="20"/>
          <w:szCs w:val="20"/>
          <w:color w:val="auto"/>
        </w:rPr>
      </w:pPr>
      <w:r>
        <w:rPr>
          <w:rFonts w:ascii="Times New Roman" w:cs="Times New Roman" w:eastAsia="Times New Roman" w:hAnsi="Times New Roman"/>
          <w:sz w:val="18"/>
          <w:szCs w:val="18"/>
          <w:color w:val="auto"/>
        </w:rPr>
        <w:t>stockholders own shares will own or acquire 50% or</w:t>
      </w:r>
    </w:p>
    <w:p>
      <w:pPr>
        <w:ind w:left="5260"/>
        <w:spacing w:after="0" w:line="235" w:lineRule="auto"/>
        <w:rPr>
          <w:sz w:val="20"/>
          <w:szCs w:val="20"/>
          <w:color w:val="auto"/>
        </w:rPr>
      </w:pPr>
      <w:r>
        <w:rPr>
          <w:rFonts w:ascii="Times New Roman" w:cs="Times New Roman" w:eastAsia="Times New Roman" w:hAnsi="Times New Roman"/>
          <w:sz w:val="18"/>
          <w:szCs w:val="18"/>
          <w:color w:val="auto"/>
        </w:rPr>
        <w:t>more of the outstanding voting securities of the target</w:t>
      </w:r>
    </w:p>
    <w:p>
      <w:pPr>
        <w:ind w:left="5260"/>
        <w:spacing w:after="0" w:line="235" w:lineRule="auto"/>
        <w:rPr>
          <w:sz w:val="20"/>
          <w:szCs w:val="20"/>
          <w:color w:val="auto"/>
        </w:rPr>
      </w:pPr>
      <w:r>
        <w:rPr>
          <w:rFonts w:ascii="Times New Roman" w:cs="Times New Roman" w:eastAsia="Times New Roman" w:hAnsi="Times New Roman"/>
          <w:sz w:val="18"/>
          <w:szCs w:val="18"/>
          <w:color w:val="auto"/>
        </w:rPr>
        <w:t>or is otherwise not required to register as an investment</w:t>
      </w:r>
    </w:p>
    <w:p>
      <w:pPr>
        <w:ind w:left="5260"/>
        <w:spacing w:after="0" w:line="235" w:lineRule="auto"/>
        <w:rPr>
          <w:sz w:val="20"/>
          <w:szCs w:val="20"/>
          <w:color w:val="auto"/>
        </w:rPr>
      </w:pPr>
      <w:r>
        <w:rPr>
          <w:rFonts w:ascii="Times New Roman" w:cs="Times New Roman" w:eastAsia="Times New Roman" w:hAnsi="Times New Roman"/>
          <w:sz w:val="18"/>
          <w:szCs w:val="18"/>
          <w:color w:val="auto"/>
        </w:rPr>
        <w:t>company under the Investment Company Act. Even if</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 post-transaction company owns or acquires 50% or</w:t>
      </w:r>
    </w:p>
    <w:p>
      <w:pPr>
        <w:ind w:left="5260"/>
        <w:spacing w:after="0" w:line="234" w:lineRule="auto"/>
        <w:rPr>
          <w:sz w:val="20"/>
          <w:szCs w:val="20"/>
          <w:color w:val="auto"/>
        </w:rPr>
      </w:pPr>
      <w:r>
        <w:rPr>
          <w:rFonts w:ascii="Times New Roman" w:cs="Times New Roman" w:eastAsia="Times New Roman" w:hAnsi="Times New Roman"/>
          <w:sz w:val="18"/>
          <w:szCs w:val="18"/>
          <w:color w:val="auto"/>
        </w:rPr>
        <w:t>more of the voting securities of the target, our</w:t>
      </w:r>
    </w:p>
    <w:p>
      <w:pPr>
        <w:ind w:left="5260"/>
        <w:spacing w:after="0" w:line="235" w:lineRule="auto"/>
        <w:rPr>
          <w:sz w:val="20"/>
          <w:szCs w:val="20"/>
          <w:color w:val="auto"/>
        </w:rPr>
      </w:pPr>
      <w:r>
        <w:rPr>
          <w:rFonts w:ascii="Times New Roman" w:cs="Times New Roman" w:eastAsia="Times New Roman" w:hAnsi="Times New Roman"/>
          <w:sz w:val="18"/>
          <w:szCs w:val="18"/>
          <w:color w:val="auto"/>
        </w:rPr>
        <w:t>stockholders prior to our initial business combination</w:t>
      </w:r>
    </w:p>
    <w:p>
      <w:pPr>
        <w:ind w:left="5260"/>
        <w:spacing w:after="0" w:line="235" w:lineRule="auto"/>
        <w:rPr>
          <w:sz w:val="20"/>
          <w:szCs w:val="20"/>
          <w:color w:val="auto"/>
        </w:rPr>
      </w:pPr>
      <w:r>
        <w:rPr>
          <w:rFonts w:ascii="Times New Roman" w:cs="Times New Roman" w:eastAsia="Times New Roman" w:hAnsi="Times New Roman"/>
          <w:sz w:val="18"/>
          <w:szCs w:val="18"/>
          <w:color w:val="auto"/>
        </w:rPr>
        <w:t>may collectively own a minority interest in the post</w:t>
      </w:r>
    </w:p>
    <w:p>
      <w:pPr>
        <w:ind w:left="5260"/>
        <w:spacing w:after="0" w:line="235" w:lineRule="auto"/>
        <w:rPr>
          <w:sz w:val="20"/>
          <w:szCs w:val="20"/>
          <w:color w:val="auto"/>
        </w:rPr>
      </w:pPr>
      <w:r>
        <w:rPr>
          <w:rFonts w:ascii="Times New Roman" w:cs="Times New Roman" w:eastAsia="Times New Roman" w:hAnsi="Times New Roman"/>
          <w:sz w:val="18"/>
          <w:szCs w:val="18"/>
          <w:color w:val="auto"/>
        </w:rPr>
        <w:t>business combination company, depending on</w:t>
      </w:r>
    </w:p>
    <w:p>
      <w:pPr>
        <w:ind w:left="5260"/>
        <w:spacing w:after="0" w:line="235" w:lineRule="auto"/>
        <w:rPr>
          <w:sz w:val="20"/>
          <w:szCs w:val="20"/>
          <w:color w:val="auto"/>
        </w:rPr>
      </w:pPr>
      <w:r>
        <w:rPr>
          <w:rFonts w:ascii="Times New Roman" w:cs="Times New Roman" w:eastAsia="Times New Roman" w:hAnsi="Times New Roman"/>
          <w:sz w:val="18"/>
          <w:szCs w:val="18"/>
          <w:color w:val="auto"/>
        </w:rPr>
        <w:t>valuations ascribed to the target and us in the business</w:t>
      </w:r>
    </w:p>
    <w:p>
      <w:pPr>
        <w:ind w:left="5260"/>
        <w:spacing w:after="0" w:line="234" w:lineRule="auto"/>
        <w:rPr>
          <w:sz w:val="20"/>
          <w:szCs w:val="20"/>
          <w:color w:val="auto"/>
        </w:rPr>
      </w:pPr>
      <w:r>
        <w:rPr>
          <w:rFonts w:ascii="Times New Roman" w:cs="Times New Roman" w:eastAsia="Times New Roman" w:hAnsi="Times New Roman"/>
          <w:sz w:val="18"/>
          <w:szCs w:val="18"/>
          <w:color w:val="auto"/>
        </w:rPr>
        <w:t>combination transaction. If less than 100% of the</w:t>
      </w:r>
    </w:p>
    <w:p>
      <w:pPr>
        <w:ind w:left="5260"/>
        <w:spacing w:after="0" w:line="235" w:lineRule="auto"/>
        <w:rPr>
          <w:sz w:val="20"/>
          <w:szCs w:val="20"/>
          <w:color w:val="auto"/>
        </w:rPr>
      </w:pPr>
      <w:r>
        <w:rPr>
          <w:rFonts w:ascii="Times New Roman" w:cs="Times New Roman" w:eastAsia="Times New Roman" w:hAnsi="Times New Roman"/>
          <w:sz w:val="18"/>
          <w:szCs w:val="18"/>
          <w:color w:val="auto"/>
        </w:rPr>
        <w:t>equity interests or assets of a target business or</w:t>
      </w:r>
    </w:p>
    <w:p>
      <w:pPr>
        <w:ind w:left="5260"/>
        <w:spacing w:after="0" w:line="235" w:lineRule="auto"/>
        <w:rPr>
          <w:sz w:val="20"/>
          <w:szCs w:val="20"/>
          <w:color w:val="auto"/>
        </w:rPr>
      </w:pPr>
      <w:r>
        <w:rPr>
          <w:rFonts w:ascii="Times New Roman" w:cs="Times New Roman" w:eastAsia="Times New Roman" w:hAnsi="Times New Roman"/>
          <w:sz w:val="18"/>
          <w:szCs w:val="18"/>
          <w:color w:val="auto"/>
        </w:rPr>
        <w:t>businesses are owned or acquired by the post-</w:t>
      </w:r>
    </w:p>
    <w:p>
      <w:pPr>
        <w:ind w:left="5260"/>
        <w:spacing w:after="0" w:line="235" w:lineRule="auto"/>
        <w:rPr>
          <w:sz w:val="20"/>
          <w:szCs w:val="20"/>
          <w:color w:val="auto"/>
        </w:rPr>
      </w:pPr>
      <w:r>
        <w:rPr>
          <w:rFonts w:ascii="Times New Roman" w:cs="Times New Roman" w:eastAsia="Times New Roman" w:hAnsi="Times New Roman"/>
          <w:sz w:val="18"/>
          <w:szCs w:val="18"/>
          <w:color w:val="auto"/>
        </w:rPr>
        <w:t>transaction company, the portion of such business or</w:t>
      </w:r>
    </w:p>
    <w:p>
      <w:pPr>
        <w:ind w:left="5260"/>
        <w:spacing w:after="0" w:line="235" w:lineRule="auto"/>
        <w:rPr>
          <w:sz w:val="20"/>
          <w:szCs w:val="20"/>
          <w:color w:val="auto"/>
        </w:rPr>
      </w:pPr>
      <w:r>
        <w:rPr>
          <w:rFonts w:ascii="Times New Roman" w:cs="Times New Roman" w:eastAsia="Times New Roman" w:hAnsi="Times New Roman"/>
          <w:sz w:val="18"/>
          <w:szCs w:val="18"/>
          <w:color w:val="auto"/>
        </w:rPr>
        <w:t>businesses that is owned or acquired is what will be</w:t>
      </w:r>
    </w:p>
    <w:p>
      <w:pPr>
        <w:ind w:left="5260"/>
        <w:spacing w:after="0" w:line="234" w:lineRule="auto"/>
        <w:rPr>
          <w:sz w:val="20"/>
          <w:szCs w:val="20"/>
          <w:color w:val="auto"/>
        </w:rPr>
      </w:pPr>
      <w:r>
        <w:rPr>
          <w:rFonts w:ascii="Times New Roman" w:cs="Times New Roman" w:eastAsia="Times New Roman" w:hAnsi="Times New Roman"/>
          <w:sz w:val="18"/>
          <w:szCs w:val="18"/>
          <w:color w:val="auto"/>
        </w:rPr>
        <w:t>taken into account for purposes of Nasdaq’s 80% fair</w:t>
      </w:r>
    </w:p>
    <w:p>
      <w:pPr>
        <w:ind w:left="5260"/>
        <w:spacing w:after="0" w:line="235" w:lineRule="auto"/>
        <w:rPr>
          <w:sz w:val="20"/>
          <w:szCs w:val="20"/>
          <w:color w:val="auto"/>
        </w:rPr>
      </w:pPr>
      <w:r>
        <w:rPr>
          <w:rFonts w:ascii="Times New Roman" w:cs="Times New Roman" w:eastAsia="Times New Roman" w:hAnsi="Times New Roman"/>
          <w:sz w:val="18"/>
          <w:szCs w:val="18"/>
          <w:color w:val="auto"/>
        </w:rPr>
        <w:t>market value test described above, provided that in the</w:t>
      </w:r>
    </w:p>
    <w:p>
      <w:pPr>
        <w:ind w:left="5260"/>
        <w:spacing w:after="0" w:line="235" w:lineRule="auto"/>
        <w:rPr>
          <w:sz w:val="20"/>
          <w:szCs w:val="20"/>
          <w:color w:val="auto"/>
        </w:rPr>
      </w:pPr>
      <w:r>
        <w:rPr>
          <w:rFonts w:ascii="Times New Roman" w:cs="Times New Roman" w:eastAsia="Times New Roman" w:hAnsi="Times New Roman"/>
          <w:sz w:val="18"/>
          <w:szCs w:val="18"/>
          <w:color w:val="auto"/>
        </w:rPr>
        <w:t>event that the business combination involves more than</w:t>
      </w:r>
    </w:p>
    <w:p>
      <w:pPr>
        <w:ind w:left="5260"/>
        <w:spacing w:after="0"/>
        <w:rPr>
          <w:sz w:val="20"/>
          <w:szCs w:val="20"/>
          <w:color w:val="auto"/>
        </w:rPr>
      </w:pPr>
      <w:r>
        <w:rPr>
          <w:rFonts w:ascii="Times New Roman" w:cs="Times New Roman" w:eastAsia="Times New Roman" w:hAnsi="Times New Roman"/>
          <w:sz w:val="18"/>
          <w:szCs w:val="18"/>
          <w:color w:val="auto"/>
        </w:rPr>
        <w:t>one target business, the 80% fair market value test will</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2" w:name="page23"/>
    <w:bookmarkEnd w:id="2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036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60" w:right="180" w:hanging="179"/>
        <w:spacing w:after="0" w:line="282" w:lineRule="auto"/>
        <w:rPr>
          <w:sz w:val="20"/>
          <w:szCs w:val="20"/>
          <w:color w:val="auto"/>
        </w:rPr>
      </w:pPr>
      <w:r>
        <w:rPr>
          <w:rFonts w:ascii="Times New Roman" w:cs="Times New Roman" w:eastAsia="Times New Roman" w:hAnsi="Times New Roman"/>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59"/>
        <w:spacing w:after="0" w:line="258" w:lineRule="auto"/>
        <w:rPr>
          <w:sz w:val="20"/>
          <w:szCs w:val="20"/>
          <w:color w:val="auto"/>
        </w:rPr>
      </w:pPr>
      <w:r>
        <w:rPr>
          <w:rFonts w:ascii="Times New Roman" w:cs="Times New Roman" w:eastAsia="Times New Roman" w:hAnsi="Times New Roman"/>
          <w:sz w:val="18"/>
          <w:szCs w:val="18"/>
          <w:color w:val="auto"/>
        </w:rPr>
        <w:t>be based on the aggregate value of all of the transactions and we will treat the target businesses together as our initial business combination for purposes of a seeking stockholder approval or conducting a tender offer, as applicable.</w:t>
      </w:r>
    </w:p>
    <w:p>
      <w:pPr>
        <w:spacing w:after="0" w:line="291" w:lineRule="exact"/>
        <w:rPr>
          <w:sz w:val="20"/>
          <w:szCs w:val="20"/>
          <w:color w:val="auto"/>
        </w:rPr>
      </w:pPr>
    </w:p>
    <w:p>
      <w:pPr>
        <w:ind w:right="659"/>
        <w:spacing w:after="0" w:line="251"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shares or public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held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We expect any such purchases will be reported pursuant to Section 13 and Section 16 of the Exchange Act to the extent such purchasers are subject to such reporting requirements. See “Proposed Business — Permitted purchases of our securities” for a description of how our sponsor, initial stockholders, directors, executive officers, advisors or any of their affiliates will select which stockholders to purchase securities from in any private transaction.</w:t>
      </w:r>
    </w:p>
    <w:p>
      <w:pPr>
        <w:spacing w:after="0" w:line="335" w:lineRule="exact"/>
        <w:rPr>
          <w:sz w:val="20"/>
          <w:szCs w:val="20"/>
          <w:color w:val="auto"/>
        </w:rPr>
      </w:pPr>
    </w:p>
    <w:p>
      <w:pPr>
        <w:ind w:right="719"/>
        <w:spacing w:after="0" w:line="252" w:lineRule="auto"/>
        <w:rPr>
          <w:sz w:val="20"/>
          <w:szCs w:val="20"/>
          <w:color w:val="auto"/>
        </w:rPr>
      </w:pPr>
      <w:r>
        <w:rPr>
          <w:rFonts w:ascii="Times New Roman" w:cs="Times New Roman" w:eastAsia="Times New Roman" w:hAnsi="Times New Roman"/>
          <w:sz w:val="18"/>
          <w:szCs w:val="18"/>
          <w:color w:val="auto"/>
        </w:rPr>
        <w:t>The purpose of any such purchases of shares could be to vote such shares in favor of the business combination and thereby increase the likelihood of obtaining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w:t>
      </w:r>
    </w:p>
    <w:p>
      <w:pPr>
        <w:spacing w:after="0" w:line="200" w:lineRule="exact"/>
        <w:rPr>
          <w:sz w:val="20"/>
          <w:szCs w:val="20"/>
          <w:color w:val="auto"/>
        </w:rPr>
      </w:pPr>
    </w:p>
    <w:p>
      <w:pPr>
        <w:sectPr>
          <w:pgSz w:w="11900" w:h="16838" w:orient="portrait"/>
          <w:cols w:equalWidth="0" w:num="2">
            <w:col w:w="4540" w:space="720"/>
            <w:col w:w="4879"/>
          </w:cols>
          <w:pgMar w:left="320" w:top="114" w:right="1440"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460" w:right="80" w:hanging="179"/>
        <w:spacing w:after="0" w:line="266" w:lineRule="auto"/>
        <w:rPr>
          <w:sz w:val="20"/>
          <w:szCs w:val="20"/>
          <w:color w:val="auto"/>
        </w:rPr>
      </w:pPr>
      <w:r>
        <w:rPr>
          <w:rFonts w:ascii="Times New Roman" w:cs="Times New Roman" w:eastAsia="Times New Roman" w:hAnsi="Times New Roman"/>
          <w:sz w:val="18"/>
          <w:szCs w:val="18"/>
          <w:color w:val="auto"/>
        </w:rPr>
        <w:t>Redemption rights for public stockholders upon completion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59"/>
        <w:spacing w:after="0" w:line="254" w:lineRule="auto"/>
        <w:rPr>
          <w:sz w:val="20"/>
          <w:szCs w:val="20"/>
          <w:color w:val="auto"/>
        </w:rPr>
      </w:pPr>
      <w:r>
        <w:rPr>
          <w:rFonts w:ascii="Times New Roman" w:cs="Times New Roman" w:eastAsia="Times New Roman" w:hAnsi="Times New Roman"/>
          <w:sz w:val="18"/>
          <w:szCs w:val="18"/>
          <w:color w:val="auto"/>
        </w:rPr>
        <w:t>initial business combination. Any such purchases of our securities may result in the completion of our initial business combination that may not otherwise have been possible. In addition, if such purchases are made, the public “float” of our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59"/>
        <w:spacing w:after="0" w:line="251" w:lineRule="auto"/>
        <w:rPr>
          <w:sz w:val="20"/>
          <w:szCs w:val="20"/>
          <w:color w:val="auto"/>
        </w:rPr>
      </w:pPr>
      <w:r>
        <w:rPr>
          <w:rFonts w:ascii="Times New Roman" w:cs="Times New Roman" w:eastAsia="Times New Roman" w:hAnsi="Times New Roman"/>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 stockholders, sponsor, officers and directors have entered into a letter agreement with us, pursuant to which they have agreed to waive their redemption rights with respect to any founder shares they hold and any public shares they may acquire during or after this offering in connection with the completion of our initial business combination.</w:t>
      </w:r>
    </w:p>
    <w:p>
      <w:pPr>
        <w:spacing w:after="0" w:line="200" w:lineRule="exact"/>
        <w:rPr>
          <w:sz w:val="20"/>
          <w:szCs w:val="20"/>
          <w:color w:val="auto"/>
        </w:rPr>
      </w:pPr>
    </w:p>
    <w:p>
      <w:pPr>
        <w:sectPr>
          <w:pgSz w:w="11900" w:h="16838" w:orient="portrait"/>
          <w:cols w:equalWidth="0" w:num="2">
            <w:col w:w="4540" w:space="720"/>
            <w:col w:w="4879"/>
          </w:cols>
          <w:pgMar w:left="320" w:top="114" w:right="1440" w:bottom="1440" w:gutter="0" w:footer="0" w:header="0"/>
          <w:type w:val="continuous"/>
        </w:sectPr>
      </w:pPr>
    </w:p>
    <w:p>
      <w:pPr>
        <w:spacing w:after="0" w:line="113"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color w:val="auto"/>
        </w:rPr>
        <w:t>Manner of conducting redemptions</w:t>
      </w:r>
      <w:r>
        <w:rPr>
          <w:sz w:val="20"/>
          <w:szCs w:val="20"/>
          <w:color w:val="auto"/>
        </w:rPr>
        <w:tab/>
      </w:r>
      <w:r>
        <w:rPr>
          <w:rFonts w:ascii="Times New Roman" w:cs="Times New Roman" w:eastAsia="Times New Roman" w:hAnsi="Times New Roman"/>
          <w:sz w:val="18"/>
          <w:szCs w:val="18"/>
          <w:color w:val="auto"/>
        </w:rPr>
        <w:t>We will provide our public stockholders with the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opportunity to redeem all or a portion of their public</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shares upon the completion of our initial business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combination either (i) in connection with a stockholder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meeting called to approve the business combination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 without a stockholder vote by means of a tender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offer. The decision as to whether we will seek</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stockholder approval of a proposed business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combination or conduct a tender offer will be made by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us, solely in our discretion, and will be based on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variety of factors such as the timing of the transaction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and whether the terms of the transaction would require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us to seek stockholder approval under applicable law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stock exchange listing requirements. Asset acquisitions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and share purchases would not typically require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stockholder approval while direct mergers with our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company where we do not survive and any</w:t>
      </w: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transactions where we issue more than 20% of our</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outstanding Class A common stock or seek to amend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our amended and restated certificate of incorporation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would require stockholder approval. So long as we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obtain and maintain a listing for our securities on</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Nasdaq, we will be required to comply with the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Nasdaq’s stockholder approval rules.</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requirement that we provide our public</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stockholders with the opportunity to redeem their</w:t>
      </w:r>
    </w:p>
    <w:p>
      <w:pPr>
        <w:ind w:left="5260"/>
        <w:spacing w:after="0" w:line="234" w:lineRule="auto"/>
        <w:rPr>
          <w:sz w:val="20"/>
          <w:szCs w:val="20"/>
          <w:color w:val="auto"/>
        </w:rPr>
      </w:pPr>
      <w:r>
        <w:rPr>
          <w:rFonts w:ascii="Times New Roman" w:cs="Times New Roman" w:eastAsia="Times New Roman" w:hAnsi="Times New Roman"/>
          <w:sz w:val="18"/>
          <w:szCs w:val="18"/>
          <w:color w:val="auto"/>
        </w:rPr>
        <w:t>public shares by one of the two methods listed above</w:t>
      </w:r>
    </w:p>
    <w:p>
      <w:pPr>
        <w:ind w:left="5260"/>
        <w:spacing w:after="0" w:line="235" w:lineRule="auto"/>
        <w:rPr>
          <w:sz w:val="20"/>
          <w:szCs w:val="20"/>
          <w:color w:val="auto"/>
        </w:rPr>
      </w:pPr>
      <w:r>
        <w:rPr>
          <w:rFonts w:ascii="Times New Roman" w:cs="Times New Roman" w:eastAsia="Times New Roman" w:hAnsi="Times New Roman"/>
          <w:sz w:val="18"/>
          <w:szCs w:val="18"/>
          <w:color w:val="auto"/>
        </w:rPr>
        <w:t>will be contained in provisions of our amended and</w:t>
      </w:r>
    </w:p>
    <w:p>
      <w:pPr>
        <w:ind w:left="5260"/>
        <w:spacing w:after="0" w:line="235" w:lineRule="auto"/>
        <w:rPr>
          <w:sz w:val="20"/>
          <w:szCs w:val="20"/>
          <w:color w:val="auto"/>
        </w:rPr>
      </w:pPr>
      <w:r>
        <w:rPr>
          <w:rFonts w:ascii="Times New Roman" w:cs="Times New Roman" w:eastAsia="Times New Roman" w:hAnsi="Times New Roman"/>
          <w:sz w:val="18"/>
          <w:szCs w:val="18"/>
          <w:color w:val="auto"/>
        </w:rPr>
        <w:t>restated certificate of incorporation and will apply</w:t>
      </w:r>
    </w:p>
    <w:p>
      <w:pPr>
        <w:ind w:left="5260"/>
        <w:spacing w:after="0" w:line="235" w:lineRule="auto"/>
        <w:rPr>
          <w:sz w:val="20"/>
          <w:szCs w:val="20"/>
          <w:color w:val="auto"/>
        </w:rPr>
      </w:pPr>
      <w:r>
        <w:rPr>
          <w:rFonts w:ascii="Times New Roman" w:cs="Times New Roman" w:eastAsia="Times New Roman" w:hAnsi="Times New Roman"/>
          <w:sz w:val="18"/>
          <w:szCs w:val="18"/>
          <w:color w:val="auto"/>
        </w:rPr>
        <w:t>whether or not we maintain our registration under the</w:t>
      </w:r>
    </w:p>
    <w:p>
      <w:pPr>
        <w:ind w:left="5260"/>
        <w:spacing w:after="0" w:line="235" w:lineRule="auto"/>
        <w:rPr>
          <w:sz w:val="20"/>
          <w:szCs w:val="20"/>
          <w:color w:val="auto"/>
        </w:rPr>
      </w:pPr>
      <w:r>
        <w:rPr>
          <w:rFonts w:ascii="Times New Roman" w:cs="Times New Roman" w:eastAsia="Times New Roman" w:hAnsi="Times New Roman"/>
          <w:sz w:val="18"/>
          <w:szCs w:val="18"/>
          <w:color w:val="auto"/>
        </w:rPr>
        <w:t>Exchange Act or our listing on Nasdaq. Such</w:t>
      </w:r>
    </w:p>
    <w:p>
      <w:pPr>
        <w:ind w:left="5260"/>
        <w:spacing w:after="0" w:line="234" w:lineRule="auto"/>
        <w:rPr>
          <w:sz w:val="20"/>
          <w:szCs w:val="20"/>
          <w:color w:val="auto"/>
        </w:rPr>
      </w:pPr>
      <w:r>
        <w:rPr>
          <w:rFonts w:ascii="Times New Roman" w:cs="Times New Roman" w:eastAsia="Times New Roman" w:hAnsi="Times New Roman"/>
          <w:sz w:val="18"/>
          <w:szCs w:val="18"/>
          <w:color w:val="auto"/>
        </w:rPr>
        <w:t>provisions may be amended if approved by holders of</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65% of our common stock entitled to vote thereon</w:t>
      </w:r>
    </w:p>
    <w:p>
      <w:pPr>
        <w:spacing w:after="0" w:line="1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If we provide our public stockholders with the</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opportunity to redeem their public shares in connection</w:t>
      </w:r>
    </w:p>
    <w:p>
      <w:pPr>
        <w:ind w:left="5260"/>
        <w:spacing w:after="0"/>
        <w:rPr>
          <w:sz w:val="20"/>
          <w:szCs w:val="20"/>
          <w:color w:val="auto"/>
        </w:rPr>
      </w:pPr>
      <w:r>
        <w:rPr>
          <w:rFonts w:ascii="Times New Roman" w:cs="Times New Roman" w:eastAsia="Times New Roman" w:hAnsi="Times New Roman"/>
          <w:sz w:val="18"/>
          <w:szCs w:val="18"/>
          <w:color w:val="auto"/>
        </w:rPr>
        <w:t>with a stockholder meeting, we will:</w:t>
      </w:r>
    </w:p>
    <w:p>
      <w:pPr>
        <w:spacing w:after="0" w:line="111"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conduct the redemptions in conjunction with 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proxy solicitation pursuant to Regulation 14A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Exchange Act, which regulates the solicitation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 proxies, and not pursuant to the tender offer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rules, and</w:t>
      </w:r>
    </w:p>
    <w:p>
      <w:pPr>
        <w:spacing w:after="0" w:line="139"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file proxy materials with the SEC.</w:t>
      </w:r>
    </w:p>
    <w:p>
      <w:pPr>
        <w:spacing w:after="0" w:line="1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If we seek stockholder approval, we will complete our</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initial business combination only if a majority of the</w:t>
      </w:r>
    </w:p>
    <w:p>
      <w:pPr>
        <w:ind w:left="5260"/>
        <w:spacing w:after="0" w:line="234" w:lineRule="auto"/>
        <w:rPr>
          <w:sz w:val="20"/>
          <w:szCs w:val="20"/>
          <w:color w:val="auto"/>
        </w:rPr>
      </w:pPr>
      <w:r>
        <w:rPr>
          <w:rFonts w:ascii="Times New Roman" w:cs="Times New Roman" w:eastAsia="Times New Roman" w:hAnsi="Times New Roman"/>
          <w:sz w:val="18"/>
          <w:szCs w:val="18"/>
          <w:color w:val="auto"/>
        </w:rPr>
        <w:t>outstanding shares of common stock voted are voted in</w:t>
      </w:r>
    </w:p>
    <w:p>
      <w:pPr>
        <w:ind w:left="5260"/>
        <w:spacing w:after="0" w:line="235" w:lineRule="auto"/>
        <w:rPr>
          <w:sz w:val="20"/>
          <w:szCs w:val="20"/>
          <w:color w:val="auto"/>
        </w:rPr>
      </w:pPr>
      <w:r>
        <w:rPr>
          <w:rFonts w:ascii="Times New Roman" w:cs="Times New Roman" w:eastAsia="Times New Roman" w:hAnsi="Times New Roman"/>
          <w:sz w:val="18"/>
          <w:szCs w:val="18"/>
          <w:color w:val="auto"/>
        </w:rPr>
        <w:t>favor of the initial business combination. A quorum for</w:t>
      </w:r>
    </w:p>
    <w:p>
      <w:pPr>
        <w:ind w:left="5260"/>
        <w:spacing w:after="0" w:line="235" w:lineRule="auto"/>
        <w:rPr>
          <w:sz w:val="20"/>
          <w:szCs w:val="20"/>
          <w:color w:val="auto"/>
        </w:rPr>
      </w:pPr>
      <w:r>
        <w:rPr>
          <w:rFonts w:ascii="Times New Roman" w:cs="Times New Roman" w:eastAsia="Times New Roman" w:hAnsi="Times New Roman"/>
          <w:sz w:val="18"/>
          <w:szCs w:val="18"/>
          <w:color w:val="auto"/>
        </w:rPr>
        <w:t>such meeting will consist of the holders present in</w:t>
      </w:r>
    </w:p>
    <w:p>
      <w:pPr>
        <w:ind w:left="5260"/>
        <w:spacing w:after="0" w:line="235" w:lineRule="auto"/>
        <w:rPr>
          <w:sz w:val="20"/>
          <w:szCs w:val="20"/>
          <w:color w:val="auto"/>
        </w:rPr>
      </w:pPr>
      <w:r>
        <w:rPr>
          <w:rFonts w:ascii="Times New Roman" w:cs="Times New Roman" w:eastAsia="Times New Roman" w:hAnsi="Times New Roman"/>
          <w:sz w:val="18"/>
          <w:szCs w:val="18"/>
          <w:color w:val="auto"/>
        </w:rPr>
        <w:t>person or by proxy of shares of outstanding capital</w:t>
      </w:r>
    </w:p>
    <w:p>
      <w:pPr>
        <w:ind w:left="5260"/>
        <w:spacing w:after="0" w:line="235" w:lineRule="auto"/>
        <w:rPr>
          <w:sz w:val="20"/>
          <w:szCs w:val="20"/>
          <w:color w:val="auto"/>
        </w:rPr>
      </w:pPr>
      <w:r>
        <w:rPr>
          <w:rFonts w:ascii="Times New Roman" w:cs="Times New Roman" w:eastAsia="Times New Roman" w:hAnsi="Times New Roman"/>
          <w:sz w:val="18"/>
          <w:szCs w:val="18"/>
          <w:color w:val="auto"/>
        </w:rPr>
        <w:t>stock of the Company representing a majority of the</w:t>
      </w:r>
    </w:p>
    <w:p>
      <w:pPr>
        <w:ind w:left="5260"/>
        <w:spacing w:after="0" w:line="234" w:lineRule="auto"/>
        <w:rPr>
          <w:sz w:val="20"/>
          <w:szCs w:val="20"/>
          <w:color w:val="auto"/>
        </w:rPr>
      </w:pPr>
      <w:r>
        <w:rPr>
          <w:rFonts w:ascii="Times New Roman" w:cs="Times New Roman" w:eastAsia="Times New Roman" w:hAnsi="Times New Roman"/>
          <w:sz w:val="18"/>
          <w:szCs w:val="18"/>
          <w:color w:val="auto"/>
        </w:rPr>
        <w:t>voting power of all outstanding shares of capital stock</w:t>
      </w:r>
    </w:p>
    <w:p>
      <w:pPr>
        <w:ind w:left="5260"/>
        <w:spacing w:after="0" w:line="235" w:lineRule="auto"/>
        <w:rPr>
          <w:sz w:val="20"/>
          <w:szCs w:val="20"/>
          <w:color w:val="auto"/>
        </w:rPr>
      </w:pPr>
      <w:r>
        <w:rPr>
          <w:rFonts w:ascii="Times New Roman" w:cs="Times New Roman" w:eastAsia="Times New Roman" w:hAnsi="Times New Roman"/>
          <w:sz w:val="18"/>
          <w:szCs w:val="18"/>
          <w:color w:val="auto"/>
        </w:rPr>
        <w:t>of the Company entitled to vote at such meeting. Our</w:t>
      </w:r>
    </w:p>
    <w:p>
      <w:pPr>
        <w:ind w:left="5260"/>
        <w:spacing w:after="0" w:line="235" w:lineRule="auto"/>
        <w:rPr>
          <w:sz w:val="20"/>
          <w:szCs w:val="20"/>
          <w:color w:val="auto"/>
        </w:rPr>
      </w:pPr>
      <w:r>
        <w:rPr>
          <w:rFonts w:ascii="Times New Roman" w:cs="Times New Roman" w:eastAsia="Times New Roman" w:hAnsi="Times New Roman"/>
          <w:sz w:val="18"/>
          <w:szCs w:val="18"/>
          <w:color w:val="auto"/>
        </w:rPr>
        <w:t>initial stockholders will count towards this quorum and,</w:t>
      </w:r>
    </w:p>
    <w:p>
      <w:pPr>
        <w:ind w:left="5260"/>
        <w:spacing w:after="0" w:line="235" w:lineRule="auto"/>
        <w:rPr>
          <w:sz w:val="20"/>
          <w:szCs w:val="20"/>
          <w:color w:val="auto"/>
        </w:rPr>
      </w:pPr>
      <w:r>
        <w:rPr>
          <w:rFonts w:ascii="Times New Roman" w:cs="Times New Roman" w:eastAsia="Times New Roman" w:hAnsi="Times New Roman"/>
          <w:sz w:val="18"/>
          <w:szCs w:val="18"/>
          <w:color w:val="auto"/>
        </w:rPr>
        <w:t>pursuant to the letter agreement, our sponsor, officers</w:t>
      </w:r>
    </w:p>
    <w:p>
      <w:pPr>
        <w:ind w:left="5260"/>
        <w:spacing w:after="0" w:line="235" w:lineRule="auto"/>
        <w:rPr>
          <w:sz w:val="20"/>
          <w:szCs w:val="20"/>
          <w:color w:val="auto"/>
        </w:rPr>
      </w:pPr>
      <w:r>
        <w:rPr>
          <w:rFonts w:ascii="Times New Roman" w:cs="Times New Roman" w:eastAsia="Times New Roman" w:hAnsi="Times New Roman"/>
          <w:sz w:val="18"/>
          <w:szCs w:val="18"/>
          <w:color w:val="auto"/>
        </w:rPr>
        <w:t>and directors have agreed to vote any founder shares</w:t>
      </w:r>
    </w:p>
    <w:p>
      <w:pPr>
        <w:ind w:left="5260"/>
        <w:spacing w:after="0" w:line="234" w:lineRule="auto"/>
        <w:rPr>
          <w:sz w:val="20"/>
          <w:szCs w:val="20"/>
          <w:color w:val="auto"/>
        </w:rPr>
      </w:pPr>
      <w:r>
        <w:rPr>
          <w:rFonts w:ascii="Times New Roman" w:cs="Times New Roman" w:eastAsia="Times New Roman" w:hAnsi="Times New Roman"/>
          <w:sz w:val="18"/>
          <w:szCs w:val="18"/>
          <w:color w:val="auto"/>
        </w:rPr>
        <w:t>they hold and any public shares purchased during or</w:t>
      </w:r>
    </w:p>
    <w:p>
      <w:pPr>
        <w:ind w:left="5260"/>
        <w:spacing w:after="0" w:line="235" w:lineRule="auto"/>
        <w:rPr>
          <w:sz w:val="20"/>
          <w:szCs w:val="20"/>
          <w:color w:val="auto"/>
        </w:rPr>
      </w:pPr>
      <w:r>
        <w:rPr>
          <w:rFonts w:ascii="Times New Roman" w:cs="Times New Roman" w:eastAsia="Times New Roman" w:hAnsi="Times New Roman"/>
          <w:sz w:val="18"/>
          <w:szCs w:val="18"/>
          <w:color w:val="auto"/>
        </w:rPr>
        <w:t>after this offering (including in open market and</w:t>
      </w:r>
    </w:p>
    <w:p>
      <w:pPr>
        <w:ind w:left="5260"/>
        <w:spacing w:after="0" w:line="235" w:lineRule="auto"/>
        <w:rPr>
          <w:sz w:val="20"/>
          <w:szCs w:val="20"/>
          <w:color w:val="auto"/>
        </w:rPr>
      </w:pPr>
      <w:r>
        <w:rPr>
          <w:rFonts w:ascii="Times New Roman" w:cs="Times New Roman" w:eastAsia="Times New Roman" w:hAnsi="Times New Roman"/>
          <w:sz w:val="18"/>
          <w:szCs w:val="18"/>
          <w:color w:val="auto"/>
        </w:rPr>
        <w:t>privately-negotiated transactions) in favor of our initial</w:t>
      </w:r>
    </w:p>
    <w:p>
      <w:pPr>
        <w:ind w:left="5260"/>
        <w:spacing w:after="0" w:line="235" w:lineRule="auto"/>
        <w:rPr>
          <w:sz w:val="20"/>
          <w:szCs w:val="20"/>
          <w:color w:val="auto"/>
        </w:rPr>
      </w:pPr>
      <w:r>
        <w:rPr>
          <w:rFonts w:ascii="Times New Roman" w:cs="Times New Roman" w:eastAsia="Times New Roman" w:hAnsi="Times New Roman"/>
          <w:sz w:val="18"/>
          <w:szCs w:val="18"/>
          <w:color w:val="auto"/>
        </w:rPr>
        <w:t>business combination. For purposes of seeking</w:t>
      </w:r>
    </w:p>
    <w:p>
      <w:pPr>
        <w:ind w:left="5260"/>
        <w:spacing w:after="0" w:line="235" w:lineRule="auto"/>
        <w:rPr>
          <w:sz w:val="20"/>
          <w:szCs w:val="20"/>
          <w:color w:val="auto"/>
        </w:rPr>
      </w:pPr>
      <w:r>
        <w:rPr>
          <w:rFonts w:ascii="Times New Roman" w:cs="Times New Roman" w:eastAsia="Times New Roman" w:hAnsi="Times New Roman"/>
          <w:sz w:val="18"/>
          <w:szCs w:val="18"/>
          <w:color w:val="auto"/>
        </w:rPr>
        <w:t>approval of the majority of our outstanding shares of</w:t>
      </w:r>
    </w:p>
    <w:p>
      <w:pPr>
        <w:ind w:left="5260"/>
        <w:spacing w:after="0" w:line="234" w:lineRule="auto"/>
        <w:rPr>
          <w:sz w:val="20"/>
          <w:szCs w:val="20"/>
          <w:color w:val="auto"/>
        </w:rPr>
      </w:pPr>
      <w:r>
        <w:rPr>
          <w:rFonts w:ascii="Times New Roman" w:cs="Times New Roman" w:eastAsia="Times New Roman" w:hAnsi="Times New Roman"/>
          <w:sz w:val="18"/>
          <w:szCs w:val="18"/>
          <w:color w:val="auto"/>
        </w:rPr>
        <w:t>common stock voted, non-votes will have no effect on</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 approval of our initial business combination once a</w:t>
      </w:r>
    </w:p>
    <w:p>
      <w:pPr>
        <w:ind w:left="5260"/>
        <w:spacing w:after="0" w:line="235" w:lineRule="auto"/>
        <w:rPr>
          <w:sz w:val="20"/>
          <w:szCs w:val="20"/>
          <w:color w:val="auto"/>
        </w:rPr>
      </w:pPr>
      <w:r>
        <w:rPr>
          <w:rFonts w:ascii="Times New Roman" w:cs="Times New Roman" w:eastAsia="Times New Roman" w:hAnsi="Times New Roman"/>
          <w:sz w:val="18"/>
          <w:szCs w:val="18"/>
          <w:color w:val="auto"/>
        </w:rPr>
        <w:t>quorum is obtained. As a result, in addition to our</w:t>
      </w:r>
    </w:p>
    <w:p>
      <w:pPr>
        <w:ind w:left="5260"/>
        <w:spacing w:after="0" w:line="235" w:lineRule="auto"/>
        <w:rPr>
          <w:sz w:val="20"/>
          <w:szCs w:val="20"/>
          <w:color w:val="auto"/>
        </w:rPr>
      </w:pPr>
      <w:r>
        <w:rPr>
          <w:rFonts w:ascii="Times New Roman" w:cs="Times New Roman" w:eastAsia="Times New Roman" w:hAnsi="Times New Roman"/>
          <w:sz w:val="18"/>
          <w:szCs w:val="18"/>
          <w:color w:val="auto"/>
        </w:rPr>
        <w:t>initial stockholders’ founder shares and private</w:t>
      </w:r>
    </w:p>
    <w:p>
      <w:pPr>
        <w:ind w:left="5260"/>
        <w:spacing w:after="0" w:line="235" w:lineRule="auto"/>
        <w:rPr>
          <w:sz w:val="20"/>
          <w:szCs w:val="20"/>
          <w:color w:val="auto"/>
        </w:rPr>
      </w:pPr>
      <w:r>
        <w:rPr>
          <w:rFonts w:ascii="Times New Roman" w:cs="Times New Roman" w:eastAsia="Times New Roman" w:hAnsi="Times New Roman"/>
          <w:sz w:val="18"/>
          <w:szCs w:val="18"/>
          <w:color w:val="auto"/>
        </w:rPr>
        <w:t>placement shares, we would need only 3,562,501, or</w:t>
      </w:r>
    </w:p>
    <w:p>
      <w:pPr>
        <w:ind w:left="5260"/>
        <w:spacing w:after="0" w:line="234" w:lineRule="auto"/>
        <w:rPr>
          <w:sz w:val="20"/>
          <w:szCs w:val="20"/>
          <w:color w:val="auto"/>
        </w:rPr>
      </w:pPr>
      <w:r>
        <w:rPr>
          <w:rFonts w:ascii="Times New Roman" w:cs="Times New Roman" w:eastAsia="Times New Roman" w:hAnsi="Times New Roman"/>
          <w:sz w:val="18"/>
          <w:szCs w:val="18"/>
          <w:color w:val="auto"/>
        </w:rPr>
        <w:t>35.6%, of the 10,000,000 public shares sold in this</w:t>
      </w:r>
    </w:p>
    <w:p>
      <w:pPr>
        <w:ind w:left="5260"/>
        <w:spacing w:after="0" w:line="235" w:lineRule="auto"/>
        <w:rPr>
          <w:sz w:val="20"/>
          <w:szCs w:val="20"/>
          <w:color w:val="auto"/>
        </w:rPr>
      </w:pPr>
      <w:r>
        <w:rPr>
          <w:rFonts w:ascii="Times New Roman" w:cs="Times New Roman" w:eastAsia="Times New Roman" w:hAnsi="Times New Roman"/>
          <w:sz w:val="18"/>
          <w:szCs w:val="18"/>
          <w:color w:val="auto"/>
        </w:rPr>
        <w:t>offering to be voted in favor of an initial business</w:t>
      </w:r>
    </w:p>
    <w:p>
      <w:pPr>
        <w:ind w:left="5260"/>
        <w:spacing w:after="0" w:line="235" w:lineRule="auto"/>
        <w:rPr>
          <w:sz w:val="20"/>
          <w:szCs w:val="20"/>
          <w:color w:val="auto"/>
        </w:rPr>
      </w:pPr>
      <w:r>
        <w:rPr>
          <w:rFonts w:ascii="Times New Roman" w:cs="Times New Roman" w:eastAsia="Times New Roman" w:hAnsi="Times New Roman"/>
          <w:sz w:val="18"/>
          <w:szCs w:val="18"/>
          <w:color w:val="auto"/>
        </w:rPr>
        <w:t>combination (assuming all outstanding shares are</w:t>
      </w:r>
    </w:p>
    <w:p>
      <w:pPr>
        <w:ind w:left="5260"/>
        <w:spacing w:after="0" w:line="235" w:lineRule="auto"/>
        <w:rPr>
          <w:sz w:val="20"/>
          <w:szCs w:val="20"/>
          <w:color w:val="auto"/>
        </w:rPr>
      </w:pPr>
      <w:r>
        <w:rPr>
          <w:rFonts w:ascii="Times New Roman" w:cs="Times New Roman" w:eastAsia="Times New Roman" w:hAnsi="Times New Roman"/>
          <w:sz w:val="18"/>
          <w:szCs w:val="18"/>
          <w:color w:val="auto"/>
        </w:rPr>
        <w:t>voted) in order to have our initial business combination</w:t>
      </w:r>
    </w:p>
    <w:p>
      <w:pPr>
        <w:ind w:left="5260"/>
        <w:spacing w:after="0" w:line="235" w:lineRule="auto"/>
        <w:rPr>
          <w:sz w:val="20"/>
          <w:szCs w:val="20"/>
          <w:color w:val="auto"/>
        </w:rPr>
      </w:pPr>
      <w:r>
        <w:rPr>
          <w:rFonts w:ascii="Times New Roman" w:cs="Times New Roman" w:eastAsia="Times New Roman" w:hAnsi="Times New Roman"/>
          <w:sz w:val="18"/>
          <w:szCs w:val="18"/>
          <w:color w:val="auto"/>
        </w:rPr>
        <w:t>approved (assuming the over-allotment option is not</w:t>
      </w:r>
    </w:p>
    <w:p>
      <w:pPr>
        <w:ind w:left="5260"/>
        <w:spacing w:after="0" w:line="234" w:lineRule="auto"/>
        <w:rPr>
          <w:sz w:val="20"/>
          <w:szCs w:val="20"/>
          <w:color w:val="auto"/>
        </w:rPr>
      </w:pPr>
      <w:r>
        <w:rPr>
          <w:rFonts w:ascii="Times New Roman" w:cs="Times New Roman" w:eastAsia="Times New Roman" w:hAnsi="Times New Roman"/>
          <w:sz w:val="18"/>
          <w:szCs w:val="18"/>
          <w:color w:val="auto"/>
        </w:rPr>
        <w:t>exercised). These quorum and voting thresholds, and</w:t>
      </w:r>
    </w:p>
    <w:p>
      <w:pPr>
        <w:spacing w:after="0" w:line="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voting</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agreements of our initial stockholders, may make it</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more likely that we will consummate our initial</w:t>
      </w:r>
    </w:p>
    <w:p>
      <w:pPr>
        <w:ind w:left="5260"/>
        <w:spacing w:after="0" w:line="234" w:lineRule="auto"/>
        <w:rPr>
          <w:sz w:val="20"/>
          <w:szCs w:val="20"/>
          <w:color w:val="auto"/>
        </w:rPr>
      </w:pPr>
      <w:r>
        <w:rPr>
          <w:rFonts w:ascii="Times New Roman" w:cs="Times New Roman" w:eastAsia="Times New Roman" w:hAnsi="Times New Roman"/>
          <w:sz w:val="18"/>
          <w:szCs w:val="18"/>
          <w:color w:val="auto"/>
        </w:rPr>
        <w:t>business combination. Each public stockholder may</w:t>
      </w:r>
    </w:p>
    <w:p>
      <w:pPr>
        <w:ind w:left="5260"/>
        <w:spacing w:after="0" w:line="235" w:lineRule="auto"/>
        <w:rPr>
          <w:sz w:val="20"/>
          <w:szCs w:val="20"/>
          <w:color w:val="auto"/>
        </w:rPr>
      </w:pPr>
      <w:r>
        <w:rPr>
          <w:rFonts w:ascii="Times New Roman" w:cs="Times New Roman" w:eastAsia="Times New Roman" w:hAnsi="Times New Roman"/>
          <w:sz w:val="18"/>
          <w:szCs w:val="18"/>
          <w:color w:val="auto"/>
        </w:rPr>
        <w:t>elect to redeem its public shares irrespective of whether</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they vote for or against the proposed transaction or</w:t>
      </w:r>
    </w:p>
    <w:p>
      <w:pPr>
        <w:ind w:left="5260"/>
        <w:spacing w:after="0" w:line="235" w:lineRule="auto"/>
        <w:rPr>
          <w:sz w:val="20"/>
          <w:szCs w:val="20"/>
          <w:color w:val="auto"/>
        </w:rPr>
      </w:pPr>
      <w:r>
        <w:rPr>
          <w:rFonts w:ascii="Times New Roman" w:cs="Times New Roman" w:eastAsia="Times New Roman" w:hAnsi="Times New Roman"/>
          <w:sz w:val="18"/>
          <w:szCs w:val="18"/>
          <w:color w:val="auto"/>
        </w:rPr>
        <w:t>whether they were a stockholder on the record date for</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 stockholder meeting held to approve the proposed</w:t>
      </w:r>
    </w:p>
    <w:p>
      <w:pPr>
        <w:ind w:left="5260"/>
        <w:spacing w:after="0"/>
        <w:rPr>
          <w:sz w:val="20"/>
          <w:szCs w:val="20"/>
          <w:color w:val="auto"/>
        </w:rPr>
      </w:pPr>
      <w:r>
        <w:rPr>
          <w:rFonts w:ascii="Times New Roman" w:cs="Times New Roman" w:eastAsia="Times New Roman" w:hAnsi="Times New Roman"/>
          <w:sz w:val="18"/>
          <w:szCs w:val="18"/>
          <w:color w:val="auto"/>
        </w:rPr>
        <w:t>transaction.</w:t>
      </w:r>
    </w:p>
    <w:p>
      <w:pPr>
        <w:spacing w:after="0" w:line="1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If a stockholder vote is not required and we do not</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decide to hold a stockholder vote for business or other</w:t>
      </w:r>
    </w:p>
    <w:p>
      <w:pPr>
        <w:ind w:left="5260"/>
        <w:spacing w:after="0"/>
        <w:rPr>
          <w:sz w:val="20"/>
          <w:szCs w:val="20"/>
          <w:color w:val="auto"/>
        </w:rPr>
      </w:pPr>
      <w:r>
        <w:rPr>
          <w:rFonts w:ascii="Times New Roman" w:cs="Times New Roman" w:eastAsia="Times New Roman" w:hAnsi="Times New Roman"/>
          <w:sz w:val="18"/>
          <w:szCs w:val="18"/>
          <w:color w:val="auto"/>
        </w:rPr>
        <w:t>legal reasons, we will:</w:t>
      </w:r>
    </w:p>
    <w:p>
      <w:pPr>
        <w:spacing w:after="0" w:line="124"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conduct the redemptions pursuant to Rule 13e-4</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Regulation 14E of the Exchange Act, which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regulate issuer tender offers, and</w:t>
      </w:r>
    </w:p>
    <w:p>
      <w:pPr>
        <w:spacing w:after="0" w:line="126"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file tender offer documents with the SEC prior to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completing our initial business combination which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contain substantially the same financial and other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information about our initial business combination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the redemption rights as is required under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Regulation 14A of the Exchange Act, which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regulates the solicitation of proxies.</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In the event we conduct redemptions pursuant to the</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tender offer rules, our offer to redeem will remain open</w:t>
      </w:r>
    </w:p>
    <w:p>
      <w:pPr>
        <w:ind w:left="5260"/>
        <w:spacing w:after="0" w:line="234" w:lineRule="auto"/>
        <w:rPr>
          <w:sz w:val="20"/>
          <w:szCs w:val="20"/>
          <w:color w:val="auto"/>
        </w:rPr>
      </w:pPr>
      <w:r>
        <w:rPr>
          <w:rFonts w:ascii="Times New Roman" w:cs="Times New Roman" w:eastAsia="Times New Roman" w:hAnsi="Times New Roman"/>
          <w:sz w:val="18"/>
          <w:szCs w:val="18"/>
          <w:color w:val="auto"/>
        </w:rPr>
        <w:t>for at least 20 business days, in accordance with</w:t>
      </w:r>
    </w:p>
    <w:p>
      <w:pPr>
        <w:ind w:left="5260"/>
        <w:spacing w:after="0" w:line="235" w:lineRule="auto"/>
        <w:rPr>
          <w:sz w:val="20"/>
          <w:szCs w:val="20"/>
          <w:color w:val="auto"/>
        </w:rPr>
      </w:pPr>
      <w:r>
        <w:rPr>
          <w:rFonts w:ascii="Times New Roman" w:cs="Times New Roman" w:eastAsia="Times New Roman" w:hAnsi="Times New Roman"/>
          <w:sz w:val="18"/>
          <w:szCs w:val="18"/>
          <w:color w:val="auto"/>
        </w:rPr>
        <w:t>Rule 14e-1(a) under the Exchange Act, and we will not</w:t>
      </w:r>
    </w:p>
    <w:p>
      <w:pPr>
        <w:ind w:left="5260"/>
        <w:spacing w:after="0" w:line="235" w:lineRule="auto"/>
        <w:rPr>
          <w:sz w:val="20"/>
          <w:szCs w:val="20"/>
          <w:color w:val="auto"/>
        </w:rPr>
      </w:pPr>
      <w:r>
        <w:rPr>
          <w:rFonts w:ascii="Times New Roman" w:cs="Times New Roman" w:eastAsia="Times New Roman" w:hAnsi="Times New Roman"/>
          <w:sz w:val="18"/>
          <w:szCs w:val="18"/>
          <w:color w:val="auto"/>
        </w:rPr>
        <w:t>be permitted to complete our initial business</w:t>
      </w:r>
    </w:p>
    <w:p>
      <w:pPr>
        <w:ind w:left="5260"/>
        <w:spacing w:after="0" w:line="235" w:lineRule="auto"/>
        <w:rPr>
          <w:sz w:val="20"/>
          <w:szCs w:val="20"/>
          <w:color w:val="auto"/>
        </w:rPr>
      </w:pPr>
      <w:r>
        <w:rPr>
          <w:rFonts w:ascii="Times New Roman" w:cs="Times New Roman" w:eastAsia="Times New Roman" w:hAnsi="Times New Roman"/>
          <w:sz w:val="18"/>
          <w:szCs w:val="18"/>
          <w:color w:val="auto"/>
        </w:rPr>
        <w:t>combination until the expiration of the tender offer</w:t>
      </w:r>
    </w:p>
    <w:p>
      <w:pPr>
        <w:ind w:left="5260"/>
        <w:spacing w:after="0" w:line="235" w:lineRule="auto"/>
        <w:rPr>
          <w:sz w:val="20"/>
          <w:szCs w:val="20"/>
          <w:color w:val="auto"/>
        </w:rPr>
      </w:pPr>
      <w:r>
        <w:rPr>
          <w:rFonts w:ascii="Times New Roman" w:cs="Times New Roman" w:eastAsia="Times New Roman" w:hAnsi="Times New Roman"/>
          <w:sz w:val="18"/>
          <w:szCs w:val="18"/>
          <w:color w:val="auto"/>
        </w:rPr>
        <w:t>period. In addition, the tender offer will be conditioned</w:t>
      </w:r>
    </w:p>
    <w:p>
      <w:pPr>
        <w:ind w:left="5260"/>
        <w:spacing w:after="0" w:line="234" w:lineRule="auto"/>
        <w:rPr>
          <w:sz w:val="20"/>
          <w:szCs w:val="20"/>
          <w:color w:val="auto"/>
        </w:rPr>
      </w:pPr>
      <w:r>
        <w:rPr>
          <w:rFonts w:ascii="Times New Roman" w:cs="Times New Roman" w:eastAsia="Times New Roman" w:hAnsi="Times New Roman"/>
          <w:sz w:val="18"/>
          <w:szCs w:val="18"/>
          <w:color w:val="auto"/>
        </w:rPr>
        <w:t>on public stockholders not tendering more than the</w:t>
      </w:r>
    </w:p>
    <w:p>
      <w:pPr>
        <w:ind w:left="5260"/>
        <w:spacing w:after="0" w:line="235" w:lineRule="auto"/>
        <w:rPr>
          <w:sz w:val="20"/>
          <w:szCs w:val="20"/>
          <w:color w:val="auto"/>
        </w:rPr>
      </w:pPr>
      <w:r>
        <w:rPr>
          <w:rFonts w:ascii="Times New Roman" w:cs="Times New Roman" w:eastAsia="Times New Roman" w:hAnsi="Times New Roman"/>
          <w:sz w:val="18"/>
          <w:szCs w:val="18"/>
          <w:color w:val="auto"/>
        </w:rPr>
        <w:t>number of public shares we are permitted to redeem. If</w:t>
      </w:r>
    </w:p>
    <w:p>
      <w:pPr>
        <w:ind w:left="5260"/>
        <w:spacing w:after="0" w:line="235" w:lineRule="auto"/>
        <w:rPr>
          <w:sz w:val="20"/>
          <w:szCs w:val="20"/>
          <w:color w:val="auto"/>
        </w:rPr>
      </w:pPr>
      <w:r>
        <w:rPr>
          <w:rFonts w:ascii="Times New Roman" w:cs="Times New Roman" w:eastAsia="Times New Roman" w:hAnsi="Times New Roman"/>
          <w:sz w:val="18"/>
          <w:szCs w:val="18"/>
          <w:color w:val="auto"/>
        </w:rPr>
        <w:t>public stockholders tender more shares than we have</w:t>
      </w:r>
    </w:p>
    <w:p>
      <w:pPr>
        <w:ind w:left="5260"/>
        <w:spacing w:after="0" w:line="235" w:lineRule="auto"/>
        <w:rPr>
          <w:sz w:val="20"/>
          <w:szCs w:val="20"/>
          <w:color w:val="auto"/>
        </w:rPr>
      </w:pPr>
      <w:r>
        <w:rPr>
          <w:rFonts w:ascii="Times New Roman" w:cs="Times New Roman" w:eastAsia="Times New Roman" w:hAnsi="Times New Roman"/>
          <w:sz w:val="18"/>
          <w:szCs w:val="18"/>
          <w:color w:val="auto"/>
        </w:rPr>
        <w:t>offered to purchase, we will withdraw the tender offer</w:t>
      </w:r>
    </w:p>
    <w:p>
      <w:pPr>
        <w:ind w:left="5260"/>
        <w:spacing w:after="0"/>
        <w:rPr>
          <w:sz w:val="20"/>
          <w:szCs w:val="20"/>
          <w:color w:val="auto"/>
        </w:rPr>
      </w:pPr>
      <w:r>
        <w:rPr>
          <w:rFonts w:ascii="Times New Roman" w:cs="Times New Roman" w:eastAsia="Times New Roman" w:hAnsi="Times New Roman"/>
          <w:sz w:val="18"/>
          <w:szCs w:val="18"/>
          <w:color w:val="auto"/>
        </w:rPr>
        <w:t>and not complete such initial business combination.</w:t>
      </w:r>
    </w:p>
    <w:p>
      <w:pPr>
        <w:spacing w:after="0" w:line="12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Upon the public announcement of our initial business</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combination, if we elect to conduct redemptions</w:t>
      </w:r>
    </w:p>
    <w:p>
      <w:pPr>
        <w:ind w:left="5260"/>
        <w:spacing w:after="0" w:line="234" w:lineRule="auto"/>
        <w:rPr>
          <w:sz w:val="20"/>
          <w:szCs w:val="20"/>
          <w:color w:val="auto"/>
        </w:rPr>
      </w:pPr>
      <w:r>
        <w:rPr>
          <w:rFonts w:ascii="Times New Roman" w:cs="Times New Roman" w:eastAsia="Times New Roman" w:hAnsi="Times New Roman"/>
          <w:sz w:val="18"/>
          <w:szCs w:val="18"/>
          <w:color w:val="auto"/>
        </w:rPr>
        <w:t>pursuant to the tender offer rules, we or our sponsor</w:t>
      </w:r>
    </w:p>
    <w:p>
      <w:pPr>
        <w:ind w:left="5260"/>
        <w:spacing w:after="0" w:line="235" w:lineRule="auto"/>
        <w:rPr>
          <w:sz w:val="20"/>
          <w:szCs w:val="20"/>
          <w:color w:val="auto"/>
        </w:rPr>
      </w:pPr>
      <w:r>
        <w:rPr>
          <w:rFonts w:ascii="Times New Roman" w:cs="Times New Roman" w:eastAsia="Times New Roman" w:hAnsi="Times New Roman"/>
          <w:sz w:val="18"/>
          <w:szCs w:val="18"/>
          <w:color w:val="auto"/>
        </w:rPr>
        <w:t>will terminate any plan established in accordance with</w:t>
      </w:r>
    </w:p>
    <w:p>
      <w:pPr>
        <w:ind w:left="5260"/>
        <w:spacing w:after="0" w:line="235" w:lineRule="auto"/>
        <w:rPr>
          <w:sz w:val="20"/>
          <w:szCs w:val="20"/>
          <w:color w:val="auto"/>
        </w:rPr>
      </w:pPr>
      <w:r>
        <w:rPr>
          <w:rFonts w:ascii="Times New Roman" w:cs="Times New Roman" w:eastAsia="Times New Roman" w:hAnsi="Times New Roman"/>
          <w:sz w:val="18"/>
          <w:szCs w:val="18"/>
          <w:color w:val="auto"/>
        </w:rPr>
        <w:t>Rule 10b5-1 to purchase shares of our Class A common</w:t>
      </w:r>
    </w:p>
    <w:p>
      <w:pPr>
        <w:ind w:left="5260"/>
        <w:spacing w:after="0" w:line="235" w:lineRule="auto"/>
        <w:rPr>
          <w:sz w:val="20"/>
          <w:szCs w:val="20"/>
          <w:color w:val="auto"/>
        </w:rPr>
      </w:pPr>
      <w:r>
        <w:rPr>
          <w:rFonts w:ascii="Times New Roman" w:cs="Times New Roman" w:eastAsia="Times New Roman" w:hAnsi="Times New Roman"/>
          <w:sz w:val="18"/>
          <w:szCs w:val="18"/>
          <w:color w:val="auto"/>
        </w:rPr>
        <w:t>stock in the open market, in order to comply with</w:t>
      </w:r>
    </w:p>
    <w:p>
      <w:pPr>
        <w:ind w:left="5260"/>
        <w:spacing w:after="0"/>
        <w:rPr>
          <w:sz w:val="20"/>
          <w:szCs w:val="20"/>
          <w:color w:val="auto"/>
        </w:rPr>
      </w:pPr>
      <w:r>
        <w:rPr>
          <w:rFonts w:ascii="Times New Roman" w:cs="Times New Roman" w:eastAsia="Times New Roman" w:hAnsi="Times New Roman"/>
          <w:sz w:val="18"/>
          <w:szCs w:val="18"/>
          <w:color w:val="auto"/>
        </w:rPr>
        <w:t>Rule 14e-5 under the Exchange Act.</w:t>
      </w:r>
    </w:p>
    <w:p>
      <w:pPr>
        <w:spacing w:after="0" w:line="1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We intend to require our public stockholders seeking to</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exercise their redemption rights, whether they are</w:t>
      </w:r>
    </w:p>
    <w:p>
      <w:pPr>
        <w:ind w:left="5260"/>
        <w:spacing w:after="0" w:line="234" w:lineRule="auto"/>
        <w:rPr>
          <w:sz w:val="20"/>
          <w:szCs w:val="20"/>
          <w:color w:val="auto"/>
        </w:rPr>
      </w:pPr>
      <w:r>
        <w:rPr>
          <w:rFonts w:ascii="Times New Roman" w:cs="Times New Roman" w:eastAsia="Times New Roman" w:hAnsi="Times New Roman"/>
          <w:sz w:val="18"/>
          <w:szCs w:val="18"/>
          <w:color w:val="auto"/>
        </w:rPr>
        <w:t>record holders or hold their shares in “street name,” to,</w:t>
      </w:r>
    </w:p>
    <w:p>
      <w:pPr>
        <w:ind w:left="5260"/>
        <w:spacing w:after="0" w:line="235" w:lineRule="auto"/>
        <w:rPr>
          <w:sz w:val="20"/>
          <w:szCs w:val="20"/>
          <w:color w:val="auto"/>
        </w:rPr>
      </w:pPr>
      <w:r>
        <w:rPr>
          <w:rFonts w:ascii="Times New Roman" w:cs="Times New Roman" w:eastAsia="Times New Roman" w:hAnsi="Times New Roman"/>
          <w:sz w:val="18"/>
          <w:szCs w:val="18"/>
          <w:color w:val="auto"/>
        </w:rPr>
        <w:t>at the holder’s option, either deliver their stock</w:t>
      </w:r>
    </w:p>
    <w:p>
      <w:pPr>
        <w:ind w:left="5260"/>
        <w:spacing w:after="0" w:line="235" w:lineRule="auto"/>
        <w:rPr>
          <w:sz w:val="20"/>
          <w:szCs w:val="20"/>
          <w:color w:val="auto"/>
        </w:rPr>
      </w:pPr>
      <w:r>
        <w:rPr>
          <w:rFonts w:ascii="Times New Roman" w:cs="Times New Roman" w:eastAsia="Times New Roman" w:hAnsi="Times New Roman"/>
          <w:sz w:val="18"/>
          <w:szCs w:val="18"/>
          <w:color w:val="auto"/>
        </w:rPr>
        <w:t>certificates to our transfer agent or deliver their shares</w:t>
      </w:r>
    </w:p>
    <w:p>
      <w:pPr>
        <w:ind w:left="5260"/>
        <w:spacing w:after="0" w:line="235" w:lineRule="auto"/>
        <w:rPr>
          <w:sz w:val="20"/>
          <w:szCs w:val="20"/>
          <w:color w:val="auto"/>
        </w:rPr>
      </w:pPr>
      <w:r>
        <w:rPr>
          <w:rFonts w:ascii="Times New Roman" w:cs="Times New Roman" w:eastAsia="Times New Roman" w:hAnsi="Times New Roman"/>
          <w:sz w:val="18"/>
          <w:szCs w:val="18"/>
          <w:color w:val="auto"/>
        </w:rPr>
        <w:t>to our transfer agent electronically using The</w:t>
      </w:r>
    </w:p>
    <w:p>
      <w:pPr>
        <w:ind w:left="5260"/>
        <w:spacing w:after="0" w:line="235" w:lineRule="auto"/>
        <w:rPr>
          <w:sz w:val="20"/>
          <w:szCs w:val="20"/>
          <w:color w:val="auto"/>
        </w:rPr>
      </w:pPr>
      <w:r>
        <w:rPr>
          <w:rFonts w:ascii="Times New Roman" w:cs="Times New Roman" w:eastAsia="Times New Roman" w:hAnsi="Times New Roman"/>
          <w:sz w:val="18"/>
          <w:szCs w:val="18"/>
          <w:color w:val="auto"/>
        </w:rPr>
        <w:t>Depository Trust Company’s DWAC</w:t>
      </w:r>
    </w:p>
    <w:p>
      <w:pPr>
        <w:ind w:left="5260"/>
        <w:spacing w:after="0" w:line="234" w:lineRule="auto"/>
        <w:rPr>
          <w:sz w:val="20"/>
          <w:szCs w:val="20"/>
          <w:color w:val="auto"/>
        </w:rPr>
      </w:pPr>
      <w:r>
        <w:rPr>
          <w:rFonts w:ascii="Times New Roman" w:cs="Times New Roman" w:eastAsia="Times New Roman" w:hAnsi="Times New Roman"/>
          <w:sz w:val="18"/>
          <w:szCs w:val="18"/>
          <w:color w:val="auto"/>
        </w:rPr>
        <w:t>(Deposit/Withdrawal At Custodian) system, prior to the</w:t>
      </w:r>
    </w:p>
    <w:p>
      <w:pPr>
        <w:ind w:left="5260"/>
        <w:spacing w:after="0" w:line="235" w:lineRule="auto"/>
        <w:rPr>
          <w:sz w:val="20"/>
          <w:szCs w:val="20"/>
          <w:color w:val="auto"/>
        </w:rPr>
      </w:pPr>
      <w:r>
        <w:rPr>
          <w:rFonts w:ascii="Times New Roman" w:cs="Times New Roman" w:eastAsia="Times New Roman" w:hAnsi="Times New Roman"/>
          <w:sz w:val="18"/>
          <w:szCs w:val="18"/>
          <w:color w:val="auto"/>
        </w:rPr>
        <w:t>date set forth in the proxy materials or tender offer</w:t>
      </w:r>
    </w:p>
    <w:p>
      <w:pPr>
        <w:ind w:left="5260"/>
        <w:spacing w:after="0" w:line="235" w:lineRule="auto"/>
        <w:rPr>
          <w:sz w:val="20"/>
          <w:szCs w:val="20"/>
          <w:color w:val="auto"/>
        </w:rPr>
      </w:pPr>
      <w:r>
        <w:rPr>
          <w:rFonts w:ascii="Times New Roman" w:cs="Times New Roman" w:eastAsia="Times New Roman" w:hAnsi="Times New Roman"/>
          <w:sz w:val="18"/>
          <w:szCs w:val="18"/>
          <w:color w:val="auto"/>
        </w:rPr>
        <w:t>documents, as applicable. In the case of proxy</w:t>
      </w:r>
    </w:p>
    <w:p>
      <w:pPr>
        <w:ind w:left="5260"/>
        <w:spacing w:after="0" w:line="235" w:lineRule="auto"/>
        <w:rPr>
          <w:sz w:val="20"/>
          <w:szCs w:val="20"/>
          <w:color w:val="auto"/>
        </w:rPr>
      </w:pPr>
      <w:r>
        <w:rPr>
          <w:rFonts w:ascii="Times New Roman" w:cs="Times New Roman" w:eastAsia="Times New Roman" w:hAnsi="Times New Roman"/>
          <w:sz w:val="18"/>
          <w:szCs w:val="18"/>
          <w:color w:val="auto"/>
        </w:rPr>
        <w:t>materials, this date may be up to two business days</w:t>
      </w:r>
    </w:p>
    <w:p>
      <w:pPr>
        <w:ind w:left="5260"/>
        <w:spacing w:after="0" w:line="235" w:lineRule="auto"/>
        <w:rPr>
          <w:sz w:val="20"/>
          <w:szCs w:val="20"/>
          <w:color w:val="auto"/>
        </w:rPr>
      </w:pPr>
      <w:r>
        <w:rPr>
          <w:rFonts w:ascii="Times New Roman" w:cs="Times New Roman" w:eastAsia="Times New Roman" w:hAnsi="Times New Roman"/>
          <w:sz w:val="18"/>
          <w:szCs w:val="18"/>
          <w:color w:val="auto"/>
        </w:rPr>
        <w:t>prior to the date on which the vote on the proposal to</w:t>
      </w:r>
    </w:p>
    <w:p>
      <w:pPr>
        <w:ind w:left="5260"/>
        <w:spacing w:after="0"/>
        <w:rPr>
          <w:sz w:val="20"/>
          <w:szCs w:val="20"/>
          <w:color w:val="auto"/>
        </w:rPr>
      </w:pPr>
      <w:r>
        <w:rPr>
          <w:rFonts w:ascii="Times New Roman" w:cs="Times New Roman" w:eastAsia="Times New Roman" w:hAnsi="Times New Roman"/>
          <w:sz w:val="18"/>
          <w:szCs w:val="18"/>
          <w:color w:val="auto"/>
        </w:rPr>
        <w:t>approve the initial business combination</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60" w:hanging="179"/>
        <w:spacing w:after="0" w:line="261" w:lineRule="auto"/>
        <w:rPr>
          <w:sz w:val="20"/>
          <w:szCs w:val="20"/>
          <w:color w:val="auto"/>
        </w:rPr>
      </w:pPr>
      <w:r>
        <w:rPr>
          <w:rFonts w:ascii="Times New Roman" w:cs="Times New Roman" w:eastAsia="Times New Roman" w:hAnsi="Times New Roman"/>
          <w:sz w:val="18"/>
          <w:szCs w:val="18"/>
          <w:color w:val="auto"/>
        </w:rPr>
        <w:t>Limitation on redemption rights of stockholders holding 20% or more of the shares sold in this offering if we hold stockholder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 w:right="679"/>
        <w:spacing w:after="0"/>
        <w:rPr>
          <w:sz w:val="20"/>
          <w:szCs w:val="20"/>
          <w:color w:val="auto"/>
        </w:rPr>
      </w:pPr>
      <w:r>
        <w:rPr>
          <w:rFonts w:ascii="Times New Roman" w:cs="Times New Roman" w:eastAsia="Times New Roman" w:hAnsi="Times New Roman"/>
          <w:sz w:val="18"/>
          <w:szCs w:val="18"/>
          <w:color w:val="auto"/>
        </w:rPr>
        <w:t>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248" w:lineRule="exact"/>
        <w:rPr>
          <w:sz w:val="20"/>
          <w:szCs w:val="20"/>
          <w:color w:val="auto"/>
        </w:rPr>
      </w:pPr>
    </w:p>
    <w:p>
      <w:pPr>
        <w:ind w:left="2" w:right="719"/>
        <w:spacing w:after="0" w:line="237"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w:t>
      </w:r>
    </w:p>
    <w:p>
      <w:pPr>
        <w:spacing w:after="0" w:line="5" w:lineRule="exact"/>
        <w:rPr>
          <w:sz w:val="20"/>
          <w:szCs w:val="20"/>
          <w:color w:val="auto"/>
        </w:rPr>
      </w:pPr>
    </w:p>
    <w:p>
      <w:pPr>
        <w:ind w:left="2" w:right="679" w:hanging="2"/>
        <w:spacing w:after="0" w:line="235" w:lineRule="auto"/>
        <w:tabs>
          <w:tab w:leader="none" w:pos="3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 w:right="699"/>
        <w:spacing w:after="0" w:line="253" w:lineRule="auto"/>
        <w:rPr>
          <w:sz w:val="20"/>
          <w:szCs w:val="20"/>
          <w:color w:val="auto"/>
        </w:rPr>
      </w:pPr>
      <w:r>
        <w:rPr>
          <w:rFonts w:ascii="Times New Roman" w:cs="Times New Roman" w:eastAsia="Times New Roman" w:hAnsi="Times New Roman"/>
          <w:sz w:val="18"/>
          <w:szCs w:val="18"/>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w:t>
      </w:r>
    </w:p>
    <w:p>
      <w:pPr>
        <w:spacing w:after="0" w:line="200" w:lineRule="exact"/>
        <w:rPr>
          <w:sz w:val="20"/>
          <w:szCs w:val="20"/>
          <w:color w:val="auto"/>
        </w:rPr>
      </w:pPr>
    </w:p>
    <w:p>
      <w:pPr>
        <w:sectPr>
          <w:pgSz w:w="11900" w:h="16838" w:orient="portrait"/>
          <w:cols w:equalWidth="0" w:num="2">
            <w:col w:w="4540" w:space="718"/>
            <w:col w:w="4882"/>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933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659"/>
        <w:spacing w:after="0" w:line="251" w:lineRule="auto"/>
        <w:rPr>
          <w:sz w:val="20"/>
          <w:szCs w:val="20"/>
          <w:color w:val="auto"/>
        </w:rPr>
      </w:pPr>
      <w:r>
        <w:rPr>
          <w:rFonts w:ascii="Times New Roman" w:cs="Times New Roman" w:eastAsia="Times New Roman" w:hAnsi="Times New Roman"/>
          <w:sz w:val="18"/>
          <w:szCs w:val="18"/>
          <w:color w:val="auto"/>
        </w:rPr>
        <w:t>more than an aggregate of 20%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20% of the shares sold in this offering) for or against our initial business combination.</w:t>
      </w:r>
    </w:p>
    <w:p>
      <w:pPr>
        <w:spacing w:after="0" w:line="200" w:lineRule="exact"/>
        <w:rPr>
          <w:sz w:val="20"/>
          <w:szCs w:val="20"/>
          <w:color w:val="auto"/>
        </w:rPr>
      </w:pPr>
    </w:p>
    <w:p>
      <w:pPr>
        <w:spacing w:after="0" w:line="327" w:lineRule="exact"/>
        <w:rPr>
          <w:sz w:val="20"/>
          <w:szCs w:val="20"/>
          <w:color w:val="auto"/>
        </w:rPr>
      </w:pPr>
    </w:p>
    <w:p>
      <w:pPr>
        <w:ind w:right="659"/>
        <w:spacing w:after="0" w:line="251" w:lineRule="auto"/>
        <w:rPr>
          <w:sz w:val="20"/>
          <w:szCs w:val="20"/>
          <w:color w:val="auto"/>
        </w:rPr>
      </w:pPr>
      <w:r>
        <w:rPr>
          <w:rFonts w:ascii="Times New Roman" w:cs="Times New Roman" w:eastAsia="Times New Roman" w:hAnsi="Times New Roman"/>
          <w:sz w:val="18"/>
          <w:szCs w:val="18"/>
          <w:color w:val="auto"/>
        </w:rPr>
        <w:t>On the completion of our initial business combination, the funds held in the trust account will be used to pay amounts due to any public stockholders who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4780" w:space="480"/>
            <w:col w:w="487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60" w:hanging="179"/>
        <w:spacing w:after="0" w:line="266" w:lineRule="auto"/>
        <w:rPr>
          <w:sz w:val="20"/>
          <w:szCs w:val="20"/>
          <w:color w:val="auto"/>
        </w:rPr>
      </w:pPr>
      <w:r>
        <w:rPr>
          <w:rFonts w:ascii="Times New Roman" w:cs="Times New Roman" w:eastAsia="Times New Roman" w:hAnsi="Times New Roman"/>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 w:right="719"/>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have only 24 months from the closing of this offering to complete our initial business combination. If we do not complete our initial business combination within such 24-month period, we will:</w:t>
      </w:r>
    </w:p>
    <w:p>
      <w:pPr>
        <w:spacing w:after="0" w:line="3" w:lineRule="exact"/>
        <w:rPr>
          <w:sz w:val="20"/>
          <w:szCs w:val="20"/>
          <w:color w:val="auto"/>
        </w:rPr>
      </w:pPr>
    </w:p>
    <w:p>
      <w:pPr>
        <w:ind w:left="2" w:right="699" w:hanging="2"/>
        <w:spacing w:after="0" w:line="251" w:lineRule="auto"/>
        <w:tabs>
          <w:tab w:leader="none" w:pos="2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324" w:lineRule="exact"/>
        <w:rPr>
          <w:sz w:val="20"/>
          <w:szCs w:val="20"/>
          <w:color w:val="auto"/>
        </w:rPr>
      </w:pPr>
    </w:p>
    <w:p>
      <w:pPr>
        <w:ind w:left="2" w:right="719"/>
        <w:spacing w:after="0" w:line="245" w:lineRule="auto"/>
        <w:rPr>
          <w:sz w:val="20"/>
          <w:szCs w:val="20"/>
          <w:color w:val="auto"/>
        </w:rPr>
      </w:pPr>
      <w:r>
        <w:rPr>
          <w:rFonts w:ascii="Times New Roman" w:cs="Times New Roman" w:eastAsia="Times New Roman" w:hAnsi="Times New Roman"/>
          <w:sz w:val="18"/>
          <w:szCs w:val="18"/>
          <w:color w:val="auto"/>
        </w:rPr>
        <w:t>There will be no redemption rights or liquidating distributions with respect to our warrants, which will expire worthless if we fail to complete our initial business combination within the 24-month time period.</w:t>
      </w:r>
    </w:p>
    <w:p>
      <w:pPr>
        <w:spacing w:after="0" w:line="113" w:lineRule="exact"/>
        <w:rPr>
          <w:sz w:val="20"/>
          <w:szCs w:val="20"/>
          <w:color w:val="auto"/>
        </w:rPr>
      </w:pPr>
    </w:p>
    <w:p>
      <w:pPr>
        <w:ind w:left="2" w:right="679"/>
        <w:spacing w:after="0" w:line="239" w:lineRule="auto"/>
        <w:rPr>
          <w:sz w:val="20"/>
          <w:szCs w:val="20"/>
          <w:color w:val="auto"/>
        </w:rPr>
      </w:pPr>
      <w:r>
        <w:rPr>
          <w:rFonts w:ascii="Times New Roman" w:cs="Times New Roman" w:eastAsia="Times New Roman" w:hAnsi="Times New Roman"/>
          <w:sz w:val="18"/>
          <w:szCs w:val="18"/>
          <w:color w:val="auto"/>
        </w:rPr>
        <w:t>Our initial stockholders have entered into agreements with us, pursuant to which they have waived their rights to liquidating distributions from the trust account with respect to their founder shares if we fail to complete our initial business combination within</w:t>
      </w:r>
    </w:p>
    <w:p>
      <w:pPr>
        <w:spacing w:after="0" w:line="2" w:lineRule="exact"/>
        <w:rPr>
          <w:sz w:val="20"/>
          <w:szCs w:val="20"/>
          <w:color w:val="auto"/>
        </w:rPr>
      </w:pPr>
    </w:p>
    <w:p>
      <w:pPr>
        <w:ind w:left="2" w:right="739"/>
        <w:spacing w:after="0" w:line="236" w:lineRule="auto"/>
        <w:rPr>
          <w:sz w:val="20"/>
          <w:szCs w:val="20"/>
          <w:color w:val="auto"/>
        </w:rPr>
      </w:pPr>
      <w:r>
        <w:rPr>
          <w:rFonts w:ascii="Times New Roman" w:cs="Times New Roman" w:eastAsia="Times New Roman" w:hAnsi="Times New Roman"/>
          <w:sz w:val="18"/>
          <w:szCs w:val="18"/>
          <w:color w:val="auto"/>
        </w:rPr>
        <w:t>24 months from the closing of this offering.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allotted 24-month time frame.</w:t>
      </w:r>
    </w:p>
    <w:p>
      <w:pPr>
        <w:spacing w:after="0" w:line="121" w:lineRule="exact"/>
        <w:rPr>
          <w:sz w:val="20"/>
          <w:szCs w:val="20"/>
          <w:color w:val="auto"/>
        </w:rPr>
      </w:pPr>
    </w:p>
    <w:p>
      <w:pPr>
        <w:ind w:left="2" w:right="659"/>
        <w:spacing w:after="0"/>
        <w:rPr>
          <w:sz w:val="20"/>
          <w:szCs w:val="20"/>
          <w:color w:val="auto"/>
        </w:rPr>
      </w:pPr>
      <w:r>
        <w:rPr>
          <w:rFonts w:ascii="Times New Roman" w:cs="Times New Roman" w:eastAsia="Times New Roman" w:hAnsi="Times New Roman"/>
          <w:sz w:val="18"/>
          <w:szCs w:val="18"/>
          <w:color w:val="auto"/>
        </w:rPr>
        <w:t>The underwriters have agreed to waive their rights to their deferred underwriting commission held in the trust account in the event we do not complete our initial business combination within 24 months from the closing of this offering and, in such event, such amounts will be included with the funds held in the trust account that will be available to fund the redemption of our public shares.</w:t>
      </w:r>
    </w:p>
    <w:p>
      <w:pPr>
        <w:spacing w:after="0" w:line="306" w:lineRule="exact"/>
        <w:rPr>
          <w:sz w:val="20"/>
          <w:szCs w:val="20"/>
          <w:color w:val="auto"/>
        </w:rPr>
      </w:pPr>
    </w:p>
    <w:p>
      <w:pPr>
        <w:jc w:val="both"/>
        <w:ind w:left="2" w:right="719"/>
        <w:spacing w:after="0" w:line="250" w:lineRule="auto"/>
        <w:rPr>
          <w:sz w:val="20"/>
          <w:szCs w:val="20"/>
          <w:color w:val="auto"/>
        </w:rPr>
      </w:pPr>
      <w:r>
        <w:rPr>
          <w:rFonts w:ascii="Times New Roman" w:cs="Times New Roman" w:eastAsia="Times New Roman" w:hAnsi="Times New Roman"/>
          <w:sz w:val="18"/>
          <w:szCs w:val="18"/>
          <w:color w:val="auto"/>
        </w:rPr>
        <w:t>Our sponsor, executive officers, directors and director nominees have agreed, pursuant to a written agreement with us, that they will not propose any amendment to</w:t>
      </w:r>
    </w:p>
    <w:p>
      <w:pPr>
        <w:spacing w:after="0" w:line="200" w:lineRule="exact"/>
        <w:rPr>
          <w:sz w:val="20"/>
          <w:szCs w:val="20"/>
          <w:color w:val="auto"/>
        </w:rPr>
      </w:pPr>
    </w:p>
    <w:p>
      <w:pPr>
        <w:sectPr>
          <w:pgSz w:w="11900" w:h="16838" w:orient="portrait"/>
          <w:cols w:equalWidth="0" w:num="2">
            <w:col w:w="4680" w:space="578"/>
            <w:col w:w="4882"/>
          </w:cols>
          <w:pgMar w:left="320" w:top="114" w:right="1440"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83534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16245" cy="835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to</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modify the substance or timing of our obligation to</w:t>
      </w:r>
    </w:p>
    <w:p>
      <w:pPr>
        <w:ind w:left="5260"/>
        <w:spacing w:after="0" w:line="234" w:lineRule="auto"/>
        <w:rPr>
          <w:sz w:val="20"/>
          <w:szCs w:val="20"/>
          <w:color w:val="auto"/>
        </w:rPr>
      </w:pPr>
      <w:r>
        <w:rPr>
          <w:rFonts w:ascii="Times New Roman" w:cs="Times New Roman" w:eastAsia="Times New Roman" w:hAnsi="Times New Roman"/>
          <w:sz w:val="18"/>
          <w:szCs w:val="18"/>
          <w:color w:val="auto"/>
        </w:rPr>
        <w:t>redeem 100% of our public shares if we do not</w:t>
      </w:r>
    </w:p>
    <w:p>
      <w:pPr>
        <w:ind w:left="5260"/>
        <w:spacing w:after="0" w:line="235" w:lineRule="auto"/>
        <w:rPr>
          <w:sz w:val="20"/>
          <w:szCs w:val="20"/>
          <w:color w:val="auto"/>
        </w:rPr>
      </w:pPr>
      <w:r>
        <w:rPr>
          <w:rFonts w:ascii="Times New Roman" w:cs="Times New Roman" w:eastAsia="Times New Roman" w:hAnsi="Times New Roman"/>
          <w:sz w:val="18"/>
          <w:szCs w:val="18"/>
          <w:color w:val="auto"/>
        </w:rPr>
        <w:t>complete our initial business combination within</w:t>
      </w:r>
    </w:p>
    <w:p>
      <w:pPr>
        <w:ind w:left="5260"/>
        <w:spacing w:after="0" w:line="235" w:lineRule="auto"/>
        <w:rPr>
          <w:sz w:val="20"/>
          <w:szCs w:val="20"/>
          <w:color w:val="auto"/>
        </w:rPr>
      </w:pPr>
      <w:r>
        <w:rPr>
          <w:rFonts w:ascii="Times New Roman" w:cs="Times New Roman" w:eastAsia="Times New Roman" w:hAnsi="Times New Roman"/>
          <w:sz w:val="18"/>
          <w:szCs w:val="18"/>
          <w:color w:val="auto"/>
        </w:rPr>
        <w:t>24 months from the closing of this offering or with</w:t>
      </w:r>
    </w:p>
    <w:p>
      <w:pPr>
        <w:ind w:left="5260"/>
        <w:spacing w:after="0" w:line="235" w:lineRule="auto"/>
        <w:rPr>
          <w:sz w:val="20"/>
          <w:szCs w:val="20"/>
          <w:color w:val="auto"/>
        </w:rPr>
      </w:pPr>
      <w:r>
        <w:rPr>
          <w:rFonts w:ascii="Times New Roman" w:cs="Times New Roman" w:eastAsia="Times New Roman" w:hAnsi="Times New Roman"/>
          <w:sz w:val="18"/>
          <w:szCs w:val="18"/>
          <w:color w:val="auto"/>
        </w:rPr>
        <w:t>respect to any other material provisions relating to</w:t>
      </w:r>
    </w:p>
    <w:p>
      <w:pPr>
        <w:ind w:left="5260"/>
        <w:spacing w:after="0" w:line="235" w:lineRule="auto"/>
        <w:rPr>
          <w:sz w:val="20"/>
          <w:szCs w:val="20"/>
          <w:color w:val="auto"/>
        </w:rPr>
      </w:pPr>
      <w:r>
        <w:rPr>
          <w:rFonts w:ascii="Times New Roman" w:cs="Times New Roman" w:eastAsia="Times New Roman" w:hAnsi="Times New Roman"/>
          <w:sz w:val="18"/>
          <w:szCs w:val="18"/>
          <w:color w:val="auto"/>
        </w:rPr>
        <w:t>stockholders’ rights or pre-initial business combination</w:t>
      </w:r>
    </w:p>
    <w:p>
      <w:pPr>
        <w:ind w:left="5260"/>
        <w:spacing w:after="0" w:line="234" w:lineRule="auto"/>
        <w:rPr>
          <w:sz w:val="20"/>
          <w:szCs w:val="20"/>
          <w:color w:val="auto"/>
        </w:rPr>
      </w:pPr>
      <w:r>
        <w:rPr>
          <w:rFonts w:ascii="Times New Roman" w:cs="Times New Roman" w:eastAsia="Times New Roman" w:hAnsi="Times New Roman"/>
          <w:sz w:val="18"/>
          <w:szCs w:val="18"/>
          <w:color w:val="auto"/>
        </w:rPr>
        <w:t>activity, unless we provide our public stockholders with</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 opportunity to redeem their Class A common stock</w:t>
      </w:r>
    </w:p>
    <w:p>
      <w:pPr>
        <w:ind w:left="5260"/>
        <w:spacing w:after="0" w:line="235" w:lineRule="auto"/>
        <w:rPr>
          <w:sz w:val="20"/>
          <w:szCs w:val="20"/>
          <w:color w:val="auto"/>
        </w:rPr>
      </w:pPr>
      <w:r>
        <w:rPr>
          <w:rFonts w:ascii="Times New Roman" w:cs="Times New Roman" w:eastAsia="Times New Roman" w:hAnsi="Times New Roman"/>
          <w:sz w:val="18"/>
          <w:szCs w:val="18"/>
          <w:color w:val="auto"/>
        </w:rPr>
        <w:t>upon approval of any such amendment at a per-share</w:t>
      </w:r>
    </w:p>
    <w:p>
      <w:pPr>
        <w:ind w:left="5260"/>
        <w:spacing w:after="0" w:line="235" w:lineRule="auto"/>
        <w:rPr>
          <w:sz w:val="20"/>
          <w:szCs w:val="20"/>
          <w:color w:val="auto"/>
        </w:rPr>
      </w:pPr>
      <w:r>
        <w:rPr>
          <w:rFonts w:ascii="Times New Roman" w:cs="Times New Roman" w:eastAsia="Times New Roman" w:hAnsi="Times New Roman"/>
          <w:sz w:val="18"/>
          <w:szCs w:val="18"/>
          <w:color w:val="auto"/>
        </w:rPr>
        <w:t>price, payable in cash, equal to the aggregate amount</w:t>
      </w:r>
    </w:p>
    <w:p>
      <w:pPr>
        <w:ind w:left="5260"/>
        <w:spacing w:after="0" w:line="235" w:lineRule="auto"/>
        <w:rPr>
          <w:sz w:val="20"/>
          <w:szCs w:val="20"/>
          <w:color w:val="auto"/>
        </w:rPr>
      </w:pPr>
      <w:r>
        <w:rPr>
          <w:rFonts w:ascii="Times New Roman" w:cs="Times New Roman" w:eastAsia="Times New Roman" w:hAnsi="Times New Roman"/>
          <w:sz w:val="18"/>
          <w:szCs w:val="18"/>
          <w:color w:val="auto"/>
        </w:rPr>
        <w:t>then on deposit in the trust account, including interest</w:t>
      </w:r>
    </w:p>
    <w:p>
      <w:pPr>
        <w:ind w:left="5260"/>
        <w:spacing w:after="0" w:line="234" w:lineRule="auto"/>
        <w:rPr>
          <w:sz w:val="20"/>
          <w:szCs w:val="20"/>
          <w:color w:val="auto"/>
        </w:rPr>
      </w:pPr>
      <w:r>
        <w:rPr>
          <w:rFonts w:ascii="Times New Roman" w:cs="Times New Roman" w:eastAsia="Times New Roman" w:hAnsi="Times New Roman"/>
          <w:sz w:val="18"/>
          <w:szCs w:val="18"/>
          <w:color w:val="auto"/>
        </w:rPr>
        <w:t>earned on the funds held in the trust account (net of</w:t>
      </w:r>
    </w:p>
    <w:p>
      <w:pPr>
        <w:ind w:left="5260"/>
        <w:spacing w:after="0" w:line="235" w:lineRule="auto"/>
        <w:rPr>
          <w:sz w:val="20"/>
          <w:szCs w:val="20"/>
          <w:color w:val="auto"/>
        </w:rPr>
      </w:pPr>
      <w:r>
        <w:rPr>
          <w:rFonts w:ascii="Times New Roman" w:cs="Times New Roman" w:eastAsia="Times New Roman" w:hAnsi="Times New Roman"/>
          <w:sz w:val="18"/>
          <w:szCs w:val="18"/>
          <w:color w:val="auto"/>
        </w:rPr>
        <w:t>permitted withdrawals), divided by the number of then</w:t>
      </w:r>
    </w:p>
    <w:p>
      <w:pPr>
        <w:ind w:left="5260"/>
        <w:spacing w:after="0" w:line="235" w:lineRule="auto"/>
        <w:rPr>
          <w:sz w:val="20"/>
          <w:szCs w:val="20"/>
          <w:color w:val="auto"/>
        </w:rPr>
      </w:pPr>
      <w:r>
        <w:rPr>
          <w:rFonts w:ascii="Times New Roman" w:cs="Times New Roman" w:eastAsia="Times New Roman" w:hAnsi="Times New Roman"/>
          <w:sz w:val="18"/>
          <w:szCs w:val="18"/>
          <w:color w:val="auto"/>
        </w:rPr>
        <w:t>outstanding public shares, subject to the limitations</w:t>
      </w:r>
    </w:p>
    <w:p>
      <w:pPr>
        <w:ind w:left="5260"/>
        <w:spacing w:after="0" w:line="235" w:lineRule="auto"/>
        <w:rPr>
          <w:sz w:val="20"/>
          <w:szCs w:val="20"/>
          <w:color w:val="auto"/>
        </w:rPr>
      </w:pPr>
      <w:r>
        <w:rPr>
          <w:rFonts w:ascii="Times New Roman" w:cs="Times New Roman" w:eastAsia="Times New Roman" w:hAnsi="Times New Roman"/>
          <w:sz w:val="18"/>
          <w:szCs w:val="18"/>
          <w:color w:val="auto"/>
        </w:rPr>
        <w:t>described above under “Limitations on redemptions.”</w:t>
      </w:r>
    </w:p>
    <w:p>
      <w:pPr>
        <w:ind w:left="5260"/>
        <w:spacing w:after="0" w:line="235" w:lineRule="auto"/>
        <w:rPr>
          <w:sz w:val="20"/>
          <w:szCs w:val="20"/>
          <w:color w:val="auto"/>
        </w:rPr>
      </w:pPr>
      <w:r>
        <w:rPr>
          <w:rFonts w:ascii="Times New Roman" w:cs="Times New Roman" w:eastAsia="Times New Roman" w:hAnsi="Times New Roman"/>
          <w:sz w:val="18"/>
          <w:szCs w:val="18"/>
          <w:color w:val="auto"/>
        </w:rPr>
        <w:t>For example, our board of directors may propose such</w:t>
      </w:r>
    </w:p>
    <w:p>
      <w:pPr>
        <w:ind w:left="5260"/>
        <w:spacing w:after="0" w:line="234" w:lineRule="auto"/>
        <w:rPr>
          <w:sz w:val="20"/>
          <w:szCs w:val="20"/>
          <w:color w:val="auto"/>
        </w:rPr>
      </w:pPr>
      <w:r>
        <w:rPr>
          <w:rFonts w:ascii="Times New Roman" w:cs="Times New Roman" w:eastAsia="Times New Roman" w:hAnsi="Times New Roman"/>
          <w:sz w:val="18"/>
          <w:szCs w:val="18"/>
          <w:color w:val="auto"/>
        </w:rPr>
        <w:t>an amendment if it determines that additional time is</w:t>
      </w:r>
    </w:p>
    <w:p>
      <w:pPr>
        <w:ind w:left="5260"/>
        <w:spacing w:after="0" w:line="235" w:lineRule="auto"/>
        <w:rPr>
          <w:sz w:val="20"/>
          <w:szCs w:val="20"/>
          <w:color w:val="auto"/>
        </w:rPr>
      </w:pPr>
      <w:r>
        <w:rPr>
          <w:rFonts w:ascii="Times New Roman" w:cs="Times New Roman" w:eastAsia="Times New Roman" w:hAnsi="Times New Roman"/>
          <w:sz w:val="18"/>
          <w:szCs w:val="18"/>
          <w:color w:val="auto"/>
        </w:rPr>
        <w:t>necessary to complete our initial business combination.</w:t>
      </w:r>
    </w:p>
    <w:p>
      <w:pPr>
        <w:ind w:left="5260"/>
        <w:spacing w:after="0" w:line="235" w:lineRule="auto"/>
        <w:rPr>
          <w:sz w:val="20"/>
          <w:szCs w:val="20"/>
          <w:color w:val="auto"/>
        </w:rPr>
      </w:pPr>
      <w:r>
        <w:rPr>
          <w:rFonts w:ascii="Times New Roman" w:cs="Times New Roman" w:eastAsia="Times New Roman" w:hAnsi="Times New Roman"/>
          <w:sz w:val="18"/>
          <w:szCs w:val="18"/>
          <w:color w:val="auto"/>
        </w:rPr>
        <w:t>In such event, we will conduct a proxy solicitation and</w:t>
      </w:r>
    </w:p>
    <w:p>
      <w:pPr>
        <w:ind w:left="5260"/>
        <w:spacing w:after="0" w:line="235" w:lineRule="auto"/>
        <w:rPr>
          <w:sz w:val="20"/>
          <w:szCs w:val="20"/>
          <w:color w:val="auto"/>
        </w:rPr>
      </w:pPr>
      <w:r>
        <w:rPr>
          <w:rFonts w:ascii="Times New Roman" w:cs="Times New Roman" w:eastAsia="Times New Roman" w:hAnsi="Times New Roman"/>
          <w:sz w:val="18"/>
          <w:szCs w:val="18"/>
          <w:color w:val="auto"/>
        </w:rPr>
        <w:t>distribute proxy materials pursuant to Regulation 14A</w:t>
      </w:r>
    </w:p>
    <w:p>
      <w:pPr>
        <w:ind w:left="5260"/>
        <w:spacing w:after="0" w:line="235" w:lineRule="auto"/>
        <w:rPr>
          <w:sz w:val="20"/>
          <w:szCs w:val="20"/>
          <w:color w:val="auto"/>
        </w:rPr>
      </w:pPr>
      <w:r>
        <w:rPr>
          <w:rFonts w:ascii="Times New Roman" w:cs="Times New Roman" w:eastAsia="Times New Roman" w:hAnsi="Times New Roman"/>
          <w:sz w:val="18"/>
          <w:szCs w:val="18"/>
          <w:color w:val="auto"/>
        </w:rPr>
        <w:t>of the Exchange Act seeking stockholder approval of</w:t>
      </w:r>
    </w:p>
    <w:p>
      <w:pPr>
        <w:ind w:left="5260"/>
        <w:spacing w:after="0" w:line="234" w:lineRule="auto"/>
        <w:rPr>
          <w:sz w:val="20"/>
          <w:szCs w:val="20"/>
          <w:color w:val="auto"/>
        </w:rPr>
      </w:pPr>
      <w:r>
        <w:rPr>
          <w:rFonts w:ascii="Times New Roman" w:cs="Times New Roman" w:eastAsia="Times New Roman" w:hAnsi="Times New Roman"/>
          <w:sz w:val="18"/>
          <w:szCs w:val="18"/>
          <w:color w:val="auto"/>
        </w:rPr>
        <w:t>such proposal, and in connection therewith, provide our</w:t>
      </w:r>
    </w:p>
    <w:p>
      <w:pPr>
        <w:ind w:left="5260"/>
        <w:spacing w:after="0" w:line="235" w:lineRule="auto"/>
        <w:rPr>
          <w:sz w:val="20"/>
          <w:szCs w:val="20"/>
          <w:color w:val="auto"/>
        </w:rPr>
      </w:pPr>
      <w:r>
        <w:rPr>
          <w:rFonts w:ascii="Times New Roman" w:cs="Times New Roman" w:eastAsia="Times New Roman" w:hAnsi="Times New Roman"/>
          <w:sz w:val="18"/>
          <w:szCs w:val="18"/>
          <w:color w:val="auto"/>
        </w:rPr>
        <w:t>public stockholders with the redemption rights</w:t>
      </w:r>
    </w:p>
    <w:p>
      <w:pPr>
        <w:ind w:left="5260"/>
        <w:spacing w:after="0" w:line="235" w:lineRule="auto"/>
        <w:rPr>
          <w:sz w:val="20"/>
          <w:szCs w:val="20"/>
          <w:color w:val="auto"/>
        </w:rPr>
      </w:pPr>
      <w:r>
        <w:rPr>
          <w:rFonts w:ascii="Times New Roman" w:cs="Times New Roman" w:eastAsia="Times New Roman" w:hAnsi="Times New Roman"/>
          <w:sz w:val="18"/>
          <w:szCs w:val="18"/>
          <w:color w:val="auto"/>
        </w:rPr>
        <w:t>described above upon stockholder approval of such</w:t>
      </w:r>
    </w:p>
    <w:p>
      <w:pPr>
        <w:ind w:left="5260"/>
        <w:spacing w:after="0"/>
        <w:rPr>
          <w:sz w:val="20"/>
          <w:szCs w:val="20"/>
          <w:color w:val="auto"/>
        </w:rPr>
      </w:pPr>
      <w:r>
        <w:rPr>
          <w:rFonts w:ascii="Times New Roman" w:cs="Times New Roman" w:eastAsia="Times New Roman" w:hAnsi="Times New Roman"/>
          <w:sz w:val="18"/>
          <w:szCs w:val="18"/>
          <w:color w:val="auto"/>
        </w:rPr>
        <w:t>amendment.</w:t>
      </w:r>
    </w:p>
    <w:p>
      <w:pPr>
        <w:spacing w:after="0" w:line="84"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color w:val="auto"/>
        </w:rPr>
        <w:t>Limited payments to insiders</w:t>
      </w:r>
      <w:r>
        <w:rPr>
          <w:sz w:val="20"/>
          <w:szCs w:val="20"/>
          <w:color w:val="auto"/>
        </w:rPr>
        <w:tab/>
      </w:r>
      <w:r>
        <w:rPr>
          <w:rFonts w:ascii="Times New Roman" w:cs="Times New Roman" w:eastAsia="Times New Roman" w:hAnsi="Times New Roman"/>
          <w:sz w:val="18"/>
          <w:szCs w:val="18"/>
          <w:color w:val="auto"/>
        </w:rPr>
        <w:t>There will be no finder’s fees, reimbursement,</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consulting fee, monies in respect of any payment of a</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loan or other compensation paid by us to our sponsor,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officers or directors, or any affiliate of our sponsor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officers prior to, or in connection with any services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rendered in order to effectuate, the consummation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our initial business combination (regardless of the type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transaction that it is). However, the following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payments will be made to our sponsor, officers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directors, or our or their affiliates, and, if made prior to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our initial business combination will be made from</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 funds held outside the trust account or (ii) interest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earned on the trust account and released to us to pay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our taxes:</w:t>
      </w:r>
    </w:p>
    <w:p>
      <w:pPr>
        <w:spacing w:after="0" w:line="126"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repayment of up to an aggregate of $300,000 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loans made to us by our sponsor to cover offering-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related and organizational expenses;</w:t>
      </w:r>
    </w:p>
    <w:p>
      <w:pPr>
        <w:spacing w:after="0" w:line="139"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reimbursement for office space, secretarial and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administrative services provided to members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our management team by an affiliate of our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sponsor, in an amount not to exceed $10,000 per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month;</w:t>
      </w:r>
    </w:p>
    <w:p>
      <w:pPr>
        <w:spacing w:after="0" w:line="126"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reimbursement for any out-of-pocket expenses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related to identifying, investigating, negotiating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completing an initial business combination;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w:t>
      </w:r>
    </w:p>
    <w:p>
      <w:pPr>
        <w:spacing w:after="0" w:line="126" w:lineRule="exact"/>
        <w:rPr>
          <w:sz w:val="20"/>
          <w:szCs w:val="20"/>
          <w:color w:val="auto"/>
        </w:rPr>
      </w:pPr>
    </w:p>
    <w:p>
      <w:pPr>
        <w:ind w:left="5260"/>
        <w:spacing w:after="0"/>
        <w:tabs>
          <w:tab w:leader="none" w:pos="5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repayment of loans which may be made by our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sponsor or an affiliate of our sponsor or certain of</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our officers and directors to finance transaction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costs in connection with an intended initial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business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combination. Up to $1,500,000 of such loans</w:t>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may be convertible into private placement-</w:t>
      </w:r>
    </w:p>
    <w:p>
      <w:pPr>
        <w:ind w:left="5620"/>
        <w:spacing w:after="0" w:line="234" w:lineRule="auto"/>
        <w:rPr>
          <w:sz w:val="20"/>
          <w:szCs w:val="20"/>
          <w:color w:val="auto"/>
        </w:rPr>
      </w:pPr>
      <w:r>
        <w:rPr>
          <w:rFonts w:ascii="Times New Roman" w:cs="Times New Roman" w:eastAsia="Times New Roman" w:hAnsi="Times New Roman"/>
          <w:sz w:val="18"/>
          <w:szCs w:val="18"/>
          <w:color w:val="auto"/>
        </w:rPr>
        <w:t>equivalent units of the post-business combination</w:t>
      </w:r>
    </w:p>
    <w:p>
      <w:pPr>
        <w:ind w:left="5620"/>
        <w:spacing w:after="0" w:line="235" w:lineRule="auto"/>
        <w:rPr>
          <w:sz w:val="20"/>
          <w:szCs w:val="20"/>
          <w:color w:val="auto"/>
        </w:rPr>
      </w:pPr>
      <w:r>
        <w:rPr>
          <w:rFonts w:ascii="Times New Roman" w:cs="Times New Roman" w:eastAsia="Times New Roman" w:hAnsi="Times New Roman"/>
          <w:sz w:val="18"/>
          <w:szCs w:val="18"/>
          <w:color w:val="auto"/>
        </w:rPr>
        <w:t>entity at a price of $10.00 per unit at the option of</w:t>
      </w:r>
    </w:p>
    <w:p>
      <w:pPr>
        <w:ind w:left="5620"/>
        <w:spacing w:after="0" w:line="235" w:lineRule="auto"/>
        <w:rPr>
          <w:sz w:val="20"/>
          <w:szCs w:val="20"/>
          <w:color w:val="auto"/>
        </w:rPr>
      </w:pPr>
      <w:r>
        <w:rPr>
          <w:rFonts w:ascii="Times New Roman" w:cs="Times New Roman" w:eastAsia="Times New Roman" w:hAnsi="Times New Roman"/>
          <w:sz w:val="18"/>
          <w:szCs w:val="18"/>
          <w:color w:val="auto"/>
        </w:rPr>
        <w:t>the lender. The units would be identical to the</w:t>
      </w:r>
    </w:p>
    <w:p>
      <w:pPr>
        <w:ind w:left="5620"/>
        <w:spacing w:after="0" w:line="235" w:lineRule="auto"/>
        <w:rPr>
          <w:sz w:val="20"/>
          <w:szCs w:val="20"/>
          <w:color w:val="auto"/>
        </w:rPr>
      </w:pPr>
      <w:r>
        <w:rPr>
          <w:rFonts w:ascii="Times New Roman" w:cs="Times New Roman" w:eastAsia="Times New Roman" w:hAnsi="Times New Roman"/>
          <w:sz w:val="18"/>
          <w:szCs w:val="18"/>
          <w:color w:val="auto"/>
        </w:rPr>
        <w:t>private placement units. Except for the foregoing,</w:t>
      </w:r>
    </w:p>
    <w:p>
      <w:pPr>
        <w:ind w:left="5620"/>
        <w:spacing w:after="0" w:line="235" w:lineRule="auto"/>
        <w:rPr>
          <w:sz w:val="20"/>
          <w:szCs w:val="20"/>
          <w:color w:val="auto"/>
        </w:rPr>
      </w:pPr>
      <w:r>
        <w:rPr>
          <w:rFonts w:ascii="Times New Roman" w:cs="Times New Roman" w:eastAsia="Times New Roman" w:hAnsi="Times New Roman"/>
          <w:sz w:val="18"/>
          <w:szCs w:val="18"/>
          <w:color w:val="auto"/>
        </w:rPr>
        <w:t>the terms of such loans, if any, have not been</w:t>
      </w:r>
    </w:p>
    <w:p>
      <w:pPr>
        <w:ind w:left="5620"/>
        <w:spacing w:after="0" w:line="234" w:lineRule="auto"/>
        <w:rPr>
          <w:sz w:val="20"/>
          <w:szCs w:val="20"/>
          <w:color w:val="auto"/>
        </w:rPr>
      </w:pPr>
      <w:r>
        <w:rPr>
          <w:rFonts w:ascii="Times New Roman" w:cs="Times New Roman" w:eastAsia="Times New Roman" w:hAnsi="Times New Roman"/>
          <w:sz w:val="18"/>
          <w:szCs w:val="18"/>
          <w:color w:val="auto"/>
        </w:rPr>
        <w:t>determined and no written agreements exist with</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respect to such loans.</w:t>
      </w:r>
    </w:p>
    <w:p>
      <w:pPr>
        <w:spacing w:after="0" w:line="84"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color w:val="auto"/>
        </w:rPr>
        <w:t>Audit Committee</w:t>
      </w:r>
      <w:r>
        <w:rPr>
          <w:sz w:val="20"/>
          <w:szCs w:val="20"/>
          <w:color w:val="auto"/>
        </w:rPr>
        <w:tab/>
      </w:r>
      <w:r>
        <w:rPr>
          <w:rFonts w:ascii="Times New Roman" w:cs="Times New Roman" w:eastAsia="Times New Roman" w:hAnsi="Times New Roman"/>
          <w:sz w:val="18"/>
          <w:szCs w:val="18"/>
          <w:color w:val="auto"/>
        </w:rPr>
        <w:t>We will establish and maintain an audit committee,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which will be composed entirely of independent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directors as and when required by the Nasdaq rules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Rule 10A of the Exchange Act, to, among other things,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monitor compliance with the terms described above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other terms relating to this offering. If any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noncompliance is identified, then the audit committee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will be charged with the responsibility to promptly take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all action necessary to rectify such noncompliance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otherwise to cause compliance with the terms of this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offering. For more information, see the section entitled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“Management — Committees of the Board of Directors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 Audit Committee.”</w:t>
      </w:r>
    </w:p>
    <w:p>
      <w:pPr>
        <w:spacing w:after="0" w:line="99" w:lineRule="exact"/>
        <w:rPr>
          <w:sz w:val="20"/>
          <w:szCs w:val="20"/>
          <w:color w:val="auto"/>
        </w:rPr>
      </w:pPr>
    </w:p>
    <w:p>
      <w:pPr>
        <w:ind w:left="1280"/>
        <w:spacing w:after="0"/>
        <w:tabs>
          <w:tab w:leader="none" w:pos="5240" w:val="left"/>
        </w:tabs>
        <w:rPr>
          <w:sz w:val="20"/>
          <w:szCs w:val="20"/>
          <w:color w:val="auto"/>
        </w:rPr>
      </w:pPr>
      <w:r>
        <w:rPr>
          <w:rFonts w:ascii="Times New Roman" w:cs="Times New Roman" w:eastAsia="Times New Roman" w:hAnsi="Times New Roman"/>
          <w:sz w:val="18"/>
          <w:szCs w:val="18"/>
          <w:color w:val="auto"/>
        </w:rPr>
        <w:t>Conflicts of Interest</w:t>
      </w:r>
      <w:r>
        <w:rPr>
          <w:sz w:val="20"/>
          <w:szCs w:val="20"/>
          <w:color w:val="auto"/>
        </w:rPr>
        <w:tab/>
      </w:r>
      <w:r>
        <w:rPr>
          <w:rFonts w:ascii="Times New Roman" w:cs="Times New Roman" w:eastAsia="Times New Roman" w:hAnsi="Times New Roman"/>
          <w:sz w:val="18"/>
          <w:szCs w:val="18"/>
          <w:color w:val="auto"/>
        </w:rPr>
        <w:t>HighCape manages several investment vehicles. Each</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 our officers and directors presently has, and any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them in the future may have additional, fiduciary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contractual obligations to another entity, including</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public and private funds under the management of</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HighCape and their respective portfolio companies,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pursuant to which such officer or director is or will be</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required to present a business combination opportunity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to such entity. In addition, existing and future funds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managed by HighCape and their respective portfolio</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companies may compete with us for business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combination opportunities and, if such opportunities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are pursued by such entities, we may be precluded from</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pursuing such opportunities. Accordingly, if any of our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officers or directors becomes aware of a business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combination opportunity which is suitable for an entity</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to which he or she has then current fiduciary 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contractual obligations, he or she will honor his or her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fiduciary or contractual obligations to present such</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business combination opportunity to such entity, and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may only decide to present it to us if such entity rejects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the opportunity and consummating the same would not</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violate any restrictive covenants to which such officers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and directors are subject.</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Notwithstanding the foregoing, we may pursue an</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affiliated joint acquisition with one or more affiliates of</w:t>
      </w:r>
    </w:p>
    <w:p>
      <w:pPr>
        <w:ind w:left="5260"/>
        <w:spacing w:after="0" w:line="234" w:lineRule="auto"/>
        <w:rPr>
          <w:sz w:val="20"/>
          <w:szCs w:val="20"/>
          <w:color w:val="auto"/>
        </w:rPr>
      </w:pPr>
      <w:r>
        <w:rPr>
          <w:rFonts w:ascii="Times New Roman" w:cs="Times New Roman" w:eastAsia="Times New Roman" w:hAnsi="Times New Roman"/>
          <w:sz w:val="18"/>
          <w:szCs w:val="18"/>
          <w:color w:val="auto"/>
        </w:rPr>
        <w:t>HighCape and/or one or more investors in HighCape or</w:t>
      </w:r>
    </w:p>
    <w:p>
      <w:pPr>
        <w:ind w:left="5260"/>
        <w:spacing w:after="0" w:line="235" w:lineRule="auto"/>
        <w:rPr>
          <w:sz w:val="20"/>
          <w:szCs w:val="20"/>
          <w:color w:val="auto"/>
        </w:rPr>
      </w:pPr>
      <w:r>
        <w:rPr>
          <w:rFonts w:ascii="Times New Roman" w:cs="Times New Roman" w:eastAsia="Times New Roman" w:hAnsi="Times New Roman"/>
          <w:sz w:val="18"/>
          <w:szCs w:val="18"/>
          <w:color w:val="auto"/>
        </w:rPr>
        <w:t>one of its affiliates. Such entities may co invest with us</w:t>
      </w:r>
    </w:p>
    <w:p>
      <w:pPr>
        <w:ind w:left="5260"/>
        <w:spacing w:after="0" w:line="235" w:lineRule="auto"/>
        <w:rPr>
          <w:sz w:val="20"/>
          <w:szCs w:val="20"/>
          <w:color w:val="auto"/>
        </w:rPr>
      </w:pPr>
      <w:r>
        <w:rPr>
          <w:rFonts w:ascii="Times New Roman" w:cs="Times New Roman" w:eastAsia="Times New Roman" w:hAnsi="Times New Roman"/>
          <w:sz w:val="18"/>
          <w:szCs w:val="18"/>
          <w:color w:val="auto"/>
        </w:rPr>
        <w:t>in the target business at the time of our initial business</w:t>
      </w:r>
    </w:p>
    <w:p>
      <w:pPr>
        <w:ind w:left="5260"/>
        <w:spacing w:after="0" w:line="235" w:lineRule="auto"/>
        <w:rPr>
          <w:sz w:val="20"/>
          <w:szCs w:val="20"/>
          <w:color w:val="auto"/>
        </w:rPr>
      </w:pPr>
      <w:r>
        <w:rPr>
          <w:rFonts w:ascii="Times New Roman" w:cs="Times New Roman" w:eastAsia="Times New Roman" w:hAnsi="Times New Roman"/>
          <w:sz w:val="18"/>
          <w:szCs w:val="18"/>
          <w:color w:val="auto"/>
        </w:rPr>
        <w:t>combination, or we could raise additional proceeds to</w:t>
      </w:r>
    </w:p>
    <w:p>
      <w:pPr>
        <w:ind w:left="5260"/>
        <w:spacing w:after="0" w:line="235" w:lineRule="auto"/>
        <w:rPr>
          <w:sz w:val="20"/>
          <w:szCs w:val="20"/>
          <w:color w:val="auto"/>
        </w:rPr>
      </w:pPr>
      <w:r>
        <w:rPr>
          <w:rFonts w:ascii="Times New Roman" w:cs="Times New Roman" w:eastAsia="Times New Roman" w:hAnsi="Times New Roman"/>
          <w:sz w:val="18"/>
          <w:szCs w:val="18"/>
          <w:color w:val="auto"/>
        </w:rPr>
        <w:t>complete the acquisition by issuing to such entity a</w:t>
      </w:r>
    </w:p>
    <w:p>
      <w:pPr>
        <w:ind w:left="5260"/>
        <w:spacing w:after="0"/>
        <w:rPr>
          <w:sz w:val="20"/>
          <w:szCs w:val="20"/>
          <w:color w:val="auto"/>
        </w:rPr>
      </w:pPr>
      <w:r>
        <w:rPr>
          <w:rFonts w:ascii="Times New Roman" w:cs="Times New Roman" w:eastAsia="Times New Roman" w:hAnsi="Times New Roman"/>
          <w:sz w:val="18"/>
          <w:szCs w:val="18"/>
          <w:color w:val="auto"/>
        </w:rPr>
        <w:t>class of equity or equity linked securities.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162" w:lineRule="exact"/>
        <w:rPr>
          <w:sz w:val="20"/>
          <w:szCs w:val="20"/>
          <w:color w:val="auto"/>
        </w:rPr>
      </w:pPr>
    </w:p>
    <w:p>
      <w:pPr>
        <w:ind w:left="1280" w:right="679" w:firstLine="360"/>
        <w:spacing w:after="0" w:line="253" w:lineRule="auto"/>
        <w:rPr>
          <w:sz w:val="20"/>
          <w:szCs w:val="20"/>
          <w:color w:val="auto"/>
        </w:rPr>
      </w:pPr>
      <w:r>
        <w:rPr>
          <w:rFonts w:ascii="Times New Roman" w:cs="Times New Roman" w:eastAsia="Times New Roman" w:hAnsi="Times New Roman"/>
          <w:sz w:val="18"/>
          <w:szCs w:val="18"/>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w:t>
      </w:r>
    </w:p>
    <w:p>
      <w:pPr>
        <w:spacing w:after="0" w:line="5" w:lineRule="exact"/>
        <w:rPr>
          <w:sz w:val="20"/>
          <w:szCs w:val="20"/>
          <w:color w:val="auto"/>
        </w:rPr>
      </w:pPr>
    </w:p>
    <w:p>
      <w:pPr>
        <w:jc w:val="both"/>
        <w:ind w:left="1280" w:right="7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beginning on page </w:t>
      </w:r>
      <w:hyperlink w:anchor="page33">
        <w:r>
          <w:rPr>
            <w:rFonts w:ascii="Times New Roman" w:cs="Times New Roman" w:eastAsia="Times New Roman" w:hAnsi="Times New Roman"/>
            <w:sz w:val="18"/>
            <w:szCs w:val="18"/>
            <w:u w:val="single" w:color="auto"/>
            <w:color w:val="0000EE"/>
          </w:rPr>
          <w:t>33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prospectus.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314960</wp:posOffset>
            </wp:positionV>
            <wp:extent cx="5516245" cy="7959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162" w:lineRule="exact"/>
        <w:rPr>
          <w:sz w:val="20"/>
          <w:szCs w:val="20"/>
          <w:color w:val="auto"/>
        </w:rPr>
      </w:pPr>
    </w:p>
    <w:p>
      <w:pPr>
        <w:ind w:left="1280" w:right="6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29" w:lineRule="exact"/>
        <w:rPr>
          <w:sz w:val="20"/>
          <w:szCs w:val="20"/>
          <w:color w:val="auto"/>
        </w:rPr>
      </w:pPr>
    </w:p>
    <w:tbl>
      <w:tblPr>
        <w:tblLayout w:type="fixed"/>
        <w:tblInd w:w="164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2"/>
        </w:trPr>
        <w:tc>
          <w:tcPr>
            <w:tcW w:w="6800" w:type="dxa"/>
            <w:vAlign w:val="bottom"/>
          </w:tcPr>
          <w:p>
            <w:pPr>
              <w:spacing w:after="0"/>
              <w:rPr>
                <w:sz w:val="14"/>
                <w:szCs w:val="14"/>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June 30,</w:t>
            </w:r>
          </w:p>
        </w:tc>
      </w:tr>
      <w:tr>
        <w:trPr>
          <w:trHeight w:val="190"/>
        </w:trPr>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6"/>
                <w:szCs w:val="16"/>
                <w:color w:val="auto"/>
              </w:rPr>
            </w:pPr>
          </w:p>
        </w:tc>
      </w:tr>
      <w:tr>
        <w:trPr>
          <w:trHeight w:val="23"/>
        </w:trPr>
        <w:tc>
          <w:tcPr>
            <w:tcW w:w="68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(66,000)</w:t>
            </w:r>
          </w:p>
        </w:tc>
      </w:tr>
      <w:tr>
        <w:trPr>
          <w:trHeight w:val="25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115,000</w:t>
            </w:r>
          </w:p>
        </w:tc>
        <w:tc>
          <w:tcPr>
            <w:tcW w:w="60" w:type="dxa"/>
            <w:vAlign w:val="bottom"/>
          </w:tcPr>
          <w:p>
            <w:pPr>
              <w:spacing w:after="0"/>
              <w:rPr>
                <w:sz w:val="22"/>
                <w:szCs w:val="22"/>
                <w:color w:val="auto"/>
              </w:rPr>
            </w:pPr>
          </w:p>
        </w:tc>
      </w:tr>
      <w:tr>
        <w:trPr>
          <w:trHeight w:val="257"/>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60" w:type="dxa"/>
            <w:vAlign w:val="bottom"/>
          </w:tcPr>
          <w:p>
            <w:pPr>
              <w:spacing w:after="0"/>
              <w:rPr>
                <w:sz w:val="22"/>
                <w:szCs w:val="22"/>
                <w:color w:val="auto"/>
              </w:rPr>
            </w:pPr>
          </w:p>
        </w:tc>
      </w:tr>
      <w:tr>
        <w:trPr>
          <w:trHeight w:val="27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1"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color w:val="auto"/>
        </w:rPr>
        <w:t>We are a blank check company with no operating history and no revenues, and you have no basis on which to evaluate our ability to achieve our business objective.</w:t>
      </w:r>
    </w:p>
    <w:p>
      <w:pPr>
        <w:spacing w:after="0" w:line="9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are a blank check company established under the laws of the State of Delaware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ind w:left="1260" w:right="799"/>
        <w:spacing w:after="0" w:line="252" w:lineRule="auto"/>
        <w:rPr>
          <w:sz w:val="20"/>
          <w:szCs w:val="20"/>
          <w:color w:val="auto"/>
        </w:rPr>
      </w:pPr>
      <w:r>
        <w:rPr>
          <w:rFonts w:ascii="Times New Roman" w:cs="Times New Roman" w:eastAsia="Times New Roman" w:hAnsi="Times New Roman"/>
          <w:sz w:val="18"/>
          <w:szCs w:val="18"/>
          <w:b w:val="1"/>
          <w:bCs w:val="1"/>
          <w:color w:val="auto"/>
        </w:rPr>
        <w:t>Our stockholders may not be afforded an opportunity to vote on our proposed initial business combination, which means we may complete our initial business combination even though a majority of our stockholders do not support such a combination.</w:t>
      </w:r>
    </w:p>
    <w:p>
      <w:pPr>
        <w:spacing w:after="0" w:line="108"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We may choose not to hold a stockholder vote to approve our initial business combination if the business combination would not require stockholder approval under applicable law or stock exchange listing requirements. Except for as required by applicable law or stock exchange requirements,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Accordingly, we may complete our initial business combination even if holders of a majority of our common stock do not approve of the business combination we complete. Please see the section entitled “Proposed Business — Stockholders May Not Have the Ability to Approve Our Initial Business Combination” for additional information.</w:t>
      </w:r>
    </w:p>
    <w:p>
      <w:pPr>
        <w:spacing w:after="0" w:line="184" w:lineRule="exact"/>
        <w:rPr>
          <w:sz w:val="20"/>
          <w:szCs w:val="20"/>
          <w:color w:val="auto"/>
        </w:rPr>
      </w:pPr>
    </w:p>
    <w:p>
      <w:pPr>
        <w:ind w:left="1260" w:right="1079"/>
        <w:spacing w:after="0" w:line="271" w:lineRule="auto"/>
        <w:rPr>
          <w:sz w:val="20"/>
          <w:szCs w:val="20"/>
          <w:color w:val="auto"/>
        </w:rPr>
      </w:pPr>
      <w:r>
        <w:rPr>
          <w:rFonts w:ascii="Times New Roman" w:cs="Times New Roman" w:eastAsia="Times New Roman" w:hAnsi="Times New Roman"/>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7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383" w:lineRule="exact"/>
        <w:rPr>
          <w:sz w:val="20"/>
          <w:szCs w:val="20"/>
          <w:color w:val="auto"/>
        </w:rPr>
      </w:pPr>
    </w:p>
    <w:p>
      <w:pPr>
        <w:ind w:left="1260" w:right="899"/>
        <w:spacing w:after="0" w:line="252"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08"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Our initial stockholders will own 20% of our outstanding common stock immediately following the completion of this offering, excluding the private placement shares underlying the private placement units. Our initial stockholders and management team also may from time to time purchase Class A common stock prior to our initial business combination. Our amended and restated certificate of incorporation provides that, if we seek stockholder approval of an initial business combination, such initial business combination will be approved if we receive the affirmative vote of a majority of the shares voted at such meeting, including the founder shares. As a result, in addition to our initial stockholders’ founder shares and private placement shares, we would need 3,562,501, or 35.6%, of the 10,000,000 public shares sold in this offering to be</w:t>
      </w: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4" w:name="page35"/>
    <w:bookmarkEnd w:id="3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voted in favor of an initial business combination in order to have our initial business combination approved (assuming all outstanding shares are voted and the over-allotment option is not exercised).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79" w:lineRule="exact"/>
        <w:rPr>
          <w:sz w:val="20"/>
          <w:szCs w:val="20"/>
          <w:color w:val="auto"/>
        </w:rPr>
      </w:pPr>
    </w:p>
    <w:p>
      <w:pPr>
        <w:ind w:left="1260" w:right="679"/>
        <w:spacing w:after="0" w:line="268"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94"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may seek to enter into a business combination transaction agreement with a prospective target that requires as a closing condition that we have a minimum net worth or a certain amount of cash.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90" w:lineRule="exact"/>
        <w:rPr>
          <w:sz w:val="20"/>
          <w:szCs w:val="20"/>
          <w:color w:val="auto"/>
        </w:rPr>
      </w:pPr>
    </w:p>
    <w:p>
      <w:pPr>
        <w:ind w:left="1260" w:right="679"/>
        <w:spacing w:after="0" w:line="317" w:lineRule="auto"/>
        <w:rPr>
          <w:sz w:val="20"/>
          <w:szCs w:val="20"/>
          <w:color w:val="auto"/>
        </w:rPr>
      </w:pPr>
      <w:r>
        <w:rPr>
          <w:rFonts w:ascii="Times New Roman" w:cs="Times New Roman" w:eastAsia="Times New Roman" w:hAnsi="Times New Roman"/>
          <w:sz w:val="17"/>
          <w:szCs w:val="17"/>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68"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91" w:lineRule="exact"/>
        <w:rPr>
          <w:sz w:val="20"/>
          <w:szCs w:val="20"/>
          <w:color w:val="auto"/>
        </w:rPr>
      </w:pPr>
    </w:p>
    <w:p>
      <w:pPr>
        <w:ind w:left="1260" w:right="679"/>
        <w:spacing w:after="0" w:line="268"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07"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5" w:name="page36"/>
    <w:bookmarkEnd w:id="3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99"/>
        <w:spacing w:after="0" w:line="243" w:lineRule="auto"/>
        <w:rPr>
          <w:sz w:val="20"/>
          <w:szCs w:val="20"/>
          <w:color w:val="auto"/>
        </w:rPr>
      </w:pPr>
      <w:r>
        <w:rPr>
          <w:rFonts w:ascii="Times New Roman" w:cs="Times New Roman" w:eastAsia="Times New Roman" w:hAnsi="Times New Roman"/>
          <w:sz w:val="18"/>
          <w:szCs w:val="18"/>
          <w:b w:val="1"/>
          <w:b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04"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3" w:lineRule="exact"/>
        <w:rPr>
          <w:sz w:val="20"/>
          <w:szCs w:val="20"/>
          <w:color w:val="auto"/>
        </w:rPr>
      </w:pPr>
    </w:p>
    <w:p>
      <w:pPr>
        <w:ind w:left="1260" w:right="939"/>
        <w:spacing w:after="0" w:line="252"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0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266"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76" w:lineRule="exact"/>
        <w:rPr>
          <w:sz w:val="20"/>
          <w:szCs w:val="20"/>
          <w:color w:val="auto"/>
        </w:rPr>
      </w:pPr>
    </w:p>
    <w:p>
      <w:pPr>
        <w:ind w:left="1260" w:right="659"/>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94" w:lineRule="exact"/>
        <w:rPr>
          <w:sz w:val="20"/>
          <w:szCs w:val="20"/>
          <w:color w:val="auto"/>
        </w:rPr>
      </w:pPr>
    </w:p>
    <w:p>
      <w:pPr>
        <w:ind w:left="1260" w:right="779" w:firstLine="360"/>
        <w:spacing w:after="0" w:line="254" w:lineRule="auto"/>
        <w:rPr>
          <w:sz w:val="20"/>
          <w:szCs w:val="20"/>
          <w:color w:val="auto"/>
        </w:rPr>
      </w:pPr>
      <w:r>
        <w:rPr>
          <w:rFonts w:ascii="Times New Roman" w:cs="Times New Roman" w:eastAsia="Times New Roman" w:hAnsi="Times New Roman"/>
          <w:sz w:val="18"/>
          <w:szCs w:val="18"/>
          <w:color w:val="auto"/>
        </w:rPr>
        <w:t>We may not be able to find a suitable target business and complete our initial business combination within 24 months after the closing of this offering.Our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w:t>
      </w: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acquire. If we have not completed our initial business combination within such time period, we will:</w:t>
      </w:r>
    </w:p>
    <w:p>
      <w:pPr>
        <w:spacing w:after="0" w:line="16" w:lineRule="exact"/>
        <w:rPr>
          <w:sz w:val="20"/>
          <w:szCs w:val="20"/>
          <w:color w:val="auto"/>
        </w:rPr>
      </w:pPr>
    </w:p>
    <w:p>
      <w:pPr>
        <w:ind w:left="1260" w:right="719" w:firstLine="2"/>
        <w:spacing w:after="0"/>
        <w:tabs>
          <w:tab w:leader="none" w:pos="14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354" w:lineRule="exact"/>
        <w:rPr>
          <w:sz w:val="20"/>
          <w:szCs w:val="20"/>
          <w:color w:val="auto"/>
        </w:rPr>
      </w:pPr>
    </w:p>
    <w:p>
      <w:pPr>
        <w:ind w:left="1260" w:right="799"/>
        <w:spacing w:after="0" w:line="246"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w:t>
      </w:r>
    </w:p>
    <w:p>
      <w:pPr>
        <w:spacing w:after="0" w:line="100"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shares or public warrants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20"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In the event that our sponsor, initial stockholders, directors, executive officers, advisors or their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of shares could be to vote such shares in favor of the business combination and thereby increase the likelihood of obtaining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stockholders to purchase securities from in any private transaction.</w:t>
      </w:r>
    </w:p>
    <w:p>
      <w:pPr>
        <w:spacing w:after="0" w:line="127"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72" w:lineRule="exact"/>
        <w:rPr>
          <w:sz w:val="20"/>
          <w:szCs w:val="20"/>
          <w:color w:val="auto"/>
        </w:rPr>
      </w:pPr>
    </w:p>
    <w:p>
      <w:pPr>
        <w:ind w:left="1260" w:right="939"/>
        <w:spacing w:after="0" w:line="268" w:lineRule="auto"/>
        <w:rPr>
          <w:sz w:val="20"/>
          <w:szCs w:val="20"/>
          <w:color w:val="auto"/>
        </w:rPr>
      </w:pPr>
      <w:r>
        <w:rPr>
          <w:rFonts w:ascii="Times New Roman" w:cs="Times New Roman" w:eastAsia="Times New Roman" w:hAnsi="Times New Roman"/>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94" w:lineRule="exact"/>
        <w:rPr>
          <w:sz w:val="20"/>
          <w:szCs w:val="20"/>
          <w:color w:val="auto"/>
        </w:rPr>
      </w:pPr>
    </w:p>
    <w:p>
      <w:pPr>
        <w:ind w:left="1260" w:right="759" w:firstLine="360"/>
        <w:spacing w:after="0" w:line="256" w:lineRule="auto"/>
        <w:rPr>
          <w:sz w:val="20"/>
          <w:szCs w:val="20"/>
          <w:color w:val="auto"/>
        </w:rPr>
      </w:pPr>
      <w:r>
        <w:rPr>
          <w:rFonts w:ascii="Times New Roman" w:cs="Times New Roman" w:eastAsia="Times New Roman" w:hAnsi="Times New Roman"/>
          <w:sz w:val="18"/>
          <w:szCs w:val="18"/>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53" w:lineRule="auto"/>
        <w:rPr>
          <w:sz w:val="20"/>
          <w:szCs w:val="20"/>
          <w:color w:val="auto"/>
        </w:rPr>
      </w:pPr>
      <w:r>
        <w:rPr>
          <w:rFonts w:ascii="Times New Roman" w:cs="Times New Roman" w:eastAsia="Times New Roman" w:hAnsi="Times New Roman"/>
          <w:sz w:val="18"/>
          <w:szCs w:val="18"/>
          <w:color w:val="auto"/>
        </w:rPr>
        <w:t>submit public shares for redemption. For example, we intend to require our public stockholders seeking to exercise their redemption rights, whether they are record holders or hold their shares in “street name,” to, at the holder’s option, either deliver their stock certificates to our transfer 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 See the section of this prospectus entitled “Proposed Business — Delivering Stock Certificates in Connection with the Exercise of Redemption Rights.”</w:t>
      </w:r>
    </w:p>
    <w:p>
      <w:pPr>
        <w:spacing w:after="0" w:line="200" w:lineRule="exact"/>
        <w:rPr>
          <w:sz w:val="20"/>
          <w:szCs w:val="20"/>
          <w:color w:val="auto"/>
        </w:rPr>
      </w:pPr>
    </w:p>
    <w:p>
      <w:pPr>
        <w:spacing w:after="0" w:line="202" w:lineRule="exact"/>
        <w:rPr>
          <w:sz w:val="20"/>
          <w:szCs w:val="20"/>
          <w:color w:val="auto"/>
        </w:rPr>
      </w:pPr>
    </w:p>
    <w:p>
      <w:pPr>
        <w:ind w:left="1260" w:right="1379"/>
        <w:spacing w:after="0" w:line="268"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94"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and (iii) the redemption of our public shares if we do not complete an initial business combination within 24 months from the closing of this offering, subject to applicable law and as further described herein. In addition, if we do not complete an initial business combination within 24 months from the closing of this offering, Delaware law may require that we submit a plan of dissolution to our then-existing stockholders for approval prior to the distribution of the proceeds held in our trust account. In that case, public stockholders may be forced to wait beyond 24 months from the closing of this offering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200" w:lineRule="exact"/>
        <w:rPr>
          <w:sz w:val="20"/>
          <w:szCs w:val="20"/>
          <w:color w:val="auto"/>
        </w:rPr>
      </w:pPr>
    </w:p>
    <w:p>
      <w:pPr>
        <w:spacing w:after="0" w:line="205" w:lineRule="exact"/>
        <w:rPr>
          <w:sz w:val="20"/>
          <w:szCs w:val="20"/>
          <w:color w:val="auto"/>
        </w:rPr>
      </w:pPr>
    </w:p>
    <w:p>
      <w:pPr>
        <w:ind w:left="1260" w:right="1119"/>
        <w:spacing w:after="0" w:line="286" w:lineRule="auto"/>
        <w:rPr>
          <w:sz w:val="20"/>
          <w:szCs w:val="20"/>
          <w:color w:val="auto"/>
        </w:rPr>
      </w:pPr>
      <w:r>
        <w:rPr>
          <w:rFonts w:ascii="Times New Roman" w:cs="Times New Roman" w:eastAsia="Times New Roman" w:hAnsi="Times New Roman"/>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9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We have been approved to have our units listed on Nasdaq and our Class A common stock and warrants on or promptly after their date of separation. Although after giving effect to this offering we expect to meet, on a pro forma basis, the minimum initial listing standards set forth in the Nasdaq listing standards, we cannot assure you that our securities will be, or will continue to be, listed on the Nasdaq in the future or prior to our initial business combination. In order to continue listing our securities on the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 million and we would be required to have a minimum of 300 round lot holders of our securities, with at least 50% of such round lot holders holding securities with a market value of at least $2,500. We cannot assure you that we will be able to meet those initial listing requirements at that time.</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69" w:lineRule="exact"/>
        <w:rPr>
          <w:sz w:val="20"/>
          <w:szCs w:val="20"/>
          <w:color w:val="auto"/>
        </w:rPr>
      </w:pPr>
    </w:p>
    <w:p>
      <w:pPr>
        <w:ind w:left="1800" w:hanging="178"/>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rFonts w:ascii="Times New Roman" w:cs="Times New Roman" w:eastAsia="Times New Roman" w:hAnsi="Times New Roman"/>
          <w:sz w:val="18"/>
          <w:szCs w:val="18"/>
          <w:color w:val="auto"/>
        </w:rPr>
      </w:pPr>
    </w:p>
    <w:p>
      <w:pPr>
        <w:ind w:left="1800" w:right="699" w:hanging="178"/>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58"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You will not be entitled to protections normally afforded to investors of many other blank check companies.</w:t>
      </w:r>
    </w:p>
    <w:p>
      <w:pPr>
        <w:spacing w:after="0" w:line="160" w:lineRule="exact"/>
        <w:rPr>
          <w:sz w:val="20"/>
          <w:szCs w:val="20"/>
          <w:color w:val="auto"/>
        </w:rPr>
      </w:pPr>
    </w:p>
    <w:p>
      <w:pPr>
        <w:ind w:left="1260" w:right="719" w:firstLine="360"/>
        <w:spacing w:after="0" w:line="252" w:lineRule="auto"/>
        <w:rPr>
          <w:sz w:val="20"/>
          <w:szCs w:val="20"/>
          <w:color w:val="auto"/>
        </w:rPr>
      </w:pPr>
      <w:r>
        <w:rPr>
          <w:rFonts w:ascii="Times New Roman" w:cs="Times New Roman" w:eastAsia="Times New Roman" w:hAnsi="Times New Roman"/>
          <w:sz w:val="18"/>
          <w:szCs w:val="18"/>
          <w:color w:val="auto"/>
        </w:rPr>
        <w:t>Since the net proceeds of this offering and the sale of the private placement units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units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200" w:lineRule="exact"/>
        <w:rPr>
          <w:sz w:val="20"/>
          <w:szCs w:val="20"/>
          <w:color w:val="auto"/>
        </w:rPr>
      </w:pPr>
    </w:p>
    <w:p>
      <w:pPr>
        <w:spacing w:after="0" w:line="211" w:lineRule="exact"/>
        <w:rPr>
          <w:sz w:val="20"/>
          <w:szCs w:val="20"/>
          <w:color w:val="auto"/>
        </w:rPr>
      </w:pPr>
    </w:p>
    <w:p>
      <w:pPr>
        <w:ind w:left="1260" w:right="779"/>
        <w:spacing w:after="0" w:line="262"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13"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without our prior consent, which we refer to as the “Excess Shares.” However, we would not be restricting our stockholders’ ability to vote all of</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rPr>
          <w:sz w:val="20"/>
          <w:szCs w:val="20"/>
          <w:color w:val="auto"/>
        </w:rPr>
      </w:pPr>
      <w:r>
        <w:rPr>
          <w:rFonts w:ascii="Times New Roman" w:cs="Times New Roman" w:eastAsia="Times New Roman" w:hAnsi="Times New Roman"/>
          <w:sz w:val="18"/>
          <w:szCs w:val="18"/>
          <w:color w:val="auto"/>
        </w:rPr>
        <w:t>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81"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7"/>
          <w:szCs w:val="17"/>
          <w:b w:val="1"/>
          <w:bCs w:val="1"/>
          <w:color w:val="auto"/>
        </w:rPr>
        <w:t>Because of our limited resources and the significant competition for business combination opportunities, it may be more difficult for us to complete our initial business combination. If we do not complete our initial business combination, our public stockholders may receive only their pro rata portion of the funds in the trust account that are available for distribution to public stockholders, and our warrants will expire worthless.</w:t>
      </w:r>
    </w:p>
    <w:p>
      <w:pPr>
        <w:spacing w:after="0" w:line="8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units,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do not complete our initial business combination, our public stockholders may receive only their pro rata portion of the funds in the trust account that are available for distribution to public stockholders, and our warrants will expire worthless.</w:t>
      </w:r>
    </w:p>
    <w:p>
      <w:pPr>
        <w:spacing w:after="0" w:line="334" w:lineRule="exact"/>
        <w:rPr>
          <w:sz w:val="20"/>
          <w:szCs w:val="20"/>
          <w:color w:val="auto"/>
        </w:rPr>
      </w:pPr>
    </w:p>
    <w:p>
      <w:pPr>
        <w:ind w:left="1260" w:right="679"/>
        <w:spacing w:after="0" w:line="266" w:lineRule="auto"/>
        <w:rPr>
          <w:sz w:val="20"/>
          <w:szCs w:val="20"/>
          <w:color w:val="auto"/>
        </w:rPr>
      </w:pPr>
      <w:r>
        <w:rPr>
          <w:rFonts w:ascii="Times New Roman" w:cs="Times New Roman" w:eastAsia="Times New Roman" w:hAnsi="Times New Roman"/>
          <w:sz w:val="17"/>
          <w:szCs w:val="17"/>
          <w:b w:val="1"/>
          <w:bCs w:val="1"/>
          <w:color w:val="auto"/>
        </w:rPr>
        <w:t>If the net proceeds of this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9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Of the net proceeds of this offering, only $750,000 will be available to us initially outside the trust account. We believe that, upon closing of this offering, the funds available to us outside of the trust account will be sufficient to allow us to operate for at least the 24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297"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0" w:name="page41"/>
    <w:bookmarkEnd w:id="4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3" w:lineRule="auto"/>
        <w:rPr>
          <w:sz w:val="20"/>
          <w:szCs w:val="20"/>
          <w:color w:val="auto"/>
        </w:rPr>
      </w:pPr>
      <w:r>
        <w:rPr>
          <w:rFonts w:ascii="Times New Roman" w:cs="Times New Roman" w:eastAsia="Times New Roman" w:hAnsi="Times New Roman"/>
          <w:sz w:val="18"/>
          <w:szCs w:val="18"/>
          <w:color w:val="auto"/>
        </w:rPr>
        <w:t>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private placement-equivalent units of the post-business combination entity at a price of $10.00 per unit at the option of the lender.</w:t>
      </w:r>
    </w:p>
    <w:p>
      <w:pPr>
        <w:spacing w:after="0" w:line="3" w:lineRule="exact"/>
        <w:rPr>
          <w:sz w:val="20"/>
          <w:szCs w:val="20"/>
          <w:color w:val="auto"/>
        </w:rPr>
      </w:pPr>
    </w:p>
    <w:p>
      <w:pPr>
        <w:ind w:left="1260" w:right="699"/>
        <w:spacing w:after="0" w:line="252" w:lineRule="auto"/>
        <w:rPr>
          <w:sz w:val="20"/>
          <w:szCs w:val="20"/>
          <w:color w:val="auto"/>
        </w:rPr>
      </w:pPr>
      <w:r>
        <w:rPr>
          <w:rFonts w:ascii="Times New Roman" w:cs="Times New Roman" w:eastAsia="Times New Roman" w:hAnsi="Times New Roman"/>
          <w:sz w:val="18"/>
          <w:szCs w:val="18"/>
          <w:color w:val="auto"/>
        </w:rPr>
        <w:t>The units would be identical to the private placement units.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do not complete our initial business combination because we do not have sufficient funds available to us, we will be forced to cease operations and liquidate the trust account. Consequently, our public stockholders may only receive an estimated $10.00 per share, or possibly less, on our redemption of our public shares, and our warrants will expire worthless.</w:t>
      </w:r>
    </w:p>
    <w:p>
      <w:pPr>
        <w:spacing w:after="0" w:line="184" w:lineRule="exact"/>
        <w:rPr>
          <w:sz w:val="20"/>
          <w:szCs w:val="20"/>
          <w:color w:val="auto"/>
        </w:rPr>
      </w:pPr>
    </w:p>
    <w:p>
      <w:pPr>
        <w:ind w:left="1260" w:right="659"/>
        <w:spacing w:after="0" w:line="262" w:lineRule="auto"/>
        <w:rPr>
          <w:sz w:val="20"/>
          <w:szCs w:val="20"/>
          <w:color w:val="auto"/>
        </w:rPr>
      </w:pPr>
      <w:r>
        <w:rPr>
          <w:rFonts w:ascii="Times New Roman" w:cs="Times New Roman" w:eastAsia="Times New Roman" w:hAnsi="Times New Roman"/>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99"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87" w:lineRule="exact"/>
        <w:rPr>
          <w:sz w:val="20"/>
          <w:szCs w:val="20"/>
          <w:color w:val="auto"/>
        </w:rPr>
      </w:pPr>
    </w:p>
    <w:p>
      <w:pPr>
        <w:ind w:left="1260" w:right="1019"/>
        <w:spacing w:after="0" w:line="286" w:lineRule="auto"/>
        <w:rPr>
          <w:sz w:val="20"/>
          <w:szCs w:val="20"/>
          <w:color w:val="auto"/>
        </w:rPr>
      </w:pPr>
      <w:r>
        <w:rPr>
          <w:rFonts w:ascii="Times New Roman" w:cs="Times New Roman" w:eastAsia="Times New Roman" w:hAnsi="Times New Roman"/>
          <w:sz w:val="18"/>
          <w:szCs w:val="18"/>
          <w:b w:val="1"/>
          <w:bCs w:val="1"/>
          <w:color w:val="auto"/>
        </w:rPr>
        <w:t>If third parties bring claims against us, the proceeds held in the trust account could be reduced and the per-share redemption amount received by stockholders may be less than $10.00 per share.</w:t>
      </w:r>
    </w:p>
    <w:p>
      <w:pPr>
        <w:spacing w:after="0" w:line="91"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Our placing of funds in the trust account may not protect those funds from third 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The underwriters of this offering will not execute agreements with us waiving such claims to the monies held in the trust account.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do not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75" w:lineRule="exact"/>
        <w:rPr>
          <w:sz w:val="20"/>
          <w:szCs w:val="20"/>
          <w:color w:val="auto"/>
        </w:rPr>
      </w:pPr>
    </w:p>
    <w:p>
      <w:pPr>
        <w:ind w:left="1260" w:right="779"/>
        <w:spacing w:after="0" w:line="301" w:lineRule="auto"/>
        <w:rPr>
          <w:sz w:val="20"/>
          <w:szCs w:val="20"/>
          <w:color w:val="auto"/>
        </w:rPr>
      </w:pPr>
      <w:r>
        <w:rPr>
          <w:rFonts w:ascii="Times New Roman" w:cs="Times New Roman" w:eastAsia="Times New Roman" w:hAnsi="Times New Roman"/>
          <w:sz w:val="17"/>
          <w:szCs w:val="17"/>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54"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We may not have sufficient funds to satisfy indemnification claims of our directors and executive officers.</w:t>
      </w:r>
    </w:p>
    <w:p>
      <w:pPr>
        <w:spacing w:after="0" w:line="16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61" w:lineRule="auto"/>
        <w:rPr>
          <w:sz w:val="20"/>
          <w:szCs w:val="20"/>
          <w:color w:val="auto"/>
        </w:rPr>
      </w:pPr>
      <w:r>
        <w:rPr>
          <w:rFonts w:ascii="Times New Roman" w:cs="Times New Roman" w:eastAsia="Times New Roman" w:hAnsi="Times New Roman"/>
          <w:sz w:val="18"/>
          <w:szCs w:val="18"/>
          <w:color w:val="auto"/>
        </w:rPr>
        <w:t>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76" w:lineRule="exact"/>
        <w:rPr>
          <w:sz w:val="20"/>
          <w:szCs w:val="20"/>
          <w:color w:val="auto"/>
        </w:rPr>
      </w:pPr>
    </w:p>
    <w:p>
      <w:pPr>
        <w:ind w:left="1260" w:right="759"/>
        <w:spacing w:after="0" w:line="259" w:lineRule="auto"/>
        <w:rPr>
          <w:sz w:val="20"/>
          <w:szCs w:val="20"/>
          <w:color w:val="auto"/>
        </w:rPr>
      </w:pPr>
      <w:r>
        <w:rPr>
          <w:rFonts w:ascii="Times New Roman" w:cs="Times New Roman" w:eastAsia="Times New Roman" w:hAnsi="Times New Roman"/>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0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88"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7"/>
          <w:szCs w:val="17"/>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98"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83" w:lineRule="exact"/>
        <w:rPr>
          <w:sz w:val="20"/>
          <w:szCs w:val="20"/>
          <w:color w:val="auto"/>
        </w:rPr>
      </w:pPr>
    </w:p>
    <w:p>
      <w:pPr>
        <w:ind w:left="1260" w:right="699"/>
        <w:spacing w:after="0" w:line="268"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7"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w:t>
      </w:r>
    </w:p>
    <w:p>
      <w:pPr>
        <w:spacing w:after="0" w:line="54" w:lineRule="exact"/>
        <w:rPr>
          <w:sz w:val="20"/>
          <w:szCs w:val="20"/>
          <w:color w:val="auto"/>
        </w:rPr>
      </w:pPr>
    </w:p>
    <w:p>
      <w:pPr>
        <w:ind w:left="1800" w:hanging="178"/>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nature of our investments;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issuance of securities,</w:t>
      </w:r>
    </w:p>
    <w:p>
      <w:pPr>
        <w:spacing w:after="0" w:line="158"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each of which may make it difficult for us to complete our initial business combination. In addition, we may have imposed upon us burdensome requirements, including:</w:t>
      </w:r>
    </w:p>
    <w:p>
      <w:pPr>
        <w:spacing w:after="0" w:line="54" w:lineRule="exact"/>
        <w:rPr>
          <w:sz w:val="20"/>
          <w:szCs w:val="20"/>
          <w:color w:val="auto"/>
        </w:rPr>
      </w:pPr>
    </w:p>
    <w:p>
      <w:pPr>
        <w:ind w:left="1800" w:hanging="178"/>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as an investment company with the SEC;</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specific form of corporate structure; and</w:t>
      </w:r>
    </w:p>
    <w:p>
      <w:pPr>
        <w:spacing w:after="0" w:line="117" w:lineRule="exact"/>
        <w:rPr>
          <w:rFonts w:ascii="Times New Roman" w:cs="Times New Roman" w:eastAsia="Times New Roman" w:hAnsi="Times New Roman"/>
          <w:sz w:val="18"/>
          <w:szCs w:val="18"/>
          <w:color w:val="auto"/>
        </w:rPr>
      </w:pPr>
    </w:p>
    <w:p>
      <w:pPr>
        <w:ind w:left="1800" w:right="779" w:hanging="178"/>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record keeping, voting, proxy and disclosure requirements and other rules and regulations that we are not subject to.</w:t>
      </w:r>
    </w:p>
    <w:p>
      <w:pPr>
        <w:spacing w:after="0" w:line="94"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66" w:lineRule="auto"/>
        <w:rPr>
          <w:sz w:val="20"/>
          <w:szCs w:val="20"/>
          <w:color w:val="auto"/>
        </w:rPr>
      </w:pPr>
      <w:r>
        <w:rPr>
          <w:rFonts w:ascii="Times New Roman" w:cs="Times New Roman" w:eastAsia="Times New Roman" w:hAnsi="Times New Roman"/>
          <w:sz w:val="18"/>
          <w:szCs w:val="18"/>
          <w:color w:val="auto"/>
        </w:rPr>
        <w:t>term. We do not plan to buy businesses or assets with a view to resale or profit from their resale. We do not plan to buy unrelated businesses or assets or to be a passive investor.</w:t>
      </w:r>
    </w:p>
    <w:p>
      <w:pPr>
        <w:spacing w:after="0" w:line="81"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and (iii) absent an initial business combination within 24 months from the closing of this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307" w:lineRule="exact"/>
        <w:rPr>
          <w:sz w:val="20"/>
          <w:szCs w:val="20"/>
          <w:color w:val="auto"/>
        </w:rPr>
      </w:pPr>
    </w:p>
    <w:p>
      <w:pPr>
        <w:ind w:left="1260" w:right="859"/>
        <w:spacing w:after="0" w:line="252"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08"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383"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color w:val="auto"/>
        </w:rPr>
        <w:t>Our stockholders may be held liable for claims by third parties against us to the extent of distributions received by them upon redemption of their shares.</w:t>
      </w:r>
    </w:p>
    <w:p>
      <w:pPr>
        <w:spacing w:after="0" w:line="90"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Under the DGCL, stockholders may be held liable for claims by third parties against a corporation to the extent of distributions received by them in a dissolution. The pro rata portion of the funds in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0" w:lineRule="auto"/>
        <w:rPr>
          <w:sz w:val="20"/>
          <w:szCs w:val="20"/>
          <w:color w:val="auto"/>
        </w:rPr>
      </w:pPr>
      <w:r>
        <w:rPr>
          <w:rFonts w:ascii="Times New Roman" w:cs="Times New Roman" w:eastAsia="Times New Roman" w:hAnsi="Times New Roman"/>
          <w:sz w:val="18"/>
          <w:szCs w:val="18"/>
          <w:color w:val="auto"/>
        </w:rPr>
        <w:t>shares as soon as reasonably possible following the 24th month from the closing of this offering in the event we do not complete our initial business combination and, therefore, we do not intend to comply with the foregoing procedures.</w:t>
      </w:r>
    </w:p>
    <w:p>
      <w:pPr>
        <w:spacing w:after="0" w:line="9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the funds in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329" w:lineRule="exact"/>
        <w:rPr>
          <w:sz w:val="20"/>
          <w:szCs w:val="20"/>
          <w:color w:val="auto"/>
        </w:rPr>
      </w:pPr>
    </w:p>
    <w:p>
      <w:pPr>
        <w:ind w:left="1260" w:right="1299"/>
        <w:spacing w:after="0" w:line="271" w:lineRule="auto"/>
        <w:rPr>
          <w:sz w:val="20"/>
          <w:szCs w:val="20"/>
          <w:color w:val="auto"/>
        </w:rPr>
      </w:pPr>
      <w:r>
        <w:rPr>
          <w:rFonts w:ascii="Times New Roman" w:cs="Times New Roman" w:eastAsia="Times New Roman" w:hAnsi="Times New Roman"/>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90"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400" w:lineRule="exact"/>
        <w:rPr>
          <w:sz w:val="20"/>
          <w:szCs w:val="20"/>
          <w:color w:val="auto"/>
        </w:rPr>
      </w:pPr>
    </w:p>
    <w:p>
      <w:pPr>
        <w:ind w:left="1260" w:right="1199"/>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be permitted to exercise your warrants unless we register and qualify the underlying Class A common stock or certain exemptions are available.</w:t>
      </w:r>
    </w:p>
    <w:p>
      <w:pPr>
        <w:spacing w:after="0" w:line="91"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If the issuance of the Class A common stock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common stock included in the units.</w:t>
      </w:r>
    </w:p>
    <w:p>
      <w:pPr>
        <w:spacing w:after="0" w:line="102"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We are not registering the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w:t>
      </w: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19"/>
        <w:spacing w:after="0" w:line="250" w:lineRule="auto"/>
        <w:rPr>
          <w:sz w:val="20"/>
          <w:szCs w:val="20"/>
          <w:color w:val="auto"/>
        </w:rPr>
      </w:pPr>
      <w:r>
        <w:rPr>
          <w:rFonts w:ascii="Times New Roman" w:cs="Times New Roman" w:eastAsia="Times New Roman" w:hAnsi="Times New Roman"/>
          <w:sz w:val="18"/>
          <w:szCs w:val="18"/>
          <w:color w:val="auto"/>
        </w:rPr>
        <w:t>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96" w:lineRule="exact"/>
        <w:rPr>
          <w:sz w:val="20"/>
          <w:szCs w:val="20"/>
          <w:color w:val="auto"/>
        </w:rPr>
      </w:pPr>
    </w:p>
    <w:p>
      <w:pPr>
        <w:jc w:val="both"/>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If the shares of Class A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13"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13" w:lineRule="exact"/>
        <w:rPr>
          <w:sz w:val="20"/>
          <w:szCs w:val="20"/>
          <w:color w:val="auto"/>
        </w:rPr>
      </w:pPr>
    </w:p>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If our shares of Class A common stock are at the time of any exercise of a warrant not listed on a national securities exchange such that they satisfy the definition of “covered securities” under Section 18(b)</w:t>
      </w:r>
    </w:p>
    <w:p>
      <w:pPr>
        <w:spacing w:after="0" w:line="1" w:lineRule="exact"/>
        <w:rPr>
          <w:sz w:val="20"/>
          <w:szCs w:val="20"/>
          <w:color w:val="auto"/>
        </w:rPr>
      </w:pPr>
    </w:p>
    <w:p>
      <w:pPr>
        <w:ind w:left="1260" w:right="699" w:firstLine="2"/>
        <w:spacing w:after="0"/>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291"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77" w:lineRule="exact"/>
        <w:rPr>
          <w:sz w:val="20"/>
          <w:szCs w:val="20"/>
          <w:color w:val="auto"/>
        </w:rPr>
      </w:pPr>
    </w:p>
    <w:p>
      <w:pPr>
        <w:jc w:val="both"/>
        <w:ind w:left="1260" w:right="719"/>
        <w:spacing w:after="0" w:line="252" w:lineRule="auto"/>
        <w:rPr>
          <w:sz w:val="20"/>
          <w:szCs w:val="20"/>
          <w:color w:val="auto"/>
        </w:rPr>
      </w:pPr>
      <w:r>
        <w:rPr>
          <w:rFonts w:ascii="Times New Roman" w:cs="Times New Roman" w:eastAsia="Times New Roman" w:hAnsi="Times New Roman"/>
          <w:sz w:val="18"/>
          <w:szCs w:val="18"/>
          <w:b w:val="1"/>
          <w:bCs w:val="1"/>
          <w:color w:val="auto"/>
        </w:rPr>
        <w:t>You may only be able to exercise your public warrants on a “cashless basis” under certain circumstances, and if you do so, you will receive fewer shares of Class A common stock from such exercise than if you were to exercise such warrants for cash.</w:t>
      </w:r>
    </w:p>
    <w:p>
      <w:pPr>
        <w:spacing w:after="0" w:line="108" w:lineRule="exact"/>
        <w:rPr>
          <w:sz w:val="20"/>
          <w:szCs w:val="20"/>
          <w:color w:val="auto"/>
        </w:rPr>
      </w:pPr>
    </w:p>
    <w:p>
      <w:pPr>
        <w:ind w:left="1260" w:right="739" w:firstLine="360"/>
        <w:spacing w:after="0" w:line="236" w:lineRule="auto"/>
        <w:rPr>
          <w:sz w:val="20"/>
          <w:szCs w:val="20"/>
          <w:color w:val="auto"/>
        </w:rPr>
      </w:pPr>
      <w:r>
        <w:rPr>
          <w:rFonts w:ascii="Times New Roman" w:cs="Times New Roman" w:eastAsia="Times New Roman" w:hAnsi="Times New Roman"/>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shares of Class A common stock issuable upon exercise of the warrants are not registered under the Securities Act in accordance with the terms of the warrant agreement; (ii) if we have so elected and the shares of Class A common stock is at the time of any exercise of a warrant not listed on a national securities exchange such that they satisfy the definition of “covered securities” under Section 18(b)(1) of the Securities Act; and (iii) if we have so elected and we call the public warrants for redemption. If you exercise your public warrants on a cashless basis, you would pay the warrant exercise price by surrendering the warrants for that number of shares of Class A common stock equal to the quotient obtained by dividing (x) the product of the number of shares of Class A common stock underlying the warrants, multiplied by the excess of the “fair market value” of our shares of Class A common stock (as defined in the next sentence) over the exercise price of the warrants by</w:t>
      </w:r>
    </w:p>
    <w:p>
      <w:pPr>
        <w:spacing w:after="0" w:line="8" w:lineRule="exact"/>
        <w:rPr>
          <w:sz w:val="20"/>
          <w:szCs w:val="20"/>
          <w:color w:val="auto"/>
        </w:rPr>
      </w:pPr>
    </w:p>
    <w:p>
      <w:pPr>
        <w:ind w:left="1260" w:right="739" w:firstLine="2"/>
        <w:spacing w:after="0" w:line="237" w:lineRule="auto"/>
        <w:tabs>
          <w:tab w:leader="none" w:pos="152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The “fair market value” is the average reported closing price of the shares of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83" w:lineRule="exact"/>
        <w:rPr>
          <w:sz w:val="20"/>
          <w:szCs w:val="20"/>
          <w:color w:val="auto"/>
        </w:rPr>
      </w:pPr>
    </w:p>
    <w:p>
      <w:pPr>
        <w:ind w:left="1260" w:right="699"/>
        <w:spacing w:after="0" w:line="252"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initial stockholders and holders of our private placement units may make it more difficult to complete our initial business combination, and the future exercise of such rights may adversely affect the market price of our shares of Class A common stock.</w:t>
      </w:r>
    </w:p>
    <w:p>
      <w:pPr>
        <w:spacing w:after="0" w:line="108"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Pursuant to an agreement to be entered into concurrently with the issuance and sale of the securities in this offering, our initial stockholders, the holders of our private placement units, the holders of units that may be issued upon conversion of working capital loans and their permitted transferees can demand that we</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6" w:name="page47"/>
    <w:bookmarkEnd w:id="4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2" w:lineRule="auto"/>
        <w:rPr>
          <w:sz w:val="20"/>
          <w:szCs w:val="20"/>
          <w:color w:val="auto"/>
        </w:rPr>
      </w:pPr>
      <w:r>
        <w:rPr>
          <w:rFonts w:ascii="Times New Roman" w:cs="Times New Roman" w:eastAsia="Times New Roman" w:hAnsi="Times New Roman"/>
          <w:sz w:val="18"/>
          <w:szCs w:val="18"/>
          <w:color w:val="auto"/>
        </w:rPr>
        <w:t>register shares of Class A common stock into which founder shares are convertible, the private placement units, the private placement shares, the private placement warrants and the shares Class A common stock issuable upon exercise of the private placement warrants, the units, shares, warrants or the Class A common stock issuable upon exercise of warrants that may be issued upon conversion of working capital loans and any other securities of the company acquired by them prior to the consummation of our initial business combination.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Class A common stock owned by our initial stockholders, holders of our private placement units or holders of our working capital loans or their respective permitted transferees are registered.</w:t>
      </w:r>
    </w:p>
    <w:p>
      <w:pPr>
        <w:spacing w:after="0" w:line="200" w:lineRule="exact"/>
        <w:rPr>
          <w:sz w:val="20"/>
          <w:szCs w:val="20"/>
          <w:color w:val="auto"/>
        </w:rPr>
      </w:pPr>
    </w:p>
    <w:p>
      <w:pPr>
        <w:spacing w:after="0" w:line="211" w:lineRule="exact"/>
        <w:rPr>
          <w:sz w:val="20"/>
          <w:szCs w:val="20"/>
          <w:color w:val="auto"/>
        </w:rPr>
      </w:pPr>
    </w:p>
    <w:p>
      <w:pPr>
        <w:ind w:left="1260" w:right="759"/>
        <w:spacing w:after="0" w:line="268" w:lineRule="auto"/>
        <w:rPr>
          <w:sz w:val="20"/>
          <w:szCs w:val="20"/>
          <w:color w:val="auto"/>
        </w:rPr>
      </w:pPr>
      <w:r>
        <w:rPr>
          <w:rFonts w:ascii="Times New Roman" w:cs="Times New Roman" w:eastAsia="Times New Roman" w:hAnsi="Times New Roman"/>
          <w:sz w:val="18"/>
          <w:szCs w:val="18"/>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94" w:lineRule="exact"/>
        <w:rPr>
          <w:sz w:val="20"/>
          <w:szCs w:val="20"/>
          <w:color w:val="auto"/>
        </w:rPr>
      </w:pPr>
    </w:p>
    <w:p>
      <w:pPr>
        <w:ind w:left="1260" w:right="699" w:firstLine="360"/>
        <w:spacing w:after="0" w:line="251" w:lineRule="auto"/>
        <w:rPr>
          <w:sz w:val="20"/>
          <w:szCs w:val="20"/>
          <w:color w:val="auto"/>
        </w:rPr>
      </w:pPr>
      <w:r>
        <w:rPr>
          <w:rFonts w:ascii="Times New Roman" w:cs="Times New Roman" w:eastAsia="Times New Roman" w:hAnsi="Times New Roman"/>
          <w:sz w:val="18"/>
          <w:szCs w:val="18"/>
          <w:color w:val="auto"/>
        </w:rPr>
        <w:t>Our efforts to identify a prospective initial business combination target will not be limited to a particular industry, sector or geographic region. While we may pursue an initial business combination opportunity in any industry or sector, we intend to focus on industries that complement our management team’s background in life sciences and life sciences related industries, and to capitalize on the ability of our management team to identify and acquire a business within those industries. Our amended and restated certificate of incorporation prohibits us from effectuating a business combination with another blank check company or similar company with nominal operations. 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200" w:lineRule="exact"/>
        <w:rPr>
          <w:sz w:val="20"/>
          <w:szCs w:val="20"/>
          <w:color w:val="auto"/>
        </w:rPr>
      </w:pPr>
    </w:p>
    <w:p>
      <w:pPr>
        <w:spacing w:after="0" w:line="216"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color w:val="auto"/>
        </w:rPr>
        <w:t>Past performance by our management team and their affiliates may not be indicative of future performance of an investment in us.</w:t>
      </w:r>
    </w:p>
    <w:p>
      <w:pPr>
        <w:spacing w:after="0" w:line="91"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Information regarding performance by, or businesses associated with, our management team or businesses associated with them is presented for informational purposes only. Past performance by our management team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 or businesses associated with them as indicative of our future performance of an investment in us or the returns we will, or is likely to, generate going forward.</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1619"/>
        <w:spacing w:after="0" w:line="271" w:lineRule="auto"/>
        <w:rPr>
          <w:sz w:val="20"/>
          <w:szCs w:val="20"/>
          <w:color w:val="auto"/>
        </w:rPr>
      </w:pPr>
      <w:r>
        <w:rPr>
          <w:rFonts w:ascii="Times New Roman" w:cs="Times New Roman" w:eastAsia="Times New Roman" w:hAnsi="Times New Roman"/>
          <w:sz w:val="18"/>
          <w:szCs w:val="18"/>
          <w:b w:val="1"/>
          <w:bCs w:val="1"/>
          <w:color w:val="auto"/>
        </w:rPr>
        <w:t>We may seek business combination opportunities in industries or sectors that may be outside of our management’s areas of expertise.</w:t>
      </w:r>
    </w:p>
    <w:p>
      <w:pPr>
        <w:spacing w:after="0" w:line="77" w:lineRule="exact"/>
        <w:rPr>
          <w:sz w:val="20"/>
          <w:szCs w:val="20"/>
          <w:color w:val="auto"/>
        </w:rPr>
      </w:pPr>
    </w:p>
    <w:p>
      <w:pPr>
        <w:ind w:left="1260" w:right="779" w:firstLine="360"/>
        <w:spacing w:after="0" w:line="239" w:lineRule="auto"/>
        <w:rPr>
          <w:sz w:val="20"/>
          <w:szCs w:val="20"/>
          <w:color w:val="auto"/>
        </w:rPr>
      </w:pPr>
      <w:r>
        <w:rPr>
          <w:rFonts w:ascii="Times New Roman" w:cs="Times New Roman" w:eastAsia="Times New Roman" w:hAnsi="Times New Roman"/>
          <w:sz w:val="18"/>
          <w:szCs w:val="18"/>
          <w:color w:val="auto"/>
        </w:rPr>
        <w:t>We will consider a business combination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w:t>
      </w:r>
    </w:p>
    <w:p>
      <w:pPr>
        <w:spacing w:after="0" w:line="2" w:lineRule="exact"/>
        <w:rPr>
          <w:sz w:val="20"/>
          <w:szCs w:val="20"/>
          <w:color w:val="auto"/>
        </w:rPr>
      </w:pPr>
    </w:p>
    <w:p>
      <w:pPr>
        <w:ind w:left="1260" w:right="779"/>
        <w:spacing w:after="0" w:line="243" w:lineRule="auto"/>
        <w:rPr>
          <w:sz w:val="20"/>
          <w:szCs w:val="20"/>
          <w:color w:val="auto"/>
        </w:rPr>
      </w:pPr>
      <w:r>
        <w:rPr>
          <w:rFonts w:ascii="Times New Roman" w:cs="Times New Roman" w:eastAsia="Times New Roman" w:hAnsi="Times New Roman"/>
          <w:sz w:val="18"/>
          <w:szCs w:val="18"/>
          <w:color w:val="auto"/>
        </w:rPr>
        <w:t>our units will not ultimately prove to be less favorable to investors in this offering than a direct investment, if an opportunity were available, in a business combination candidate.</w:t>
      </w:r>
    </w:p>
    <w:p>
      <w:pPr>
        <w:spacing w:after="0" w:line="178" w:lineRule="exact"/>
        <w:rPr>
          <w:sz w:val="20"/>
          <w:szCs w:val="20"/>
          <w:color w:val="auto"/>
        </w:rPr>
      </w:pPr>
    </w:p>
    <w:p>
      <w:pPr>
        <w:ind w:left="1260" w:right="1019"/>
        <w:spacing w:after="0" w:line="266" w:lineRule="auto"/>
        <w:rPr>
          <w:sz w:val="20"/>
          <w:szCs w:val="20"/>
          <w:color w:val="auto"/>
        </w:rPr>
      </w:pPr>
      <w:r>
        <w:rPr>
          <w:rFonts w:ascii="Times New Roman" w:cs="Times New Roman" w:eastAsia="Times New Roman" w:hAnsi="Times New Roman"/>
          <w:sz w:val="17"/>
          <w:szCs w:val="17"/>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9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we decide to obtain stockholder approval for business or other legal reasons, it may be more difficult for us to attain stockholder approval of our initial business combination if the target business does not meet our general criteria and guidelines.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356" w:lineRule="exact"/>
        <w:rPr>
          <w:sz w:val="20"/>
          <w:szCs w:val="20"/>
          <w:color w:val="auto"/>
        </w:rPr>
      </w:pPr>
    </w:p>
    <w:p>
      <w:pPr>
        <w:jc w:val="both"/>
        <w:ind w:left="1260" w:right="1039"/>
        <w:spacing w:after="0" w:line="252" w:lineRule="auto"/>
        <w:rPr>
          <w:sz w:val="20"/>
          <w:szCs w:val="20"/>
          <w:color w:val="auto"/>
        </w:rPr>
      </w:pPr>
      <w:r>
        <w:rPr>
          <w:rFonts w:ascii="Times New Roman" w:cs="Times New Roman" w:eastAsia="Times New Roman" w:hAnsi="Times New Roman"/>
          <w:sz w:val="18"/>
          <w:szCs w:val="18"/>
          <w:b w:val="1"/>
          <w:bCs w:val="1"/>
          <w:color w:val="auto"/>
        </w:rPr>
        <w:t>We are not required to obtain an opinion from an independent accounting or investment banking firm, and consequently, you may have no assurance from an independent source that the price we are paying for the business is fair to our stockholders from a financial point of view.</w:t>
      </w:r>
    </w:p>
    <w:p>
      <w:pPr>
        <w:spacing w:after="0" w:line="108"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Unless we complete our initial business combination with an affiliated entity, we are not required to obtain an opinion from an independent accounting firm or independent investment banking firm which is a member of FINRA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185" w:lineRule="exact"/>
        <w:rPr>
          <w:sz w:val="20"/>
          <w:szCs w:val="20"/>
          <w:color w:val="auto"/>
        </w:rPr>
      </w:pPr>
    </w:p>
    <w:p>
      <w:pPr>
        <w:ind w:left="1260" w:right="699"/>
        <w:spacing w:after="0" w:line="257" w:lineRule="auto"/>
        <w:rPr>
          <w:sz w:val="20"/>
          <w:szCs w:val="20"/>
          <w:color w:val="auto"/>
        </w:rPr>
      </w:pPr>
      <w:r>
        <w:rPr>
          <w:rFonts w:ascii="Times New Roman" w:cs="Times New Roman" w:eastAsia="Times New Roman" w:hAnsi="Times New Roman"/>
          <w:sz w:val="18"/>
          <w:szCs w:val="18"/>
          <w:b w:val="1"/>
          <w:b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05"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380,000,000 shares of Class A common stock, par value $0.0001 per share, 20,000,000 shares of Class B common stock, par value $0.0001 per share, and 1,000,000 shares of preferred stock, par value $0.0001 per share. Immediately after this offering, there will be 369,625,000 and 17,500,000 (assuming in each case that the underwriters have not exercised their over-allotment option and the forfeiture of 375,000 shares of Class B common stock) authorized but unissued shares of Class A common stock and Class B common stock, respectively, available for issuance. The Class B common stock is automatically convertible into Class A</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45" w:lineRule="auto"/>
        <w:rPr>
          <w:sz w:val="20"/>
          <w:szCs w:val="20"/>
          <w:color w:val="auto"/>
        </w:rPr>
      </w:pPr>
      <w:r>
        <w:rPr>
          <w:rFonts w:ascii="Times New Roman" w:cs="Times New Roman" w:eastAsia="Times New Roman" w:hAnsi="Times New Roman"/>
          <w:sz w:val="18"/>
          <w:szCs w:val="18"/>
          <w:color w:val="auto"/>
        </w:rPr>
        <w:t>common stock concurrently with or immediately following the consummation of our initial business combination, initially at a one-for-one ratio but subject to adjustment as set forth herein and in our amended and restated certificate of incorporation. Immediately after this offering, there will be no shares of preferred stock issued and outstanding.</w:t>
      </w:r>
    </w:p>
    <w:p>
      <w:pPr>
        <w:spacing w:after="0" w:line="100"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to redeem the warrants or upon conversion of the Class B common stock at a ratio greater than one-to-one at the time of our initial business combination as a result of the anti-dilution provisions as set forth therein. However, our amended and restated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w:t>
      </w:r>
    </w:p>
    <w:p>
      <w:pPr>
        <w:spacing w:after="0" w:line="5" w:lineRule="exact"/>
        <w:rPr>
          <w:sz w:val="20"/>
          <w:szCs w:val="20"/>
          <w:color w:val="auto"/>
        </w:rPr>
      </w:pPr>
    </w:p>
    <w:p>
      <w:pPr>
        <w:ind w:left="1260" w:right="739" w:firstLine="2"/>
        <w:spacing w:after="0" w:line="234" w:lineRule="auto"/>
        <w:tabs>
          <w:tab w:leader="none" w:pos="15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(x) extend the time we have to consummate a business combination beyond 24 months from the closing of this offering or</w:t>
      </w:r>
    </w:p>
    <w:p>
      <w:pPr>
        <w:spacing w:after="0" w:line="1" w:lineRule="exact"/>
        <w:rPr>
          <w:rFonts w:ascii="Times New Roman" w:cs="Times New Roman" w:eastAsia="Times New Roman" w:hAnsi="Times New Roman"/>
          <w:sz w:val="18"/>
          <w:szCs w:val="18"/>
          <w:color w:val="auto"/>
        </w:rPr>
      </w:pPr>
    </w:p>
    <w:p>
      <w:pPr>
        <w:ind w:left="1260" w:right="779" w:firstLine="2"/>
        <w:spacing w:after="0" w:line="239" w:lineRule="auto"/>
        <w:tabs>
          <w:tab w:leader="none" w:pos="15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foregoing provisions. These provisions of our amended and restated certificate of incorporation, like all provisions of our amended and restated certificate of incorporation, may be amended with a stockholder vote. The issuance of additional shares of common stock or shares of preferred stock:</w:t>
      </w:r>
    </w:p>
    <w:p>
      <w:pPr>
        <w:spacing w:after="0" w:line="6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w:t>
      </w:r>
    </w:p>
    <w:p>
      <w:pPr>
        <w:spacing w:after="0" w:line="76" w:lineRule="exact"/>
        <w:rPr>
          <w:rFonts w:ascii="Times New Roman" w:cs="Times New Roman" w:eastAsia="Times New Roman" w:hAnsi="Times New Roman"/>
          <w:sz w:val="18"/>
          <w:szCs w:val="18"/>
          <w:color w:val="auto"/>
        </w:rPr>
      </w:pPr>
    </w:p>
    <w:p>
      <w:pPr>
        <w:ind w:left="1800" w:right="1179" w:hanging="178"/>
        <w:spacing w:after="0" w:line="282" w:lineRule="auto"/>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shares of preferred stock are issued with rights senior to those afforded our Class A common stock;</w:t>
      </w:r>
    </w:p>
    <w:p>
      <w:pPr>
        <w:spacing w:after="0" w:line="13" w:lineRule="exact"/>
        <w:rPr>
          <w:rFonts w:ascii="Times New Roman" w:cs="Times New Roman" w:eastAsia="Times New Roman" w:hAnsi="Times New Roman"/>
          <w:sz w:val="18"/>
          <w:szCs w:val="18"/>
          <w:color w:val="auto"/>
        </w:rPr>
      </w:pPr>
    </w:p>
    <w:p>
      <w:pPr>
        <w:jc w:val="both"/>
        <w:ind w:left="1800" w:right="699" w:hanging="178"/>
        <w:spacing w:after="0" w:line="266" w:lineRule="auto"/>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2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units, Class A common stock and/or warrants.</w:t>
      </w:r>
    </w:p>
    <w:p>
      <w:pPr>
        <w:spacing w:after="0" w:line="181" w:lineRule="exact"/>
        <w:rPr>
          <w:sz w:val="20"/>
          <w:szCs w:val="20"/>
          <w:color w:val="auto"/>
        </w:rPr>
      </w:pPr>
    </w:p>
    <w:p>
      <w:pPr>
        <w:ind w:left="1260" w:right="839"/>
        <w:spacing w:after="0" w:line="252" w:lineRule="auto"/>
        <w:rPr>
          <w:sz w:val="20"/>
          <w:szCs w:val="20"/>
          <w:color w:val="auto"/>
        </w:rPr>
      </w:pPr>
      <w:r>
        <w:rPr>
          <w:rFonts w:ascii="Times New Roman" w:cs="Times New Roman" w:eastAsia="Times New Roman" w:hAnsi="Times New Roman"/>
          <w:sz w:val="18"/>
          <w:szCs w:val="18"/>
          <w:b w:val="1"/>
          <w:bCs w:val="1"/>
          <w:color w:val="auto"/>
        </w:rPr>
        <w:t>Unlike some other similarly structured special purpose acquisition companies, our initial stockholders will receive additional shares of Class A common stock if we issue certain shares to consummate an initial business combination.</w:t>
      </w:r>
    </w:p>
    <w:p>
      <w:pPr>
        <w:spacing w:after="0" w:line="81"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and excluding the private placement shares underlying the private placement warrants),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 -linked securities or rights exercisable for or convertible into shares of Class A common stock issued, or to be issued, to any seller in the initial business combination and any private placement units issued to our sponsor, officers or directors upon conversion of working capital loans, provided that such conversion of founder shares will never occur on a less than one - for-one basis. This is different than some other similarly structured special purpose acquisition companies in which the initial stockholders will only be issued an aggregate of 20% of the total number of shares to be outstanding prior to our initial business combination.</w:t>
      </w:r>
    </w:p>
    <w:p>
      <w:pPr>
        <w:spacing w:after="0" w:line="334" w:lineRule="exact"/>
        <w:rPr>
          <w:sz w:val="20"/>
          <w:szCs w:val="20"/>
          <w:color w:val="auto"/>
        </w:rPr>
      </w:pPr>
    </w:p>
    <w:p>
      <w:pPr>
        <w:ind w:left="1260" w:right="679"/>
        <w:spacing w:after="0" w:line="243" w:lineRule="auto"/>
        <w:rPr>
          <w:sz w:val="20"/>
          <w:szCs w:val="20"/>
          <w:color w:val="auto"/>
        </w:rPr>
      </w:pPr>
      <w:r>
        <w:rPr>
          <w:rFonts w:ascii="Times New Roman" w:cs="Times New Roman" w:eastAsia="Times New Roman" w:hAnsi="Times New Roman"/>
          <w:sz w:val="18"/>
          <w:szCs w:val="18"/>
          <w:b w:val="1"/>
          <w:bCs w:val="1"/>
          <w:color w:val="auto"/>
        </w:rPr>
        <w:t>Resources could be wasted in researching business combinations that are not completed, which could materially adversely affect subsequent attempts to locate and acquire or merge with another business.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90"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4" w:lineRule="auto"/>
        <w:rPr>
          <w:sz w:val="20"/>
          <w:szCs w:val="20"/>
          <w:color w:val="auto"/>
        </w:rPr>
      </w:pPr>
      <w:r>
        <w:rPr>
          <w:rFonts w:ascii="Times New Roman" w:cs="Times New Roman" w:eastAsia="Times New Roman" w:hAnsi="Times New Roman"/>
          <w:sz w:val="18"/>
          <w:szCs w:val="18"/>
          <w:color w:val="auto"/>
        </w:rPr>
        <w:t>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200" w:lineRule="exact"/>
        <w:rPr>
          <w:sz w:val="20"/>
          <w:szCs w:val="20"/>
          <w:color w:val="auto"/>
        </w:rPr>
      </w:pPr>
    </w:p>
    <w:p>
      <w:pPr>
        <w:spacing w:after="0" w:line="204" w:lineRule="exact"/>
        <w:rPr>
          <w:sz w:val="20"/>
          <w:szCs w:val="20"/>
          <w:color w:val="auto"/>
        </w:rPr>
      </w:pPr>
    </w:p>
    <w:p>
      <w:pPr>
        <w:ind w:left="1260" w:right="859"/>
        <w:spacing w:after="0" w:line="286" w:lineRule="auto"/>
        <w:rPr>
          <w:sz w:val="20"/>
          <w:szCs w:val="20"/>
          <w:color w:val="auto"/>
        </w:rPr>
      </w:pPr>
      <w:r>
        <w:rPr>
          <w:rFonts w:ascii="Times New Roman" w:cs="Times New Roman" w:eastAsia="Times New Roman" w:hAnsi="Times New Roman"/>
          <w:sz w:val="18"/>
          <w:szCs w:val="18"/>
          <w:b w:val="1"/>
          <w:bCs w:val="1"/>
          <w:color w:val="auto"/>
        </w:rPr>
        <w:t>We are dependent upon our executive officers and directors and their loss could adversely affect our ability to operate.</w:t>
      </w:r>
    </w:p>
    <w:p>
      <w:pPr>
        <w:spacing w:after="0" w:line="7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200" w:lineRule="exact"/>
        <w:rPr>
          <w:sz w:val="20"/>
          <w:szCs w:val="20"/>
          <w:color w:val="auto"/>
        </w:rPr>
      </w:pPr>
    </w:p>
    <w:p>
      <w:pPr>
        <w:spacing w:after="0" w:line="204" w:lineRule="exact"/>
        <w:rPr>
          <w:sz w:val="20"/>
          <w:szCs w:val="20"/>
          <w:color w:val="auto"/>
        </w:rPr>
      </w:pPr>
    </w:p>
    <w:p>
      <w:pPr>
        <w:jc w:val="both"/>
        <w:ind w:left="1260" w:right="739"/>
        <w:spacing w:after="0" w:line="268" w:lineRule="auto"/>
        <w:rPr>
          <w:sz w:val="20"/>
          <w:szCs w:val="20"/>
          <w:color w:val="auto"/>
        </w:rPr>
      </w:pPr>
      <w:r>
        <w:rPr>
          <w:rFonts w:ascii="Times New Roman" w:cs="Times New Roman" w:eastAsia="Times New Roman" w:hAnsi="Times New Roman"/>
          <w:sz w:val="18"/>
          <w:szCs w:val="18"/>
          <w:b w:val="1"/>
          <w:bCs w:val="1"/>
          <w:color w:val="auto"/>
        </w:rPr>
        <w:t>Involvement of members of our management and companies with which they are affiliated in civil disputes and litigation or governmental investigations unrelated to our business affairs could materially impact our ability to complete an initial business combination.</w:t>
      </w:r>
    </w:p>
    <w:p>
      <w:pPr>
        <w:spacing w:after="0" w:line="107"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Members of our management team and companies with which they are affiliated have been, and in the future will continue to be, involved in a wide variety of business affairs, including transactions, such as sales and purchases of businesses, and ongoing operations. As a result of such involvement, members of our management and companies with which they are affiliated in past have been, and may in the future be, involved in civil disputes and litigation and governmental investigations relating to their business affairs unrelated to our company. For example, our chief executive officer, Kevin Rakin, was named as a defendant in United States ex rel. Webb v. Advanced BioHealing, Inc. (“ABH”), a whistleblower suit relating to sales methods employed by sales representatives of ABH, a biotechnology company for which Mr. Rakin served as chief executive officer. All claims in the lawsuit were dismissed with prejudice pursuant to a settlement agreement, in which Mr. Rakin expressly denied that he engaged in any wrongful conduct, and Mr. Rakin agreed to pay to the United States $2.5 million. Any claims or investigations involving members of our management and companies with which they are affiliated may be detrimental to our reputation and could negatively affect our ability to identify and complete an initial business combination in a material manner and may have an adverse effect on the price of our securities.</w:t>
      </w:r>
    </w:p>
    <w:p>
      <w:pPr>
        <w:spacing w:after="0" w:line="200" w:lineRule="exact"/>
        <w:rPr>
          <w:sz w:val="20"/>
          <w:szCs w:val="20"/>
          <w:color w:val="auto"/>
        </w:rPr>
      </w:pPr>
    </w:p>
    <w:p>
      <w:pPr>
        <w:spacing w:after="0" w:line="211" w:lineRule="exact"/>
        <w:rPr>
          <w:sz w:val="20"/>
          <w:szCs w:val="20"/>
          <w:color w:val="auto"/>
        </w:rPr>
      </w:pPr>
    </w:p>
    <w:p>
      <w:pPr>
        <w:ind w:left="1260" w:right="1039"/>
        <w:spacing w:after="0" w:line="262" w:lineRule="auto"/>
        <w:rPr>
          <w:sz w:val="20"/>
          <w:szCs w:val="20"/>
          <w:color w:val="auto"/>
        </w:rPr>
      </w:pPr>
      <w:r>
        <w:rPr>
          <w:rFonts w:ascii="Times New Roman" w:cs="Times New Roman" w:eastAsia="Times New Roman" w:hAnsi="Times New Roman"/>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13"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699"/>
        <w:spacing w:after="0" w:line="243" w:lineRule="auto"/>
        <w:rPr>
          <w:sz w:val="20"/>
          <w:szCs w:val="20"/>
          <w:color w:val="auto"/>
        </w:rPr>
      </w:pPr>
      <w:r>
        <w:rPr>
          <w:rFonts w:ascii="Times New Roman" w:cs="Times New Roman" w:eastAsia="Times New Roman" w:hAnsi="Times New Roman"/>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04"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83" w:lineRule="exact"/>
        <w:rPr>
          <w:sz w:val="20"/>
          <w:szCs w:val="20"/>
          <w:color w:val="auto"/>
        </w:rPr>
      </w:pPr>
    </w:p>
    <w:p>
      <w:pPr>
        <w:ind w:left="1260" w:right="919"/>
        <w:spacing w:after="0" w:line="252" w:lineRule="auto"/>
        <w:rPr>
          <w:sz w:val="20"/>
          <w:szCs w:val="20"/>
          <w:color w:val="auto"/>
        </w:rPr>
      </w:pPr>
      <w:r>
        <w:rPr>
          <w:rFonts w:ascii="Times New Roman" w:cs="Times New Roman" w:eastAsia="Times New Roman" w:hAnsi="Times New Roman"/>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08"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87" w:lineRule="exact"/>
        <w:rPr>
          <w:sz w:val="20"/>
          <w:szCs w:val="20"/>
          <w:color w:val="auto"/>
        </w:rPr>
      </w:pPr>
    </w:p>
    <w:p>
      <w:pPr>
        <w:ind w:left="1260" w:right="839"/>
        <w:spacing w:after="0" w:line="268" w:lineRule="auto"/>
        <w:rPr>
          <w:sz w:val="20"/>
          <w:szCs w:val="20"/>
          <w:color w:val="auto"/>
        </w:rPr>
      </w:pPr>
      <w:r>
        <w:rPr>
          <w:rFonts w:ascii="Times New Roman" w:cs="Times New Roman" w:eastAsia="Times New Roman" w:hAnsi="Times New Roman"/>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07"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79" w:lineRule="exact"/>
        <w:rPr>
          <w:sz w:val="20"/>
          <w:szCs w:val="20"/>
          <w:color w:val="auto"/>
        </w:rPr>
      </w:pPr>
    </w:p>
    <w:p>
      <w:pPr>
        <w:ind w:left="1260" w:right="679"/>
        <w:spacing w:after="0" w:line="268" w:lineRule="auto"/>
        <w:rPr>
          <w:sz w:val="20"/>
          <w:szCs w:val="20"/>
          <w:color w:val="auto"/>
        </w:rPr>
      </w:pPr>
      <w:r>
        <w:rPr>
          <w:rFonts w:ascii="Times New Roman" w:cs="Times New Roman" w:eastAsia="Times New Roman" w:hAnsi="Times New Roman"/>
          <w:sz w:val="18"/>
          <w:szCs w:val="18"/>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94" w:lineRule="exact"/>
        <w:rPr>
          <w:sz w:val="20"/>
          <w:szCs w:val="20"/>
          <w:color w:val="auto"/>
        </w:rPr>
      </w:pPr>
    </w:p>
    <w:p>
      <w:pPr>
        <w:ind w:left="1260" w:right="819" w:firstLine="360"/>
        <w:spacing w:after="0" w:line="253" w:lineRule="auto"/>
        <w:rPr>
          <w:sz w:val="20"/>
          <w:szCs w:val="20"/>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199"/>
        <w:spacing w:after="0" w:line="266" w:lineRule="auto"/>
        <w:rPr>
          <w:sz w:val="20"/>
          <w:szCs w:val="20"/>
          <w:color w:val="auto"/>
        </w:rPr>
      </w:pPr>
      <w:r>
        <w:rPr>
          <w:rFonts w:ascii="Times New Roman" w:cs="Times New Roman" w:eastAsia="Times New Roman" w:hAnsi="Times New Roman"/>
          <w:sz w:val="18"/>
          <w:szCs w:val="18"/>
          <w:color w:val="auto"/>
        </w:rPr>
        <w:t>discussion of our executive officers’ and directors’ other business affairs, please see “Management — Officers, Directors and Director Nominees.”</w:t>
      </w:r>
    </w:p>
    <w:p>
      <w:pPr>
        <w:spacing w:after="0" w:line="158" w:lineRule="exact"/>
        <w:rPr>
          <w:sz w:val="20"/>
          <w:szCs w:val="20"/>
          <w:color w:val="auto"/>
        </w:rPr>
      </w:pPr>
    </w:p>
    <w:p>
      <w:pPr>
        <w:ind w:left="1260" w:right="759"/>
        <w:spacing w:after="0" w:line="252" w:lineRule="auto"/>
        <w:rPr>
          <w:sz w:val="20"/>
          <w:szCs w:val="20"/>
          <w:color w:val="auto"/>
        </w:rPr>
      </w:pPr>
      <w:r>
        <w:rPr>
          <w:rFonts w:ascii="Times New Roman" w:cs="Times New Roman" w:eastAsia="Times New Roman" w:hAnsi="Times New Roman"/>
          <w:sz w:val="18"/>
          <w:szCs w:val="18"/>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95"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may present additional conflicts of interest in pursuing an initial business combination. However, we do not believe that any such potential conflicts would materially affect our ability to complete our initial business combination.</w:t>
      </w:r>
    </w:p>
    <w:p>
      <w:pPr>
        <w:spacing w:after="0" w:line="275" w:lineRule="exact"/>
        <w:rPr>
          <w:sz w:val="20"/>
          <w:szCs w:val="20"/>
          <w:color w:val="auto"/>
        </w:rPr>
      </w:pPr>
    </w:p>
    <w:p>
      <w:pPr>
        <w:ind w:left="1260" w:right="919" w:firstLine="360"/>
        <w:spacing w:after="0" w:line="245" w:lineRule="auto"/>
        <w:rPr>
          <w:sz w:val="20"/>
          <w:szCs w:val="20"/>
          <w:color w:val="auto"/>
        </w:rPr>
      </w:pPr>
      <w:r>
        <w:rPr>
          <w:rFonts w:ascii="Times New Roman" w:cs="Times New Roman" w:eastAsia="Times New Roman" w:hAnsi="Times New Roman"/>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77"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color w:val="auto"/>
        </w:rPr>
        <w:t>Our executive officers, directors, security holders and their respective affiliates may have competitive pecuniary interests that conflict with our interests.</w:t>
      </w:r>
    </w:p>
    <w:p>
      <w:pPr>
        <w:spacing w:after="0" w:line="90"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or we may acquire a target business through an affiliated joint acquisition with one or more affiliates of HighCape and/or one or more investors in HighCape or one of its affiliates.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10"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83" w:lineRule="exact"/>
        <w:rPr>
          <w:sz w:val="20"/>
          <w:szCs w:val="20"/>
          <w:color w:val="auto"/>
        </w:rPr>
      </w:pPr>
    </w:p>
    <w:p>
      <w:pPr>
        <w:ind w:left="1260" w:right="779"/>
        <w:spacing w:after="0" w:line="252" w:lineRule="auto"/>
        <w:rPr>
          <w:sz w:val="20"/>
          <w:szCs w:val="20"/>
          <w:color w:val="auto"/>
        </w:rPr>
      </w:pPr>
      <w:r>
        <w:rPr>
          <w:rFonts w:ascii="Times New Roman" w:cs="Times New Roman" w:eastAsia="Times New Roman" w:hAnsi="Times New Roman"/>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0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In light of the involvement of our sponsor, executive officers and directors with other entities, we may decide to acquire one or more businesses affiliated with our sponsor, executive officers, directors or existing</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37" w:lineRule="auto"/>
        <w:rPr>
          <w:sz w:val="20"/>
          <w:szCs w:val="20"/>
          <w:color w:val="auto"/>
        </w:rPr>
      </w:pPr>
      <w:r>
        <w:rPr>
          <w:rFonts w:ascii="Times New Roman" w:cs="Times New Roman" w:eastAsia="Times New Roman" w:hAnsi="Times New Roman"/>
          <w:sz w:val="18"/>
          <w:szCs w:val="18"/>
          <w:color w:val="auto"/>
        </w:rPr>
        <w:t>holders. Our directors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and such transaction was approved by a majority of our independent and disinterested directors. Despite our agreement to obtain an opinion from an independent investment banking firm which is a member of FINRA or an independent accounting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07"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Moreover, we may pursue an affiliated joint acquisition opportunity with one or more affiliates of HighCape and/or one or more investors in HighCape or one of its affiliates. Any such parties may co-invest with us in the target business at the time of our initial business combination, or we could raise additional proceeds to complete the business combination by issuing to such parties a class of equity or equity-linked securities. Accordingly, such persons or entities may have a conflict between their interests and ours.</w:t>
      </w:r>
    </w:p>
    <w:p>
      <w:pPr>
        <w:spacing w:after="0" w:line="181" w:lineRule="exact"/>
        <w:rPr>
          <w:sz w:val="20"/>
          <w:szCs w:val="20"/>
          <w:color w:val="auto"/>
        </w:rPr>
      </w:pPr>
    </w:p>
    <w:p>
      <w:pPr>
        <w:jc w:val="both"/>
        <w:ind w:left="1260" w:right="939"/>
        <w:spacing w:after="0" w:line="246" w:lineRule="auto"/>
        <w:rPr>
          <w:sz w:val="20"/>
          <w:szCs w:val="20"/>
          <w:color w:val="auto"/>
        </w:rPr>
      </w:pPr>
      <w:r>
        <w:rPr>
          <w:rFonts w:ascii="Times New Roman" w:cs="Times New Roman" w:eastAsia="Times New Roman" w:hAnsi="Times New Roman"/>
          <w:sz w:val="18"/>
          <w:szCs w:val="18"/>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14" w:lineRule="exact"/>
        <w:rPr>
          <w:sz w:val="20"/>
          <w:szCs w:val="20"/>
          <w:color w:val="auto"/>
        </w:rPr>
      </w:pPr>
    </w:p>
    <w:p>
      <w:pPr>
        <w:ind w:left="1260" w:right="739" w:firstLine="360"/>
        <w:spacing w:after="0" w:line="236" w:lineRule="auto"/>
        <w:rPr>
          <w:sz w:val="20"/>
          <w:szCs w:val="20"/>
          <w:color w:val="auto"/>
        </w:rPr>
      </w:pPr>
      <w:r>
        <w:rPr>
          <w:rFonts w:ascii="Times New Roman" w:cs="Times New Roman" w:eastAsia="Times New Roman" w:hAnsi="Times New Roman"/>
          <w:sz w:val="18"/>
          <w:szCs w:val="18"/>
          <w:color w:val="auto"/>
        </w:rPr>
        <w:t>On June 10, 2020, our sponsor purchased an aggregate of 2,875,000 founder shares in exchange for a capital contribution of $25,000, or approximately $0.009 per share. In June 2020, our sponsor transferred 30,000 founder shares to each of David Colpman, Antony Loebel and Robert Taub, resulting in our sponsor holding 2,785,000 founder shares. Prior to the initial investment in the company of $ 25,000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excluding the private placement shares underlying the private placement units. Up to 375,000 of the founder shares will be forfeited depending on the extent to which the underwriters’ over-allotment is exercised. The founder shares will be worthless if we do not complete an initial business combination. In addition, our sponsor has committed to purchase an aggregate of 375,000 private placement units (or 405,000 units if the underwriters’ over-allotment option is exercised in full) for an aggregate purchase price of $3,750,000 (or $4,050,000 if the underwriters’ over-allotment option is exercised in full), or $10.00 per unit. The private placement units (and the underlying securities) will also be worthless if we do not complete our initial business combination.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90" w:lineRule="exact"/>
        <w:rPr>
          <w:sz w:val="20"/>
          <w:szCs w:val="20"/>
          <w:color w:val="auto"/>
        </w:rPr>
      </w:pPr>
    </w:p>
    <w:p>
      <w:pPr>
        <w:ind w:left="1260" w:right="919"/>
        <w:spacing w:after="0" w:line="252" w:lineRule="auto"/>
        <w:rPr>
          <w:sz w:val="20"/>
          <w:szCs w:val="20"/>
          <w:color w:val="auto"/>
        </w:rPr>
      </w:pPr>
      <w:r>
        <w:rPr>
          <w:rFonts w:ascii="Times New Roman" w:cs="Times New Roman" w:eastAsia="Times New Roman" w:hAnsi="Times New Roman"/>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08"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w:t>
      </w: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spacing w:after="0" w:line="266" w:lineRule="auto"/>
        <w:rPr>
          <w:sz w:val="20"/>
          <w:szCs w:val="20"/>
          <w:color w:val="auto"/>
        </w:rPr>
      </w:pPr>
      <w:r>
        <w:rPr>
          <w:rFonts w:ascii="Times New Roman" w:cs="Times New Roman" w:eastAsia="Times New Roman" w:hAnsi="Times New Roman"/>
          <w:sz w:val="18"/>
          <w:szCs w:val="18"/>
          <w:color w:val="auto"/>
        </w:rPr>
        <w:t>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68" w:lineRule="exact"/>
        <w:rPr>
          <w:sz w:val="20"/>
          <w:szCs w:val="20"/>
          <w:color w:val="auto"/>
        </w:rPr>
      </w:pPr>
    </w:p>
    <w:p>
      <w:pPr>
        <w:ind w:left="1800" w:right="839" w:hanging="178"/>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80" w:lineRule="exact"/>
        <w:rPr>
          <w:rFonts w:ascii="Times New Roman" w:cs="Times New Roman" w:eastAsia="Times New Roman" w:hAnsi="Times New Roman"/>
          <w:sz w:val="18"/>
          <w:szCs w:val="18"/>
          <w:color w:val="auto"/>
        </w:rPr>
      </w:pPr>
    </w:p>
    <w:p>
      <w:pPr>
        <w:ind w:left="1800" w:right="839" w:hanging="178"/>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81"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130" w:lineRule="exact"/>
        <w:rPr>
          <w:rFonts w:ascii="Times New Roman" w:cs="Times New Roman" w:eastAsia="Times New Roman" w:hAnsi="Times New Roman"/>
          <w:sz w:val="18"/>
          <w:szCs w:val="18"/>
          <w:color w:val="auto"/>
        </w:rPr>
      </w:pPr>
    </w:p>
    <w:p>
      <w:pPr>
        <w:ind w:left="1800" w:right="939" w:hanging="178"/>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contains covenants restricting our ability to obtain such financing while the debt is outstanding;</w:t>
      </w:r>
    </w:p>
    <w:p>
      <w:pPr>
        <w:spacing w:after="0" w:line="8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common stock;</w:t>
      </w:r>
    </w:p>
    <w:p>
      <w:pPr>
        <w:spacing w:after="0" w:line="130" w:lineRule="exact"/>
        <w:rPr>
          <w:rFonts w:ascii="Times New Roman" w:cs="Times New Roman" w:eastAsia="Times New Roman" w:hAnsi="Times New Roman"/>
          <w:sz w:val="18"/>
          <w:szCs w:val="18"/>
          <w:color w:val="auto"/>
        </w:rPr>
      </w:pPr>
    </w:p>
    <w:p>
      <w:pPr>
        <w:ind w:left="1800" w:right="779" w:hanging="178"/>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81" w:lineRule="exact"/>
        <w:rPr>
          <w:rFonts w:ascii="Times New Roman" w:cs="Times New Roman" w:eastAsia="Times New Roman" w:hAnsi="Times New Roman"/>
          <w:sz w:val="18"/>
          <w:szCs w:val="18"/>
          <w:color w:val="auto"/>
        </w:rPr>
      </w:pPr>
    </w:p>
    <w:p>
      <w:pPr>
        <w:ind w:left="1800" w:right="1219" w:hanging="178"/>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80" w:lineRule="exact"/>
        <w:rPr>
          <w:rFonts w:ascii="Times New Roman" w:cs="Times New Roman" w:eastAsia="Times New Roman" w:hAnsi="Times New Roman"/>
          <w:sz w:val="18"/>
          <w:szCs w:val="18"/>
          <w:color w:val="auto"/>
        </w:rPr>
      </w:pPr>
    </w:p>
    <w:p>
      <w:pPr>
        <w:ind w:left="1800" w:right="759" w:hanging="178"/>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67" w:lineRule="exact"/>
        <w:rPr>
          <w:rFonts w:ascii="Times New Roman" w:cs="Times New Roman" w:eastAsia="Times New Roman" w:hAnsi="Times New Roman"/>
          <w:sz w:val="18"/>
          <w:szCs w:val="18"/>
          <w:color w:val="auto"/>
        </w:rPr>
      </w:pPr>
    </w:p>
    <w:p>
      <w:pPr>
        <w:ind w:left="1800" w:right="1199" w:hanging="178"/>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2" w:lineRule="exact"/>
        <w:rPr>
          <w:sz w:val="20"/>
          <w:szCs w:val="20"/>
          <w:color w:val="auto"/>
        </w:rPr>
      </w:pPr>
    </w:p>
    <w:p>
      <w:pPr>
        <w:ind w:left="1260" w:right="759"/>
        <w:spacing w:after="0" w:line="262"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and the sale of the private placement units, which will cause us to be solely dependent on a single business which may have a limited number of products or services. This lack of diversification may negatively impact our operations and profitability.</w:t>
      </w:r>
    </w:p>
    <w:p>
      <w:pPr>
        <w:spacing w:after="0" w:line="113"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net proceeds from this offering and the private placement of units will provide us with $96,500,000 (or $110,975,000 if the underwriters’ over-allotment option is exercised in full) that we may use to complete our initial business combination (after taking into account the $3,500,000, or up to $4,025,000 if the over-allotment option is exercised in full, of deferred underwriting commissions being held in the trust account).</w:t>
      </w:r>
    </w:p>
    <w:p>
      <w:pPr>
        <w:spacing w:after="0" w:line="99" w:lineRule="exact"/>
        <w:rPr>
          <w:sz w:val="20"/>
          <w:szCs w:val="20"/>
          <w:color w:val="auto"/>
        </w:rPr>
      </w:pPr>
    </w:p>
    <w:p>
      <w:pPr>
        <w:ind w:left="1260" w:right="759" w:firstLine="360"/>
        <w:spacing w:after="0" w:line="253" w:lineRule="auto"/>
        <w:rPr>
          <w:sz w:val="20"/>
          <w:szCs w:val="20"/>
          <w:color w:val="auto"/>
        </w:rPr>
      </w:pPr>
      <w:r>
        <w:rPr>
          <w:rFonts w:ascii="Times New Roman" w:cs="Times New Roman" w:eastAsia="Times New Roman" w:hAnsi="Times New Roman"/>
          <w:sz w:val="18"/>
          <w:szCs w:val="18"/>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316" w:lineRule="exact"/>
        <w:rPr>
          <w:sz w:val="20"/>
          <w:szCs w:val="20"/>
          <w:color w:val="auto"/>
        </w:rPr>
      </w:pPr>
    </w:p>
    <w:p>
      <w:pPr>
        <w:ind w:left="1800" w:hanging="178"/>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dependent upon the performance of a single business, property or asset, or</w:t>
      </w:r>
    </w:p>
    <w:p>
      <w:pPr>
        <w:spacing w:after="0" w:line="144" w:lineRule="exact"/>
        <w:rPr>
          <w:rFonts w:ascii="Times New Roman" w:cs="Times New Roman" w:eastAsia="Times New Roman" w:hAnsi="Times New Roman"/>
          <w:sz w:val="18"/>
          <w:szCs w:val="18"/>
          <w:color w:val="auto"/>
        </w:rPr>
      </w:pPr>
    </w:p>
    <w:p>
      <w:pPr>
        <w:ind w:left="1800" w:right="999" w:hanging="178"/>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dependent upon the development or market acceptance of a single or limited number of products, processes or services.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3" w:lineRule="exact"/>
        <w:rPr>
          <w:sz w:val="20"/>
          <w:szCs w:val="20"/>
          <w:color w:val="auto"/>
        </w:rPr>
      </w:pPr>
    </w:p>
    <w:p>
      <w:pPr>
        <w:jc w:val="both"/>
        <w:ind w:left="1260" w:right="959"/>
        <w:spacing w:after="0" w:line="252" w:lineRule="auto"/>
        <w:rPr>
          <w:sz w:val="20"/>
          <w:szCs w:val="20"/>
          <w:color w:val="auto"/>
        </w:rPr>
      </w:pPr>
      <w:r>
        <w:rPr>
          <w:rFonts w:ascii="Times New Roman" w:cs="Times New Roman" w:eastAsia="Times New Roman" w:hAnsi="Times New Roman"/>
          <w:sz w:val="18"/>
          <w:szCs w:val="18"/>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95"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379"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08"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1" w:lineRule="exact"/>
        <w:rPr>
          <w:sz w:val="20"/>
          <w:szCs w:val="20"/>
          <w:color w:val="auto"/>
        </w:rPr>
      </w:pPr>
    </w:p>
    <w:p>
      <w:pPr>
        <w:ind w:left="1260" w:right="739"/>
        <w:spacing w:after="0" w:line="252" w:lineRule="auto"/>
        <w:rPr>
          <w:sz w:val="20"/>
          <w:szCs w:val="20"/>
          <w:color w:val="auto"/>
        </w:rPr>
      </w:pPr>
      <w:r>
        <w:rPr>
          <w:rFonts w:ascii="Times New Roman" w:cs="Times New Roman" w:eastAsia="Times New Roman" w:hAnsi="Times New Roman"/>
          <w:sz w:val="18"/>
          <w:szCs w:val="18"/>
          <w:b w:val="1"/>
          <w:b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08"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200" w:lineRule="exact"/>
        <w:rPr>
          <w:sz w:val="20"/>
          <w:szCs w:val="20"/>
          <w:color w:val="auto"/>
        </w:rPr>
      </w:pPr>
    </w:p>
    <w:p>
      <w:pPr>
        <w:spacing w:after="0" w:line="207" w:lineRule="exact"/>
        <w:rPr>
          <w:sz w:val="20"/>
          <w:szCs w:val="20"/>
          <w:color w:val="auto"/>
        </w:rPr>
      </w:pPr>
    </w:p>
    <w:p>
      <w:pPr>
        <w:ind w:left="1260" w:right="839"/>
        <w:spacing w:after="0" w:line="268" w:lineRule="auto"/>
        <w:rPr>
          <w:sz w:val="20"/>
          <w:szCs w:val="20"/>
          <w:color w:val="auto"/>
        </w:rPr>
      </w:pPr>
      <w:r>
        <w:rPr>
          <w:rFonts w:ascii="Times New Roman" w:cs="Times New Roman" w:eastAsia="Times New Roman" w:hAnsi="Times New Roman"/>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stockholders or warrant holders do not agree.</w:t>
      </w:r>
    </w:p>
    <w:p>
      <w:pPr>
        <w:spacing w:after="0" w:line="94" w:lineRule="exact"/>
        <w:rPr>
          <w:sz w:val="20"/>
          <w:szCs w:val="20"/>
          <w:color w:val="auto"/>
        </w:rPr>
      </w:pPr>
    </w:p>
    <w:p>
      <w:pPr>
        <w:ind w:left="1260" w:right="1039" w:firstLine="36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impose a minimum cash requirement for: (i) cash consideration to be paid to the target or its owners,</w:t>
      </w:r>
    </w:p>
    <w:p>
      <w:pPr>
        <w:spacing w:after="0" w:line="16" w:lineRule="exact"/>
        <w:rPr>
          <w:sz w:val="20"/>
          <w:szCs w:val="20"/>
          <w:color w:val="auto"/>
        </w:rPr>
      </w:pPr>
    </w:p>
    <w:p>
      <w:pPr>
        <w:ind w:left="1260" w:right="739" w:firstLine="2"/>
        <w:spacing w:after="0"/>
        <w:tabs>
          <w:tab w:leader="none" w:pos="15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for working capital or other general corporate purposes or (iii) the retention of cash to satisfy other conditions.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341" w:lineRule="exact"/>
        <w:rPr>
          <w:sz w:val="20"/>
          <w:szCs w:val="20"/>
          <w:color w:val="auto"/>
        </w:rPr>
      </w:pPr>
    </w:p>
    <w:p>
      <w:pPr>
        <w:ind w:left="1260" w:right="759"/>
        <w:spacing w:after="0" w:line="243" w:lineRule="auto"/>
        <w:rPr>
          <w:sz w:val="20"/>
          <w:szCs w:val="20"/>
          <w:color w:val="auto"/>
        </w:rPr>
      </w:pPr>
      <w:r>
        <w:rPr>
          <w:rFonts w:ascii="Times New Roman" w:cs="Times New Roman" w:eastAsia="Times New Roman" w:hAnsi="Times New Roman"/>
          <w:sz w:val="18"/>
          <w:szCs w:val="18"/>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0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amended and restated certificate of incorporation requires us to provide our public stockholders with the opportunity to redeem their public shares for cash if we propose an amendment to our amended and restated certificate of incorporation to modify the substance or timing of our obligation to redeem 100% of our public shares if we do not complete an initial business combination within 24 months of the closing of this offering or with respect to any other material provisions relating to stockholders’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329" w:lineRule="exact"/>
        <w:rPr>
          <w:sz w:val="20"/>
          <w:szCs w:val="20"/>
          <w:color w:val="auto"/>
        </w:rPr>
      </w:pPr>
    </w:p>
    <w:p>
      <w:pPr>
        <w:ind w:left="1260" w:right="899"/>
        <w:spacing w:after="0" w:line="259" w:lineRule="auto"/>
        <w:rPr>
          <w:sz w:val="20"/>
          <w:szCs w:val="20"/>
          <w:color w:val="auto"/>
        </w:rPr>
      </w:pPr>
      <w:r>
        <w:rPr>
          <w:rFonts w:ascii="Times New Roman" w:cs="Times New Roman" w:eastAsia="Times New Roman" w:hAnsi="Times New Roman"/>
          <w:sz w:val="17"/>
          <w:szCs w:val="17"/>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amended and restated certificate of incorporation to facilitate the completion of an initial business combination that some of our stockholders may not support.</w:t>
      </w:r>
    </w:p>
    <w:p>
      <w:pPr>
        <w:spacing w:after="0" w:line="102"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38" w:lineRule="auto"/>
        <w:rPr>
          <w:sz w:val="20"/>
          <w:szCs w:val="20"/>
          <w:color w:val="auto"/>
        </w:rPr>
      </w:pPr>
      <w:r>
        <w:rPr>
          <w:rFonts w:ascii="Times New Roman" w:cs="Times New Roman" w:eastAsia="Times New Roman" w:hAnsi="Times New Roman"/>
          <w:sz w:val="18"/>
          <w:szCs w:val="18"/>
          <w:color w:val="auto"/>
        </w:rPr>
        <w:t>rules. Our initial stockholders, who will collectively beneficially own 20% of our common stock upon the closing of this offering (assuming they do not purchase any units in this offering and excluding the private placement shares underlying the private placement units),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amended and restated certificate of incorporation.</w:t>
      </w:r>
    </w:p>
    <w:p>
      <w:pPr>
        <w:spacing w:after="0" w:line="110"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Our sponsor, executive officers, directors and director nominees have agreed, pursuant to written agreements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(net of permitted withdrawals),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agreements related to this offering may be amended without stockholder approval.</w:t>
      </w:r>
    </w:p>
    <w:p>
      <w:pPr>
        <w:spacing w:after="0" w:line="16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Each of the agreements related to this offering to which we are a party, other than the warrant agreement and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the private placement units purchase agreement between us and our sponsor; and the administrative services agreement among us and our sponsor. These agreements contain various provisions that our public stockholders might deem to be material. For example, our letter agreement and the underwriting agreement contain certain lock -up provisions with respect to the founder shares, private placement units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solicitation or tender offer materials,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 -up provision discussed above may result in our initial stockholders selling their securities earlier than they would otherwise be permitted, which may have an adverse effect on the price of our securities.</w:t>
      </w:r>
    </w:p>
    <w:p>
      <w:pPr>
        <w:spacing w:after="0" w:line="316" w:lineRule="exact"/>
        <w:rPr>
          <w:sz w:val="20"/>
          <w:szCs w:val="20"/>
          <w:color w:val="auto"/>
        </w:rPr>
      </w:pPr>
    </w:p>
    <w:p>
      <w:pPr>
        <w:ind w:left="1260" w:right="739"/>
        <w:spacing w:after="0" w:line="243"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do not complete our initial business combination, our public stockholders may only receive their pro rata portion of the funds in the trust account that are available for distribution to public stockholders, and our warrants will expire worthless.</w:t>
      </w:r>
    </w:p>
    <w:p>
      <w:pPr>
        <w:spacing w:after="0" w:line="117"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and the sale of the private placement units will be sufficient to allow us to complete our initial business combination, because we have not yet selected</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7" w:name="page58"/>
    <w:bookmarkEnd w:id="5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any specific target business we cannot ascertain the capital requirements for any particular transaction. If the net proceeds of this offering and the sale of the private placement units prove to be insufficient, either because of the size of our initial business combination, the depletion of the available net proceeds in search of a target business, the obligation to redeem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has made it especially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do not complete our initial business combination, our public stockholders may only receive their pro rata portion of the funds in the trust account that are available for distribution to public stockholders,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334"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color w:val="auto"/>
        </w:rPr>
        <w:t>Our initial stockholders control a substantial interest in us and thus may exert a substantial influence on actions requiring a stockholder vote, potentially in a manner that you do not support.</w:t>
      </w:r>
    </w:p>
    <w:p>
      <w:pPr>
        <w:spacing w:after="0" w:line="77"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Upon closing of this offering, our initial stockholders will own 20% of our issued and outstanding common stock (assuming they do not purchase any units in this offering and excluding the private placement shares underlying the private placement units). Accordingly, they may exert a substantial influence on actions requiring a stockholder vote, potentially in a manner that you do not support, including amendments to our amended and restated certificate of incorporation. If our initial stockholders purchase any units in this offering or if our initial stockholders purchase any additional Class A common stock in the aftermarket or in privately negotiated transactions, this would increase their control.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334" w:lineRule="exact"/>
        <w:rPr>
          <w:sz w:val="20"/>
          <w:szCs w:val="20"/>
          <w:color w:val="auto"/>
        </w:rPr>
      </w:pPr>
    </w:p>
    <w:p>
      <w:pPr>
        <w:ind w:left="1260" w:right="799"/>
        <w:spacing w:after="0" w:line="252" w:lineRule="auto"/>
        <w:rPr>
          <w:sz w:val="20"/>
          <w:szCs w:val="20"/>
          <w:color w:val="auto"/>
        </w:rPr>
      </w:pPr>
      <w:r>
        <w:rPr>
          <w:rFonts w:ascii="Times New Roman" w:cs="Times New Roman" w:eastAsia="Times New Roman" w:hAnsi="Times New Roman"/>
          <w:sz w:val="18"/>
          <w:szCs w:val="18"/>
          <w:b w:val="1"/>
          <w:bCs w:val="1"/>
          <w:color w:val="auto"/>
        </w:rPr>
        <w:t>Our initial stockholders paid an aggregate of $25,000, or approximately $0.009 per founder share and, accordingly, you will experience immediate and substantial dilution from the purchase of our shares of Class A common stock.</w:t>
      </w:r>
    </w:p>
    <w:p>
      <w:pPr>
        <w:spacing w:after="0" w:line="108"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(allocating all of the unit purchase price to the share of Class A common stock and none to the warrant included in the unit) and the pro forma net tangible book value per share of our Class A common stock after this offering constitutes the dilution to you and the other investors in this offering. Our initial stockholders acquired the founder shares at a nominal price, significantly contributing to this dilution. Upon closing of this offering, and assuming no value is ascribed to the warrants included in the units, you and the other public stockholders will incur an immediate and substantial dilution of approximately 86.3% (or $8.63 per share, assuming no exercise of the underwriters’ over-allotment option), the difference between the pro forma net tangible book value per share after this offering of $1.37 and the initial offering price of $10.00 per unit. This dilution would increase to the extent that the anti-dilution provisions of the founder shares result in the issuance of shares of</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58" w:name="page59"/>
    <w:bookmarkEnd w:id="5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42" w:lineRule="auto"/>
        <w:rPr>
          <w:sz w:val="20"/>
          <w:szCs w:val="20"/>
          <w:color w:val="auto"/>
        </w:rPr>
      </w:pPr>
      <w:r>
        <w:rPr>
          <w:rFonts w:ascii="Times New Roman" w:cs="Times New Roman" w:eastAsia="Times New Roman" w:hAnsi="Times New Roman"/>
          <w:sz w:val="18"/>
          <w:szCs w:val="18"/>
          <w:color w:val="auto"/>
        </w:rPr>
        <w:t>Class A common stock on a greater than one-to-one basis upon conversion of the founder shares at the time of our initial business combination and would become exacerbated to the extent that public stockholders seek redemptions from the trust for their public shares. In addition, because of the anti- dilution protection in the founder shares, any equity or equity-linked securities issued in connection with our initial business combination would be disproportionately dilutive to our Class A common stock.</w:t>
      </w:r>
    </w:p>
    <w:p>
      <w:pPr>
        <w:spacing w:after="0" w:line="181" w:lineRule="exact"/>
        <w:rPr>
          <w:sz w:val="20"/>
          <w:szCs w:val="20"/>
          <w:color w:val="auto"/>
        </w:rPr>
      </w:pPr>
    </w:p>
    <w:p>
      <w:pPr>
        <w:ind w:left="1260" w:right="839"/>
        <w:spacing w:after="0" w:line="266" w:lineRule="auto"/>
        <w:rPr>
          <w:sz w:val="20"/>
          <w:szCs w:val="20"/>
          <w:color w:val="auto"/>
        </w:rPr>
      </w:pPr>
      <w:r>
        <w:rPr>
          <w:rFonts w:ascii="Times New Roman" w:cs="Times New Roman" w:eastAsia="Times New Roman" w:hAnsi="Times New Roman"/>
          <w:sz w:val="17"/>
          <w:szCs w:val="17"/>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of Class A common stock purchasable upon exercise of a warrant could be decreased, all without your approval.</w:t>
      </w:r>
    </w:p>
    <w:p>
      <w:pPr>
        <w:spacing w:after="0" w:line="82" w:lineRule="exact"/>
        <w:rPr>
          <w:sz w:val="20"/>
          <w:szCs w:val="20"/>
          <w:color w:val="auto"/>
        </w:rPr>
      </w:pPr>
    </w:p>
    <w:p>
      <w:pPr>
        <w:jc w:val="both"/>
        <w:ind w:left="1260" w:right="759" w:firstLine="360"/>
        <w:spacing w:after="0" w:line="239" w:lineRule="auto"/>
        <w:rPr>
          <w:sz w:val="20"/>
          <w:szCs w:val="20"/>
          <w:color w:val="auto"/>
        </w:rPr>
      </w:pPr>
      <w:r>
        <w:rPr>
          <w:rFonts w:ascii="Times New Roman" w:cs="Times New Roman" w:eastAsia="Times New Roman" w:hAnsi="Times New Roman"/>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set forth in this prospectus,</w:t>
      </w:r>
    </w:p>
    <w:p>
      <w:pPr>
        <w:spacing w:after="0" w:line="2" w:lineRule="exact"/>
        <w:rPr>
          <w:sz w:val="20"/>
          <w:szCs w:val="20"/>
          <w:color w:val="auto"/>
        </w:rPr>
      </w:pPr>
    </w:p>
    <w:p>
      <w:pPr>
        <w:ind w:left="1260" w:right="679" w:firstLine="2"/>
        <w:spacing w:after="0"/>
        <w:tabs>
          <w:tab w:leader="none" w:pos="154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provisions relating to cash dividends on shares of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 outstanding public warrants is required to make any change that adversely affects the interests of the registered holders of the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Class A common stock purchasable upon exercise of a warrant.</w:t>
      </w:r>
    </w:p>
    <w:p>
      <w:pPr>
        <w:spacing w:after="0" w:line="341" w:lineRule="exact"/>
        <w:rPr>
          <w:sz w:val="20"/>
          <w:szCs w:val="20"/>
          <w:color w:val="auto"/>
        </w:rPr>
      </w:pPr>
    </w:p>
    <w:p>
      <w:pPr>
        <w:ind w:left="1260" w:right="699"/>
        <w:spacing w:after="0" w:line="246" w:lineRule="auto"/>
        <w:rPr>
          <w:sz w:val="20"/>
          <w:szCs w:val="20"/>
          <w:color w:val="auto"/>
        </w:rPr>
      </w:pPr>
      <w:r>
        <w:rPr>
          <w:rFonts w:ascii="Times New Roman" w:cs="Times New Roman" w:eastAsia="Times New Roman" w:hAnsi="Times New Roman"/>
          <w:sz w:val="18"/>
          <w:szCs w:val="18"/>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14"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2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09" w:lineRule="exact"/>
        <w:rPr>
          <w:sz w:val="20"/>
          <w:szCs w:val="20"/>
          <w:color w:val="auto"/>
        </w:rPr>
      </w:pPr>
    </w:p>
    <w:p>
      <w:pPr>
        <w:jc w:val="both"/>
        <w:ind w:left="1260" w:right="719" w:firstLine="360"/>
        <w:spacing w:after="0" w:line="275"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42" w:lineRule="auto"/>
        <w:rPr>
          <w:sz w:val="20"/>
          <w:szCs w:val="20"/>
          <w:color w:val="auto"/>
        </w:rPr>
      </w:pPr>
      <w:r>
        <w:rPr>
          <w:rFonts w:ascii="Times New Roman" w:cs="Times New Roman" w:eastAsia="Times New Roman" w:hAnsi="Times New Roman"/>
          <w:sz w:val="18"/>
          <w:szCs w:val="18"/>
          <w:color w:val="auto"/>
        </w:rPr>
        <w:t>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1" w:lineRule="exact"/>
        <w:rPr>
          <w:sz w:val="20"/>
          <w:szCs w:val="20"/>
          <w:color w:val="auto"/>
        </w:rPr>
      </w:pPr>
    </w:p>
    <w:p>
      <w:pPr>
        <w:ind w:left="1260" w:right="1219"/>
        <w:spacing w:after="0" w:line="271" w:lineRule="auto"/>
        <w:rPr>
          <w:sz w:val="20"/>
          <w:szCs w:val="20"/>
          <w:color w:val="auto"/>
        </w:rPr>
      </w:pPr>
      <w:r>
        <w:rPr>
          <w:rFonts w:ascii="Times New Roman" w:cs="Times New Roman" w:eastAsia="Times New Roman" w:hAnsi="Times New Roman"/>
          <w:sz w:val="18"/>
          <w:szCs w:val="18"/>
          <w:b w:val="1"/>
          <w:bCs w:val="1"/>
          <w:color w:val="auto"/>
        </w:rPr>
        <w:t>We may redeem your unexpired warrants prior to their exercise at a time that is disadvantageous to you, thereby making your warrants worthless.</w:t>
      </w:r>
    </w:p>
    <w:p>
      <w:pPr>
        <w:spacing w:after="0" w:line="77" w:lineRule="exact"/>
        <w:rPr>
          <w:sz w:val="20"/>
          <w:szCs w:val="20"/>
          <w:color w:val="auto"/>
        </w:rPr>
      </w:pPr>
    </w:p>
    <w:p>
      <w:pPr>
        <w:ind w:left="1260" w:right="719" w:firstLine="360"/>
        <w:spacing w:after="0" w:line="236"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closing price of our Class A common stock equals or exceeds $18.00 per share (as adjusted for stock splits, stock capitalizations, reorganizations, recapitalizations and the like) for any 20 trading days within a 30-trading day period ending on the third trading day prior to proper notice of such redemption provided that on the date we give notice of redemption. We will not redeem the warrants unless an effective registration statement under the Securities Act covering the shares of Class A common stock issuable upon exercise of the warrants is effective and a current prospectus relating to those shares of Class A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w:t>
      </w:r>
    </w:p>
    <w:p>
      <w:pPr>
        <w:spacing w:after="0" w:line="8" w:lineRule="exact"/>
        <w:rPr>
          <w:sz w:val="20"/>
          <w:szCs w:val="20"/>
          <w:color w:val="auto"/>
        </w:rPr>
      </w:pPr>
    </w:p>
    <w:p>
      <w:pPr>
        <w:ind w:left="1260" w:right="759" w:firstLine="2"/>
        <w:spacing w:after="0" w:line="237" w:lineRule="auto"/>
        <w:tabs>
          <w:tab w:leader="none" w:pos="14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for cash so long as they are held by their initial purchasers or their permitted transferees.</w:t>
      </w:r>
    </w:p>
    <w:p>
      <w:pPr>
        <w:spacing w:after="0" w:line="181"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color w:val="auto"/>
        </w:rPr>
        <w:t>Our warrants may have an adverse effect on the market price of our shares of Class A common stock and make it more difficult to effectuate our initial business combination.</w:t>
      </w:r>
    </w:p>
    <w:p>
      <w:pPr>
        <w:spacing w:after="0" w:line="9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We will be issuing warrants to purchase 3,333,333 shares of our Class A common stock (or up to 3,833,333 shares of Class A common stock if the underwriters’ over-allotment option is exercised in full) as part of the units offered by this prospectus and, simultaneously with the closing of this offering, we will be issuing in a private placement an aggregate of 375,000 private placement units (or up to 405,000 private placement units if the underwriters’ over-allotment option is exercised in full), which will have underlying warrants to purchase an aggregate of 125,000 shares of Class A common stock (or up to 135,000 shares of Class A common stock if the underwriters’ over-allotment option is exercised in full), each exercisable to purchase one share of Class A common stock at $11.50 per share. In addition, if our sponsor or an affiliate of our sponsor or certain of our officers and directors makes any working capital loans, such lender may convert those loans into up to an additional 150,000 private placement-equivalent units, at the price of $10.00 per unit. To the extent we issue common stock to effectuate a business transaction, the potential for the issuance of a substantial number of additional shares of Class A common stock upon exercise of these warrants could make us a less attractive acquisition vehicle to a target business. Such warrants, when exercised, will increase the number of issued and outstanding shares of Class A common stock and reduce the value of the Class A common stock issued to complete the business transaction. Therefore, our warrants may make it more difficult to effectuate a business transaction or increase the cost of acquiring the target business.</w:t>
      </w:r>
    </w:p>
    <w:p>
      <w:pPr>
        <w:spacing w:after="0" w:line="343"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color w:val="auto"/>
        </w:rPr>
        <w:t>Because each unit contains one-third of one warrant and only a whole warrant may be exercised, the units may be worth less than units of other special purpose acquisition companies.</w:t>
      </w:r>
    </w:p>
    <w:p>
      <w:pPr>
        <w:spacing w:after="0" w:line="90" w:lineRule="exact"/>
        <w:rPr>
          <w:sz w:val="20"/>
          <w:szCs w:val="20"/>
          <w:color w:val="auto"/>
        </w:rPr>
      </w:pPr>
    </w:p>
    <w:p>
      <w:pPr>
        <w:ind w:left="1260" w:right="759" w:firstLine="360"/>
        <w:spacing w:after="0" w:line="241" w:lineRule="auto"/>
        <w:rPr>
          <w:sz w:val="20"/>
          <w:szCs w:val="20"/>
          <w:color w:val="auto"/>
        </w:rPr>
      </w:pPr>
      <w:r>
        <w:rPr>
          <w:rFonts w:ascii="Times New Roman" w:cs="Times New Roman" w:eastAsia="Times New Roman" w:hAnsi="Times New Roman"/>
          <w:sz w:val="18"/>
          <w:szCs w:val="18"/>
          <w:color w:val="auto"/>
        </w:rPr>
        <w:t>Each unit contains one-third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shares of Class A common stock to be issued to the warrant holder. This is different from other offerings similar to ours whose units include one common share and</w:t>
      </w: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0" w:name="page61"/>
    <w:bookmarkEnd w:id="6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41" w:lineRule="auto"/>
        <w:rPr>
          <w:sz w:val="20"/>
          <w:szCs w:val="20"/>
          <w:color w:val="auto"/>
        </w:rPr>
      </w:pPr>
      <w:r>
        <w:rPr>
          <w:rFonts w:ascii="Times New Roman" w:cs="Times New Roman" w:eastAsia="Times New Roman" w:hAnsi="Times New Roman"/>
          <w:sz w:val="18"/>
          <w:szCs w:val="18"/>
          <w:color w:val="auto"/>
        </w:rPr>
        <w:t>one warrant to purchase one whole share. We have established the components of the units in this way in order to reduce the dilutive effect of the warrants upon completion of a business combination since the warrants will be exercisable in the aggregate for one -third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80" w:lineRule="exact"/>
        <w:rPr>
          <w:sz w:val="20"/>
          <w:szCs w:val="20"/>
          <w:color w:val="auto"/>
        </w:rPr>
      </w:pPr>
    </w:p>
    <w:p>
      <w:pPr>
        <w:ind w:left="1260" w:right="739"/>
        <w:spacing w:after="0" w:line="246"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units, the size of this offering and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0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77" w:lineRule="exact"/>
        <w:rPr>
          <w:sz w:val="20"/>
          <w:szCs w:val="20"/>
          <w:color w:val="auto"/>
        </w:rPr>
      </w:pPr>
    </w:p>
    <w:p>
      <w:pPr>
        <w:ind w:left="1800" w:right="1499" w:hanging="178"/>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58" w:lineRule="exact"/>
        <w:rPr>
          <w:sz w:val="20"/>
          <w:szCs w:val="20"/>
          <w:color w:val="auto"/>
        </w:rPr>
      </w:pPr>
    </w:p>
    <w:p>
      <w:pPr>
        <w:ind w:left="1260" w:right="1019" w:firstLine="360"/>
        <w:spacing w:after="0" w:line="250"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73"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90"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183" w:lineRule="exact"/>
        <w:rPr>
          <w:sz w:val="20"/>
          <w:szCs w:val="20"/>
          <w:color w:val="auto"/>
        </w:rPr>
      </w:pPr>
    </w:p>
    <w:p>
      <w:pPr>
        <w:ind w:left="1260" w:right="859"/>
        <w:spacing w:after="0" w:line="317" w:lineRule="auto"/>
        <w:rPr>
          <w:sz w:val="20"/>
          <w:szCs w:val="20"/>
          <w:color w:val="auto"/>
        </w:rPr>
      </w:pPr>
      <w:r>
        <w:rPr>
          <w:rFonts w:ascii="Times New Roman" w:cs="Times New Roman" w:eastAsia="Times New Roman" w:hAnsi="Times New Roman"/>
          <w:sz w:val="17"/>
          <w:szCs w:val="17"/>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55"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45" w:lineRule="auto"/>
        <w:rPr>
          <w:sz w:val="20"/>
          <w:szCs w:val="20"/>
          <w:color w:val="auto"/>
        </w:rPr>
      </w:pPr>
      <w:r>
        <w:rPr>
          <w:rFonts w:ascii="Times New Roman" w:cs="Times New Roman" w:eastAsia="Times New Roman" w:hAnsi="Times New Roman"/>
          <w:sz w:val="18"/>
          <w:szCs w:val="18"/>
          <w:color w:val="auto"/>
        </w:rPr>
        <w:t>(United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77" w:lineRule="exact"/>
        <w:rPr>
          <w:sz w:val="20"/>
          <w:szCs w:val="20"/>
          <w:color w:val="auto"/>
        </w:rPr>
      </w:pPr>
    </w:p>
    <w:p>
      <w:pPr>
        <w:ind w:left="1260" w:right="719"/>
        <w:spacing w:after="0" w:line="24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00"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84"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3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30th.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4" w:lineRule="exact"/>
        <w:rPr>
          <w:sz w:val="20"/>
          <w:szCs w:val="20"/>
          <w:color w:val="auto"/>
        </w:rPr>
      </w:pPr>
    </w:p>
    <w:p>
      <w:pPr>
        <w:jc w:val="both"/>
        <w:ind w:left="1260" w:right="719"/>
        <w:spacing w:after="0" w:line="268"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9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Section 404 of the Sarbanes-Oxley Act requires that we evaluate and report on our system of internal controls beginning with our Annual Report on Form 10-K for the year ending December 31, 2021. Only in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3" w:lineRule="auto"/>
        <w:rPr>
          <w:sz w:val="20"/>
          <w:szCs w:val="20"/>
          <w:color w:val="auto"/>
        </w:rPr>
      </w:pPr>
      <w:r>
        <w:rPr>
          <w:rFonts w:ascii="Times New Roman" w:cs="Times New Roman" w:eastAsia="Times New Roman" w:hAnsi="Times New Roman"/>
          <w:sz w:val="18"/>
          <w:szCs w:val="18"/>
          <w:color w:val="auto"/>
        </w:rPr>
        <w:t>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88" w:lineRule="exact"/>
        <w:rPr>
          <w:sz w:val="20"/>
          <w:szCs w:val="20"/>
          <w:color w:val="auto"/>
        </w:rPr>
      </w:pPr>
    </w:p>
    <w:p>
      <w:pPr>
        <w:jc w:val="both"/>
        <w:ind w:left="1260" w:right="719"/>
        <w:spacing w:after="0" w:line="268" w:lineRule="auto"/>
        <w:rPr>
          <w:sz w:val="20"/>
          <w:szCs w:val="20"/>
          <w:color w:val="auto"/>
        </w:rPr>
      </w:pPr>
      <w:r>
        <w:rPr>
          <w:rFonts w:ascii="Times New Roman" w:cs="Times New Roman" w:eastAsia="Times New Roman" w:hAnsi="Times New Roman"/>
          <w:sz w:val="18"/>
          <w:szCs w:val="18"/>
          <w:b w:val="1"/>
          <w:bCs w:val="1"/>
          <w:color w:val="auto"/>
        </w:rPr>
        <w:t>Provisions in our amended and restated certificate of incorporation and Delaware law may inhibit a takeover of us, which could limit the price investors might be willing to pay in the future for our shares of Class A common stock and could entrench management.</w:t>
      </w:r>
    </w:p>
    <w:p>
      <w:pPr>
        <w:spacing w:after="0" w:line="94"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336"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76" w:lineRule="exact"/>
        <w:rPr>
          <w:sz w:val="20"/>
          <w:szCs w:val="20"/>
          <w:color w:val="auto"/>
        </w:rPr>
      </w:pPr>
    </w:p>
    <w:p>
      <w:pPr>
        <w:ind w:left="1260" w:right="959"/>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amended and restated certificate of incorporation and Delaware law may have the effect of discouraging lawsuits against our directors and officers.</w:t>
      </w:r>
    </w:p>
    <w:p>
      <w:pPr>
        <w:spacing w:after="0" w:line="91"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require,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w:t>
      </w:r>
    </w:p>
    <w:p>
      <w:pPr>
        <w:spacing w:after="0" w:line="3" w:lineRule="exact"/>
        <w:rPr>
          <w:sz w:val="20"/>
          <w:szCs w:val="20"/>
          <w:color w:val="auto"/>
        </w:rPr>
      </w:pPr>
    </w:p>
    <w:p>
      <w:pPr>
        <w:ind w:left="1260" w:right="819" w:firstLine="2"/>
        <w:spacing w:after="0" w:line="250" w:lineRule="auto"/>
        <w:tabs>
          <w:tab w:leader="none" w:pos="15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1" w:lineRule="exact"/>
        <w:rPr>
          <w:rFonts w:ascii="Times New Roman" w:cs="Times New Roman" w:eastAsia="Times New Roman" w:hAnsi="Times New Roman"/>
          <w:sz w:val="18"/>
          <w:szCs w:val="18"/>
          <w:color w:val="auto"/>
        </w:rPr>
      </w:pPr>
    </w:p>
    <w:p>
      <w:pPr>
        <w:ind w:left="1560" w:hanging="298"/>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vested in the exclusive jurisdiction of a court or forum other than the Court of Chancery or</w:t>
      </w:r>
    </w:p>
    <w:p>
      <w:pPr>
        <w:spacing w:after="0" w:line="9" w:lineRule="exact"/>
        <w:rPr>
          <w:rFonts w:ascii="Times New Roman" w:cs="Times New Roman" w:eastAsia="Times New Roman" w:hAnsi="Times New Roman"/>
          <w:sz w:val="18"/>
          <w:szCs w:val="18"/>
          <w:color w:val="auto"/>
        </w:rPr>
      </w:pPr>
    </w:p>
    <w:p>
      <w:pPr>
        <w:ind w:left="1260" w:right="739" w:firstLine="2"/>
        <w:spacing w:after="0" w:line="252" w:lineRule="auto"/>
        <w:tabs>
          <w:tab w:leader="none" w:pos="15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323"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ectPr>
          <w:pgSz w:w="11900" w:h="16838" w:orient="portrait"/>
          <w:cols w:equalWidth="0" w:num="1">
            <w:col w:w="10139"/>
          </w:cols>
          <w:pgMar w:left="320" w:top="114"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provisions, and the enforceability of similar choice of forum provisions in other companies’ charter documents has been challenged in legal proceedings. While the Delaware courts have determined that such exclusive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our securities shall be deemed to have notice of an consented to these provisions; however, we note that investors cannot waive compliance with the federal securities laws and the rules and regulations thereunder.</w:t>
      </w:r>
    </w:p>
    <w:p>
      <w:pPr>
        <w:spacing w:after="0" w:line="110"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Although we believe this provision benefits us by providing increased consistency in the application of Delaware law in the types of lawsuits to which it applies, the provision may limit our stockholders’ ability to obtain a favorable judicial forum for disputed with us and may have the effect of discouraging lawsuits against our directors and officers.</w:t>
      </w:r>
    </w:p>
    <w:p>
      <w:pPr>
        <w:spacing w:after="0" w:line="177" w:lineRule="exact"/>
        <w:rPr>
          <w:sz w:val="20"/>
          <w:szCs w:val="20"/>
          <w:color w:val="auto"/>
        </w:rPr>
      </w:pPr>
    </w:p>
    <w:p>
      <w:pPr>
        <w:ind w:left="1260" w:right="1359"/>
        <w:spacing w:after="0" w:line="271" w:lineRule="auto"/>
        <w:rPr>
          <w:sz w:val="20"/>
          <w:szCs w:val="20"/>
          <w:color w:val="auto"/>
        </w:rPr>
      </w:pPr>
      <w:r>
        <w:rPr>
          <w:rFonts w:ascii="Times New Roman" w:cs="Times New Roman" w:eastAsia="Times New Roman" w:hAnsi="Times New Roman"/>
          <w:sz w:val="18"/>
          <w:szCs w:val="18"/>
          <w:b w:val="1"/>
          <w:bCs w:val="1"/>
          <w:color w:val="auto"/>
        </w:rPr>
        <w:t>Cyber incidents or attacks directed at us could result in information theft, data corruption, operational disruption and/or financial loss.</w:t>
      </w:r>
    </w:p>
    <w:p>
      <w:pPr>
        <w:spacing w:after="0" w:line="90"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7"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color w:val="auto"/>
        </w:rPr>
        <w:t>If we effect our initial business combination with a company located outside of the United States, we would be subject to a variety of additional risks that may adversely affect us.</w:t>
      </w:r>
    </w:p>
    <w:p>
      <w:pPr>
        <w:spacing w:after="0" w:line="90"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00"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324" w:lineRule="exact"/>
        <w:rPr>
          <w:sz w:val="20"/>
          <w:szCs w:val="20"/>
          <w:color w:val="auto"/>
        </w:rPr>
      </w:pPr>
    </w:p>
    <w:p>
      <w:pPr>
        <w:jc w:val="both"/>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69" w:lineRule="exact"/>
        <w:rPr>
          <w:sz w:val="20"/>
          <w:szCs w:val="20"/>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inherent in managing cross-border business operations;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regarding currency redemption;</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corporate withholding taxes on individuals;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10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4" w:name="page65"/>
    <w:bookmarkEnd w:id="6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or regional economic policies and market conditions;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managing and staffing international operations;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underdeveloped or unpredictable legal or regulatory systems;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crime, strikes, riots and civil disturbances;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regime changes and political upheaval;</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wars;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w:t>
      </w:r>
    </w:p>
    <w:p>
      <w:pPr>
        <w:spacing w:after="0" w:line="14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5" w:name="page66"/>
    <w:bookmarkEnd w:id="6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80" w:lineRule="exact"/>
        <w:rPr>
          <w:sz w:val="20"/>
          <w:szCs w:val="20"/>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 appropriate target business or businesses;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the performance of the prospective target business or businesses;</w:t>
      </w:r>
    </w:p>
    <w:p>
      <w:pPr>
        <w:spacing w:after="0" w:line="117" w:lineRule="exact"/>
        <w:rPr>
          <w:rFonts w:ascii="Times New Roman" w:cs="Times New Roman" w:eastAsia="Times New Roman" w:hAnsi="Times New Roman"/>
          <w:sz w:val="18"/>
          <w:szCs w:val="18"/>
          <w:color w:val="auto"/>
        </w:rPr>
      </w:pPr>
    </w:p>
    <w:p>
      <w:pPr>
        <w:ind w:left="1800" w:right="67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53" w:lineRule="exact"/>
        <w:rPr>
          <w:rFonts w:ascii="Times New Roman" w:cs="Times New Roman" w:eastAsia="Times New Roman" w:hAnsi="Times New Roman"/>
          <w:sz w:val="18"/>
          <w:szCs w:val="18"/>
          <w:color w:val="auto"/>
        </w:rPr>
      </w:pPr>
    </w:p>
    <w:p>
      <w:pPr>
        <w:ind w:left="1800" w:right="73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117" w:lineRule="exact"/>
        <w:rPr>
          <w:rFonts w:ascii="Times New Roman" w:cs="Times New Roman" w:eastAsia="Times New Roman" w:hAnsi="Times New Roman"/>
          <w:sz w:val="18"/>
          <w:szCs w:val="18"/>
          <w:color w:val="auto"/>
        </w:rPr>
      </w:pPr>
    </w:p>
    <w:p>
      <w:pPr>
        <w:ind w:left="1800" w:right="87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an initial business combination due to the uncertainty resulting from the recent COVID-19 pandemic;</w:t>
      </w:r>
    </w:p>
    <w:p>
      <w:pPr>
        <w:spacing w:after="0" w:line="53" w:lineRule="exact"/>
        <w:rPr>
          <w:rFonts w:ascii="Times New Roman" w:cs="Times New Roman" w:eastAsia="Times New Roman" w:hAnsi="Times New Roman"/>
          <w:sz w:val="18"/>
          <w:szCs w:val="18"/>
          <w:color w:val="auto"/>
        </w:rPr>
      </w:pPr>
    </w:p>
    <w:p>
      <w:pPr>
        <w:ind w:left="1800" w:right="119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business combination opportunities;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w:t>
      </w:r>
    </w:p>
    <w:p>
      <w:pPr>
        <w:spacing w:after="0" w:line="117" w:lineRule="exact"/>
        <w:rPr>
          <w:rFonts w:ascii="Times New Roman" w:cs="Times New Roman" w:eastAsia="Times New Roman" w:hAnsi="Times New Roman"/>
          <w:sz w:val="18"/>
          <w:szCs w:val="18"/>
          <w:color w:val="auto"/>
        </w:rPr>
      </w:pPr>
    </w:p>
    <w:p>
      <w:pPr>
        <w:ind w:left="1800" w:right="859" w:hanging="178"/>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proceeds not held in the trust account or available to us from interest income on the trust account balance;</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account not being subject to claims of third parties; or</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158" w:lineRule="exact"/>
        <w:rPr>
          <w:sz w:val="20"/>
          <w:szCs w:val="20"/>
          <w:color w:val="auto"/>
        </w:rPr>
      </w:pPr>
    </w:p>
    <w:p>
      <w:pPr>
        <w:ind w:left="1260" w:right="759" w:firstLine="3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w:t>
      </w:r>
      <w:hyperlink w:anchor="page33">
        <w:r>
          <w:rPr>
            <w:rFonts w:ascii="Times New Roman" w:cs="Times New Roman" w:eastAsia="Times New Roman" w:hAnsi="Times New Roman"/>
            <w:sz w:val="18"/>
            <w:szCs w:val="18"/>
            <w:u w:val="single" w:color="auto"/>
            <w:color w:val="0000EE"/>
          </w:rPr>
          <w:t>33</w:t>
        </w:r>
      </w:hyperlink>
      <w:r>
        <w:rPr>
          <w:rFonts w:ascii="Times New Roman" w:cs="Times New Roman" w:eastAsia="Times New Roman" w:hAnsi="Times New Roman"/>
          <w:sz w:val="18"/>
          <w:szCs w:val="18"/>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6" w:name="page67"/>
    <w:bookmarkEnd w:id="6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We are offering 10,000,000 units at an offering price of $10.00 per unit. We estimate that the net proceeds of this offering together with the funds we will receive from the sale of the private placement units will be used as set forth in the following table.</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Without Over-</w:t>
            </w:r>
          </w:p>
        </w:tc>
        <w:tc>
          <w:tcPr>
            <w:tcW w:w="10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allotment Option</w:t>
            </w:r>
          </w:p>
        </w:tc>
        <w:tc>
          <w:tcPr>
            <w:tcW w:w="10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23"/>
        </w:trPr>
        <w:tc>
          <w:tcPr>
            <w:tcW w:w="5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Gross proceeds from units offered to public</w:t>
            </w:r>
            <w:r>
              <w:rPr>
                <w:rFonts w:ascii="Times New Roman" w:cs="Times New Roman" w:eastAsia="Times New Roman" w:hAnsi="Times New Roman"/>
                <w:sz w:val="26"/>
                <w:szCs w:val="26"/>
                <w:color w:val="auto"/>
                <w:vertAlign w:val="superscript"/>
              </w:rPr>
              <w:t>(1)</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100,000,000</w:t>
            </w:r>
          </w:p>
        </w:tc>
        <w:tc>
          <w:tcPr>
            <w:tcW w:w="24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115,000,000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proceeds from private placement units offered in the private</w:t>
            </w:r>
          </w:p>
        </w:tc>
        <w:tc>
          <w:tcPr>
            <w:tcW w:w="2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placement</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24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gross proceeds</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103,750,000</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119,050,000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Borders>
              <w:top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Estimated offering expenses</w:t>
            </w:r>
            <w:r>
              <w:rPr>
                <w:rFonts w:ascii="Times New Roman" w:cs="Times New Roman" w:eastAsia="Times New Roman" w:hAnsi="Times New Roman"/>
                <w:sz w:val="26"/>
                <w:szCs w:val="26"/>
                <w:color w:val="auto"/>
                <w:vertAlign w:val="superscript"/>
              </w:rPr>
              <w:t>(2)</w:t>
            </w:r>
          </w:p>
        </w:tc>
        <w:tc>
          <w:tcPr>
            <w:tcW w:w="220" w:type="dxa"/>
            <w:vAlign w:val="bottom"/>
            <w:tcBorders>
              <w:top w:val="single" w:sz="8" w:color="CCEEFF"/>
              <w:right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right w:val="single" w:sz="8" w:color="CCEEFF"/>
            </w:tcBorders>
            <w:shd w:val="clear" w:color="auto" w:fill="CCEEFF"/>
          </w:tcPr>
          <w:p>
            <w:pPr>
              <w:spacing w:after="0"/>
              <w:rPr>
                <w:sz w:val="23"/>
                <w:szCs w:val="23"/>
                <w:color w:val="auto"/>
              </w:rPr>
            </w:pPr>
          </w:p>
        </w:tc>
        <w:tc>
          <w:tcPr>
            <w:tcW w:w="240" w:type="dxa"/>
            <w:vAlign w:val="bottom"/>
            <w:tcBorders>
              <w:top w:val="single" w:sz="8" w:color="CCEEFF"/>
              <w:right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7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Underwriting commissions (2.0% of gross proceeds from units offered to</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5760" w:type="dxa"/>
            <w:vAlign w:val="bottom"/>
          </w:tcPr>
          <w:p>
            <w:pPr>
              <w:ind w:left="360"/>
              <w:spacing w:after="0" w:line="296" w:lineRule="exact"/>
              <w:rPr>
                <w:sz w:val="20"/>
                <w:szCs w:val="20"/>
                <w:color w:val="auto"/>
              </w:rPr>
            </w:pPr>
            <w:r>
              <w:rPr>
                <w:rFonts w:ascii="Times New Roman" w:cs="Times New Roman" w:eastAsia="Times New Roman" w:hAnsi="Times New Roman"/>
                <w:sz w:val="18"/>
                <w:szCs w:val="18"/>
                <w:color w:val="auto"/>
              </w:rPr>
              <w:t>public, excluding deferred portion)</w:t>
            </w:r>
            <w:r>
              <w:rPr>
                <w:rFonts w:ascii="Times New Roman" w:cs="Times New Roman" w:eastAsia="Times New Roman" w:hAnsi="Times New Roman"/>
                <w:sz w:val="26"/>
                <w:szCs w:val="26"/>
                <w:color w:val="auto"/>
                <w:vertAlign w:val="superscript"/>
              </w:rPr>
              <w:t>(3)</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fees and expenses</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SEC/FINRA Expenses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Travel and road show</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Nasdaq listing and filing fees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 and officers insurance</w:t>
            </w:r>
          </w:p>
        </w:tc>
        <w:tc>
          <w:tcPr>
            <w:tcW w:w="22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412,000</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offering expenses (other than underwriting commissions)</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Proceeds after estimated offering expenses</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100,750,000</w:t>
            </w:r>
          </w:p>
        </w:tc>
        <w:tc>
          <w:tcPr>
            <w:tcW w:w="2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115,750,000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shd w:val="clear" w:color="auto" w:fill="CCEEFF"/>
          </w:tcPr>
          <w:p>
            <w:pPr>
              <w:spacing w:after="0" w:line="290" w:lineRule="exact"/>
              <w:rPr>
                <w:sz w:val="20"/>
                <w:szCs w:val="20"/>
                <w:color w:val="auto"/>
              </w:rPr>
            </w:pPr>
            <w:r>
              <w:rPr>
                <w:rFonts w:ascii="Times New Roman" w:cs="Times New Roman" w:eastAsia="Times New Roman" w:hAnsi="Times New Roman"/>
                <w:sz w:val="18"/>
                <w:szCs w:val="18"/>
                <w:color w:val="auto"/>
              </w:rPr>
              <w:t>Held in trust account</w:t>
            </w:r>
            <w:r>
              <w:rPr>
                <w:rFonts w:ascii="Times New Roman" w:cs="Times New Roman" w:eastAsia="Times New Roman" w:hAnsi="Times New Roman"/>
                <w:sz w:val="26"/>
                <w:szCs w:val="26"/>
                <w:color w:val="auto"/>
                <w:vertAlign w:val="superscript"/>
              </w:rPr>
              <w:t>(3)</w:t>
            </w: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vMerge w:val="continue"/>
            <w:shd w:val="clear" w:color="auto" w:fill="CCEEFF"/>
          </w:tcPr>
          <w:p>
            <w:pPr>
              <w:spacing w:after="0"/>
              <w:rPr>
                <w:sz w:val="23"/>
                <w:szCs w:val="23"/>
                <w:color w:val="auto"/>
              </w:rPr>
            </w:pP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100,000,000</w:t>
            </w:r>
          </w:p>
        </w:tc>
        <w:tc>
          <w:tcPr>
            <w:tcW w:w="24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115,000,000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 of public offering size</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held in trust account</w:t>
            </w:r>
          </w:p>
        </w:tc>
        <w:tc>
          <w:tcPr>
            <w:tcW w:w="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-539115</wp:posOffset>
            </wp:positionV>
            <wp:extent cx="45777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-882015</wp:posOffset>
            </wp:positionV>
            <wp:extent cx="45777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-2682240</wp:posOffset>
            </wp:positionV>
            <wp:extent cx="45777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-3514090</wp:posOffset>
            </wp:positionV>
            <wp:extent cx="45688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78" w:lineRule="exact"/>
        <w:rPr>
          <w:sz w:val="20"/>
          <w:szCs w:val="20"/>
          <w:color w:val="auto"/>
        </w:rPr>
      </w:pPr>
    </w:p>
    <w:p>
      <w:pPr>
        <w:ind w:left="1260" w:right="83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shows the use of the approximately $750,000 of net proceeds not held in the trust account</w:t>
      </w:r>
      <w:r>
        <w:rPr>
          <w:rFonts w:ascii="Times New Roman" w:cs="Times New Roman" w:eastAsia="Times New Roman" w:hAnsi="Times New Roman"/>
          <w:sz w:val="26"/>
          <w:szCs w:val="26"/>
          <w:color w:val="auto"/>
          <w:vertAlign w:val="superscript"/>
        </w:rPr>
        <w:t>(4)</w:t>
      </w:r>
    </w:p>
    <w:p>
      <w:pPr>
        <w:spacing w:after="0" w:line="3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 of Total</w:t>
            </w:r>
          </w:p>
        </w:tc>
      </w:tr>
      <w:tr>
        <w:trPr>
          <w:trHeight w:val="23"/>
        </w:trPr>
        <w:tc>
          <w:tcPr>
            <w:tcW w:w="194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accounting, due diligence, travel, and other expenses in connection with any</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6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combination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21"/>
                <w:szCs w:val="21"/>
                <w:color w:val="auto"/>
              </w:rPr>
            </w:pPr>
          </w:p>
        </w:tc>
      </w:tr>
      <w:tr>
        <w:trPr>
          <w:trHeight w:val="25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accounting fees related to regulatory reporting obligations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and other regulatory fees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2"/>
                <w:szCs w:val="22"/>
                <w:color w:val="auto"/>
              </w:rPr>
            </w:pPr>
          </w:p>
        </w:tc>
      </w:tr>
      <w:tr>
        <w:trPr>
          <w:trHeight w:val="25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for office space, utilities, administrative and support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5"/>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travel and miscellaneous expenses incurred during search for initial</w:t>
            </w: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8"/>
        </w:trPr>
        <w:tc>
          <w:tcPr>
            <w:tcW w:w="6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combination target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r>
      <w:tr>
        <w:trPr>
          <w:trHeight w:val="264"/>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Working capital to cover miscellaneous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63"/>
        </w:trPr>
        <w:tc>
          <w:tcPr>
            <w:tcW w:w="6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$750,000</w:t>
            </w:r>
          </w:p>
        </w:tc>
        <w:tc>
          <w:tcPr>
            <w:tcW w:w="8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22"/>
                <w:szCs w:val="22"/>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-256540</wp:posOffset>
            </wp:positionV>
            <wp:extent cx="52120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-1525270</wp:posOffset>
            </wp:positionV>
            <wp:extent cx="48006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00600" cy="8890"/>
                    </a:xfrm>
                    <a:prstGeom prst="rect">
                      <a:avLst/>
                    </a:prstGeom>
                    <a:noFill/>
                  </pic:spPr>
                </pic:pic>
              </a:graphicData>
            </a:graphic>
          </wp:anchor>
        </w:drawing>
      </w:r>
    </w:p>
    <w:p>
      <w:pPr>
        <w:spacing w:after="0" w:line="97" w:lineRule="exact"/>
        <w:rPr>
          <w:sz w:val="20"/>
          <w:szCs w:val="20"/>
          <w:color w:val="auto"/>
        </w:rPr>
      </w:pPr>
    </w:p>
    <w:p>
      <w:pPr>
        <w:ind w:left="1620" w:right="819" w:hanging="358"/>
        <w:spacing w:after="0" w:line="281"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payable to public stockholders who properly redeem their shares in connection with our successful completion of our initial business combination.</w:t>
      </w:r>
    </w:p>
    <w:p>
      <w:pPr>
        <w:spacing w:after="0" w:line="1" w:lineRule="exact"/>
        <w:rPr>
          <w:rFonts w:ascii="Times New Roman" w:cs="Times New Roman" w:eastAsia="Times New Roman" w:hAnsi="Times New Roman"/>
          <w:sz w:val="18"/>
          <w:szCs w:val="18"/>
          <w:color w:val="auto"/>
        </w:rPr>
      </w:pPr>
    </w:p>
    <w:p>
      <w:pPr>
        <w:ind w:left="1620" w:right="699" w:hanging="358"/>
        <w:spacing w:after="0" w:line="266"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the offering expenses have been paid from the proceeds of loans from our sponsor of up to $300,000 as described in this prospectus. These loans will be repaid upon completion of this offering out of the $1,000,000 of offering proceeds that has been allocated for the payment of offering expenses</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839"/>
        <w:spacing w:after="0" w:line="266" w:lineRule="auto"/>
        <w:rPr>
          <w:sz w:val="20"/>
          <w:szCs w:val="20"/>
          <w:color w:val="auto"/>
        </w:rPr>
      </w:pPr>
      <w:r>
        <w:rPr>
          <w:rFonts w:ascii="Times New Roman" w:cs="Times New Roman" w:eastAsia="Times New Roman" w:hAnsi="Times New Roman"/>
          <w:sz w:val="18"/>
          <w:szCs w:val="18"/>
          <w:color w:val="auto"/>
        </w:rPr>
        <w:t>other than underwriting commissions. In the event that offering expenses are less than set forth in this table, any such amounts will be used for post-closing working capital expenses.</w:t>
      </w:r>
    </w:p>
    <w:p>
      <w:pPr>
        <w:spacing w:after="0" w:line="14" w:lineRule="exact"/>
        <w:rPr>
          <w:sz w:val="20"/>
          <w:szCs w:val="20"/>
          <w:color w:val="auto"/>
        </w:rPr>
      </w:pPr>
    </w:p>
    <w:p>
      <w:pPr>
        <w:ind w:left="1620" w:right="699" w:hanging="358"/>
        <w:spacing w:after="0" w:line="253"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have agreed to defer underwriting commissions of 3.5% of the gross proceeds of this offering. Upon and concurrently with the completion of our initial business combination, up to $3,500,000, which constitutes the underwriters’ deferred commissions (or up to $4,025,000 if the underwriters’ over-allotment option is exercised in full) will be paid to the underwriters from the funds held in the trust account. See “Underwriting” beginning on page </w:t>
      </w:r>
      <w:hyperlink w:anchor="page145">
        <w:r>
          <w:rPr>
            <w:rFonts w:ascii="Times New Roman" w:cs="Times New Roman" w:eastAsia="Times New Roman" w:hAnsi="Times New Roman"/>
            <w:sz w:val="18"/>
            <w:szCs w:val="18"/>
            <w:u w:val="single" w:color="auto"/>
            <w:color w:val="0000EE"/>
          </w:rPr>
          <w:t>145</w:t>
        </w:r>
      </w:hyperlink>
      <w:r>
        <w:rPr>
          <w:rFonts w:ascii="Times New Roman" w:cs="Times New Roman" w:eastAsia="Times New Roman" w:hAnsi="Times New Roman"/>
          <w:sz w:val="18"/>
          <w:szCs w:val="18"/>
          <w:color w:val="auto"/>
        </w:rPr>
        <w:t>.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43" w:lineRule="exact"/>
        <w:rPr>
          <w:rFonts w:ascii="Times New Roman" w:cs="Times New Roman" w:eastAsia="Times New Roman" w:hAnsi="Times New Roman"/>
          <w:sz w:val="18"/>
          <w:szCs w:val="18"/>
          <w:color w:val="auto"/>
        </w:rPr>
      </w:pPr>
    </w:p>
    <w:p>
      <w:pPr>
        <w:ind w:left="1620" w:right="719" w:hanging="358"/>
        <w:spacing w:after="0" w:line="25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$500,000 per year, assuming an interest rate of 0.5% per year; however, we can provide no assurances regarding this amount.</w:t>
      </w:r>
    </w:p>
    <w:p>
      <w:pPr>
        <w:spacing w:after="0" w:line="330" w:lineRule="exact"/>
        <w:rPr>
          <w:sz w:val="20"/>
          <w:szCs w:val="20"/>
          <w:color w:val="auto"/>
        </w:rPr>
      </w:pPr>
    </w:p>
    <w:p>
      <w:pPr>
        <w:ind w:left="1260" w:right="739" w:firstLine="360"/>
        <w:spacing w:after="0" w:line="242" w:lineRule="auto"/>
        <w:rPr>
          <w:sz w:val="20"/>
          <w:szCs w:val="20"/>
          <w:color w:val="auto"/>
        </w:rPr>
      </w:pPr>
      <w:r>
        <w:rPr>
          <w:rFonts w:ascii="Times New Roman" w:cs="Times New Roman" w:eastAsia="Times New Roman" w:hAnsi="Times New Roman"/>
          <w:sz w:val="18"/>
          <w:szCs w:val="18"/>
          <w:color w:val="auto"/>
        </w:rPr>
        <w:t>Nasdaq rules provide that at least 90% of the gross proceeds from this offering and the sale of the private placement units be deposited in a trust account. Of the $103.75 million in gross proceeds we receive from this offering and the sale of the private placement units described in this prospectus, or</w:t>
      </w:r>
    </w:p>
    <w:p>
      <w:pPr>
        <w:spacing w:after="0" w:line="1" w:lineRule="exact"/>
        <w:rPr>
          <w:sz w:val="20"/>
          <w:szCs w:val="20"/>
          <w:color w:val="auto"/>
        </w:rPr>
      </w:pPr>
    </w:p>
    <w:p>
      <w:pPr>
        <w:ind w:left="1260" w:right="679"/>
        <w:spacing w:after="0" w:line="234" w:lineRule="auto"/>
        <w:rPr>
          <w:sz w:val="20"/>
          <w:szCs w:val="20"/>
          <w:color w:val="auto"/>
        </w:rPr>
      </w:pPr>
      <w:r>
        <w:rPr>
          <w:rFonts w:ascii="Times New Roman" w:cs="Times New Roman" w:eastAsia="Times New Roman" w:hAnsi="Times New Roman"/>
          <w:sz w:val="18"/>
          <w:szCs w:val="18"/>
          <w:color w:val="auto"/>
        </w:rPr>
        <w:t>$119.05 million if the underwriters’ over- allotment option is exercised in full, $100 million ($10.00 per unit), or $ 115 million if the underwriters’ over- allotment option is exercised in full ($10.00 per unit), will be deposited into a trust account with Continental Stock Transfer &amp; Trust Company acting as trustee, after deducting $2 million in underwriting discounts and commissions payable upon the closing of this offering (or $2.3 million if the underwriters’ over-allotment option is exercised in full) and an aggregate of</w:t>
      </w:r>
    </w:p>
    <w:p>
      <w:pPr>
        <w:spacing w:after="0" w:line="3" w:lineRule="exact"/>
        <w:rPr>
          <w:sz w:val="20"/>
          <w:szCs w:val="20"/>
          <w:color w:val="auto"/>
        </w:rPr>
      </w:pPr>
    </w:p>
    <w:p>
      <w:pPr>
        <w:ind w:left="1260" w:right="699"/>
        <w:spacing w:after="0"/>
        <w:rPr>
          <w:sz w:val="20"/>
          <w:szCs w:val="20"/>
          <w:color w:val="auto"/>
        </w:rPr>
      </w:pPr>
      <w:r>
        <w:rPr>
          <w:rFonts w:ascii="Times New Roman" w:cs="Times New Roman" w:eastAsia="Times New Roman" w:hAnsi="Times New Roman"/>
          <w:sz w:val="18"/>
          <w:szCs w:val="18"/>
          <w:color w:val="auto"/>
        </w:rPr>
        <w:t>$1.75 million to pay expenses in connection with the closing of this offering and for working capital following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$500,000 per year, assuming an interest rate of 0.5% per year; however, we can provide no assurances regarding this amount. We expect that the interest earned on the trust account will be sufficient to pay income taxes. We will not be permitted to withdraw any of the principal or interest held in the trust account, except for permitted withdrawals, until the earliest of (i) the completion of our initial business combination, (ii) the redemption of our public shares if we do not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our initial business combination within 24 months from the closing of this offering or with respect to any other material provisions relating to stockholders’ rights or pre-initial business combination activity.</w:t>
      </w:r>
    </w:p>
    <w:p>
      <w:pPr>
        <w:spacing w:after="0" w:line="264"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2" w:lineRule="auto"/>
        <w:rPr>
          <w:sz w:val="20"/>
          <w:szCs w:val="20"/>
          <w:color w:val="auto"/>
        </w:rPr>
      </w:pPr>
      <w:r>
        <w:rPr>
          <w:rFonts w:ascii="Times New Roman" w:cs="Times New Roman" w:eastAsia="Times New Roman" w:hAnsi="Times New Roman"/>
          <w:sz w:val="18"/>
          <w:szCs w:val="18"/>
          <w:color w:val="auto"/>
        </w:rPr>
        <w:t>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advances or other indebtedness in connection with our initial business combination, including pursuant to forward purchase agreements we may enter into following consummation of this offering. However, our amended and restated certificate of incorporation provides that, following this offering and prior to the consummation of our initial business combination, we will be prohibited from issuing additional securities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w:t>
      </w:r>
    </w:p>
    <w:p>
      <w:pPr>
        <w:spacing w:after="0" w:line="33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24"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We will reimburse an affiliate of our sponsor for office space, secretarial and administrative services provided to members of our management team, in an amount not to exceed $10,000 per month in the event such space and/or services are utilized and we do not pay a third party directly for such services. Upon completion of our initial business combination or our liquidation, we will cease paying these monthly fees.</w:t>
      </w:r>
    </w:p>
    <w:p>
      <w:pPr>
        <w:spacing w:after="0" w:line="112" w:lineRule="exact"/>
        <w:rPr>
          <w:sz w:val="20"/>
          <w:szCs w:val="20"/>
          <w:color w:val="auto"/>
        </w:rPr>
      </w:pPr>
    </w:p>
    <w:p>
      <w:pPr>
        <w:ind w:left="1260" w:right="739" w:firstLine="360"/>
        <w:spacing w:after="0" w:line="259" w:lineRule="auto"/>
        <w:rPr>
          <w:sz w:val="20"/>
          <w:szCs w:val="20"/>
          <w:color w:val="auto"/>
        </w:rPr>
      </w:pPr>
      <w:r>
        <w:rPr>
          <w:rFonts w:ascii="Times New Roman" w:cs="Times New Roman" w:eastAsia="Times New Roman" w:hAnsi="Times New Roman"/>
          <w:sz w:val="18"/>
          <w:szCs w:val="18"/>
          <w:color w:val="auto"/>
        </w:rPr>
        <w:t>Prior to the closing of this offering, our sponsor has agreed to loan us up to $300,000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322"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private placement-equivalent units of the post business combination entity at a price of $10.00 per unit at the option of the lender. The units would be identical to the private placement units.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69" w:name="page70"/>
    <w:bookmarkEnd w:id="6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48"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0" w:name="page71"/>
    <w:bookmarkEnd w:id="7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of Class A common stock, assuming no value is attributed to the warrants included in the units we are offering pursuant to this prospectus or the private placement units,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units,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shares of Class A common stock which may be redeemed for cash), by the number of shares of outstanding Class A common stock.</w:t>
      </w:r>
    </w:p>
    <w:p>
      <w:pPr>
        <w:spacing w:after="0" w:line="121"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At June 30, 2020, our net tangible book deficit was $(66,000), or approximately $(0.02) per common share. After giving effect to the sale of 10,000,000 shares of Class A common stock included in the units we are offering by this prospectus (or 11,500,000 shares of Class A common stock if the underwriters’ over-allotment option is exercised in full), the sale of the private placement units and the deduction of underwriting commissions and estimated expenses of this offering, our pro forma net tangible book value at June 30, 2020 would have been $5,000,010 or $1.37 per share (or $5,000,010 or $1.22 per share if the underwriters’ over-allotment option is exercised in full), representing an immediate increase in net tangible book value (as decreased by the value of the 9,227,399 shares of Class A common stock that may be redeemed for cash, or 10,674,899 shares of Class A common stock if the underwriters’ over-allotment option is exercised in full) of $1.39 per share (or $1.24 if the underwriters’ over-allotment option is exercised in full) to our initial stockholders as of the date of this prospectus and an immediate dilution to public stockholders from this offering of $8.63 per share (or $8.78 if the underwriters’ over-allotment option is exercised in full).</w:t>
      </w:r>
    </w:p>
    <w:p>
      <w:pPr>
        <w:spacing w:after="0" w:line="33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public stockholders on a per-share basis, assuming no value is attributed to the warrants included in the units or the private placement units: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 exercise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 over-</w:t>
            </w:r>
          </w:p>
        </w:tc>
        <w:tc>
          <w:tcPr>
            <w:tcW w:w="124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w w:val="97"/>
              </w:rPr>
              <w:t>Exercise of over-</w:t>
            </w:r>
          </w:p>
        </w:tc>
      </w:tr>
      <w:tr>
        <w:trPr>
          <w:trHeight w:val="162"/>
        </w:trPr>
        <w:tc>
          <w:tcPr>
            <w:tcW w:w="62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allotment</w:t>
            </w: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allotment</w:t>
            </w:r>
          </w:p>
        </w:tc>
      </w:tr>
      <w:tr>
        <w:trPr>
          <w:trHeight w:val="190"/>
        </w:trPr>
        <w:tc>
          <w:tcPr>
            <w:tcW w:w="628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 in full</w:t>
            </w:r>
          </w:p>
        </w:tc>
      </w:tr>
      <w:tr>
        <w:trPr>
          <w:trHeight w:val="23"/>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8"/>
              </w:rPr>
              <w:t>10.00</w:t>
            </w:r>
          </w:p>
        </w:tc>
      </w:tr>
      <w:tr>
        <w:trPr>
          <w:trHeight w:val="257"/>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deficit before this offering</w:t>
            </w:r>
          </w:p>
        </w:tc>
        <w:tc>
          <w:tcPr>
            <w:tcW w:w="1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(0.02)</w:t>
            </w:r>
          </w:p>
        </w:tc>
      </w:tr>
      <w:tr>
        <w:trPr>
          <w:trHeight w:val="25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attributable to public stockholders</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1.24</w:t>
            </w:r>
          </w:p>
        </w:tc>
      </w:t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 and the sale of the private</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1"/>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placement units</w:t>
            </w:r>
          </w:p>
        </w:tc>
        <w:tc>
          <w:tcPr>
            <w:tcW w:w="18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1.22</w:t>
            </w:r>
          </w:p>
        </w:tc>
      </w:tr>
      <w:tr>
        <w:trPr>
          <w:trHeight w:val="263"/>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public stockholders</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-967740</wp:posOffset>
            </wp:positionV>
            <wp:extent cx="45688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110"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For purposes of presentation, we have reduced our pro forma net tangible book value after this offering (assuming no exercise of the underwriters’ over-allotment option) by $92,273,990 because holders of up to approximately 92.3%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earned on the funds held in the trust account (net of permitted withdrawals), divided by the number of shares of Class A common stock sold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1" w:name="page72"/>
    <w:bookmarkEnd w:id="7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our initial stockholders and the public stockholders: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6"/>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4"/>
                <w:szCs w:val="14"/>
                <w:color w:val="auto"/>
              </w:rPr>
            </w:pPr>
          </w:p>
        </w:tc>
        <w:tc>
          <w:tcPr>
            <w:tcW w:w="200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96"/>
        </w:trPr>
        <w:tc>
          <w:tcPr>
            <w:tcW w:w="1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4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gridSpan w:val="6"/>
            <w:vMerge w:val="continue"/>
          </w:tcPr>
          <w:p>
            <w:pPr>
              <w:spacing w:after="0"/>
              <w:rPr>
                <w:sz w:val="8"/>
                <w:szCs w:val="8"/>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7"/>
                <w:szCs w:val="17"/>
                <w:color w:val="auto"/>
              </w:rPr>
            </w:pPr>
          </w:p>
        </w:tc>
        <w:tc>
          <w:tcPr>
            <w:tcW w:w="9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100" w:type="dxa"/>
            <w:vAlign w:val="bottom"/>
          </w:tcPr>
          <w:p>
            <w:pPr>
              <w:spacing w:after="0"/>
              <w:rPr>
                <w:sz w:val="17"/>
                <w:szCs w:val="17"/>
                <w:color w:val="auto"/>
              </w:rPr>
            </w:pPr>
          </w:p>
        </w:tc>
        <w:tc>
          <w:tcPr>
            <w:tcW w:w="9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8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Percentage</w:t>
            </w:r>
          </w:p>
        </w:tc>
        <w:tc>
          <w:tcPr>
            <w:tcW w:w="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6"/>
                <w:szCs w:val="26"/>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120" w:type="dxa"/>
            <w:vAlign w:val="bottom"/>
            <w:tcBorders>
              <w:right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1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0.024%</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$0.009</w:t>
            </w:r>
          </w:p>
        </w:tc>
        <w:tc>
          <w:tcPr>
            <w:tcW w:w="0" w:type="dxa"/>
            <w:vAlign w:val="bottom"/>
          </w:tcPr>
          <w:p>
            <w:pPr>
              <w:spacing w:after="0"/>
              <w:rPr>
                <w:sz w:val="1"/>
                <w:szCs w:val="1"/>
                <w:color w:val="auto"/>
              </w:rPr>
            </w:pPr>
          </w:p>
        </w:tc>
      </w:tr>
      <w:tr>
        <w:trPr>
          <w:trHeight w:val="25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 Unitholders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1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1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3.614%</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63"/>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Stockholders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10,000,000</w:t>
            </w:r>
          </w:p>
        </w:tc>
        <w:tc>
          <w:tcPr>
            <w:tcW w:w="340" w:type="dxa"/>
            <w:vAlign w:val="bottom"/>
            <w:gridSpan w:val="2"/>
            <w:shd w:val="clear" w:color="auto" w:fill="CCEEFF"/>
          </w:tcPr>
          <w:p>
            <w:pPr>
              <w:spacing w:after="0"/>
              <w:rPr>
                <w:sz w:val="22"/>
                <w:szCs w:val="22"/>
                <w:color w:val="auto"/>
              </w:rPr>
            </w:pPr>
          </w:p>
        </w:tc>
        <w:tc>
          <w:tcPr>
            <w:tcW w:w="78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100,000,000</w:t>
            </w:r>
          </w:p>
        </w:tc>
        <w:tc>
          <w:tcPr>
            <w:tcW w:w="11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96.362%</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12,875,000</w:t>
            </w:r>
          </w:p>
        </w:tc>
        <w:tc>
          <w:tcPr>
            <w:tcW w:w="340" w:type="dxa"/>
            <w:vAlign w:val="bottom"/>
            <w:gridSpan w:val="2"/>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7"/>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103,775,000</w:t>
            </w:r>
          </w:p>
        </w:tc>
        <w:tc>
          <w:tcPr>
            <w:tcW w:w="11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-796925</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-796925</wp:posOffset>
            </wp:positionV>
            <wp:extent cx="137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-796925</wp:posOffset>
            </wp:positionV>
            <wp:extent cx="2940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4005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-796925</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97" w:lineRule="exact"/>
        <w:rPr>
          <w:sz w:val="20"/>
          <w:szCs w:val="20"/>
          <w:color w:val="auto"/>
        </w:rPr>
      </w:pPr>
    </w:p>
    <w:p>
      <w:pPr>
        <w:ind w:left="1620" w:right="1059" w:hanging="358"/>
        <w:spacing w:after="0" w:line="282"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375,000 founder shares are forfeited after the closing of this offering in the event the underwriters do not exercise their over-allotment option.</w:t>
      </w:r>
    </w:p>
    <w:p>
      <w:pPr>
        <w:spacing w:after="0" w:line="9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pro forma net tangible book value per share after the offering (assuming that the underwriters do not exercise their over-allotment option) is calculated as follows:</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r>
        <w:trPr>
          <w:trHeight w:val="270"/>
        </w:trPr>
        <w:tc>
          <w:tcPr>
            <w:tcW w:w="72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Proceeds from this offering and sale of the private placement units, net of expenses</w:t>
            </w:r>
            <w:r>
              <w:rPr>
                <w:rFonts w:ascii="Times New Roman" w:cs="Times New Roman" w:eastAsia="Times New Roman" w:hAnsi="Times New Roman"/>
                <w:sz w:val="26"/>
                <w:szCs w:val="26"/>
                <w:color w:val="auto"/>
                <w:vertAlign w:val="superscript"/>
              </w:rPr>
              <w:t>(1)</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100,750,000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Offering costs accrued for and paid in advance, excluded from net tangible book value</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before this offering</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deferred underwriters’ commissions payable</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2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Less: amount of Class A common stock subject to redemption to maintain net tangible assets</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220" w:type="dxa"/>
            <w:vAlign w:val="bottom"/>
            <w:gridSpan w:val="2"/>
          </w:tcPr>
          <w:p>
            <w:pPr>
              <w:ind w:left="180"/>
              <w:spacing w:after="0" w:line="296" w:lineRule="exact"/>
              <w:rPr>
                <w:sz w:val="20"/>
                <w:szCs w:val="20"/>
                <w:color w:val="auto"/>
              </w:rPr>
            </w:pPr>
            <w:r>
              <w:rPr>
                <w:rFonts w:ascii="Times New Roman" w:cs="Times New Roman" w:eastAsia="Times New Roman" w:hAnsi="Times New Roman"/>
                <w:sz w:val="18"/>
                <w:szCs w:val="18"/>
                <w:color w:val="auto"/>
              </w:rPr>
              <w:t>of $5,000,001</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(92,273,990)</w:t>
            </w:r>
          </w:p>
        </w:tc>
        <w:tc>
          <w:tcPr>
            <w:tcW w:w="0" w:type="dxa"/>
            <w:vAlign w:val="bottom"/>
          </w:tcPr>
          <w:p>
            <w:pPr>
              <w:spacing w:after="0"/>
              <w:rPr>
                <w:sz w:val="1"/>
                <w:szCs w:val="1"/>
                <w:color w:val="auto"/>
              </w:rPr>
            </w:pPr>
          </w:p>
        </w:tc>
      </w:tr>
      <w:tr>
        <w:trPr>
          <w:trHeight w:val="257"/>
        </w:trPr>
        <w:tc>
          <w:tcPr>
            <w:tcW w:w="1940" w:type="dxa"/>
            <w:vAlign w:val="bottom"/>
            <w:tcBorders>
              <w:top w:val="single" w:sz="8" w:color="CCEEFF"/>
              <w:bottom w:val="single" w:sz="8" w:color="CCEEFF"/>
            </w:tcBorders>
            <w:shd w:val="clear" w:color="auto" w:fill="CCEEFF"/>
          </w:tcPr>
          <w:p>
            <w:pPr>
              <w:spacing w:after="0"/>
              <w:rPr>
                <w:sz w:val="22"/>
                <w:szCs w:val="22"/>
                <w:color w:val="auto"/>
              </w:rPr>
            </w:pPr>
          </w:p>
        </w:tc>
        <w:tc>
          <w:tcPr>
            <w:tcW w:w="52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2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Class B common stock outstanding prior to this offering</w:t>
            </w:r>
            <w:r>
              <w:rPr>
                <w:rFonts w:ascii="Times New Roman" w:cs="Times New Roman" w:eastAsia="Times New Roman" w:hAnsi="Times New Roman"/>
                <w:sz w:val="26"/>
                <w:szCs w:val="26"/>
                <w:color w:val="auto"/>
                <w:vertAlign w:val="superscript"/>
              </w:rPr>
              <w:t>(3)</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included in the units offered</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shares subject to redemption to maintain net tangible assets of $5,000,001</w:t>
            </w:r>
          </w:p>
        </w:tc>
        <w:tc>
          <w:tcPr>
            <w:tcW w:w="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(9,227,399)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3,647,601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52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-1148080</wp:posOffset>
            </wp:positionV>
            <wp:extent cx="45777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110" w:lineRule="exact"/>
        <w:rPr>
          <w:sz w:val="20"/>
          <w:szCs w:val="20"/>
          <w:color w:val="auto"/>
        </w:rPr>
      </w:pPr>
    </w:p>
    <w:p>
      <w:pPr>
        <w:ind w:left="1620" w:right="1039" w:hanging="358"/>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applied against gross proceeds include offering expenses of $1,000,000 and underwriting commissions of $2,000,000 (excluding deferred underwriting fees). See “Use of Proceeds.”</w:t>
      </w:r>
    </w:p>
    <w:p>
      <w:pPr>
        <w:spacing w:after="0" w:line="13" w:lineRule="exact"/>
        <w:rPr>
          <w:rFonts w:ascii="Times New Roman" w:cs="Times New Roman" w:eastAsia="Times New Roman" w:hAnsi="Times New Roman"/>
          <w:sz w:val="18"/>
          <w:szCs w:val="18"/>
          <w:color w:val="auto"/>
        </w:rPr>
      </w:pPr>
    </w:p>
    <w:p>
      <w:pPr>
        <w:ind w:left="1620" w:right="699" w:hanging="358"/>
        <w:spacing w:after="0" w:line="253"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w:t>
      </w:r>
    </w:p>
    <w:p>
      <w:pPr>
        <w:spacing w:after="0" w:line="2" w:lineRule="exact"/>
        <w:rPr>
          <w:rFonts w:ascii="Times New Roman" w:cs="Times New Roman" w:eastAsia="Times New Roman" w:hAnsi="Times New Roman"/>
          <w:sz w:val="18"/>
          <w:szCs w:val="18"/>
          <w:color w:val="auto"/>
        </w:rPr>
      </w:pPr>
    </w:p>
    <w:p>
      <w:pPr>
        <w:ind w:left="1620" w:right="7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tangible book value per share. See “Proposed Business — Effecting Our Initial Business Combination — Permitted Purchases of Our Securities.”</w:t>
      </w:r>
    </w:p>
    <w:p>
      <w:pPr>
        <w:spacing w:after="0" w:line="32" w:lineRule="exact"/>
        <w:rPr>
          <w:rFonts w:ascii="Times New Roman" w:cs="Times New Roman" w:eastAsia="Times New Roman" w:hAnsi="Times New Roman"/>
          <w:sz w:val="18"/>
          <w:szCs w:val="18"/>
          <w:color w:val="auto"/>
        </w:rPr>
      </w:pPr>
    </w:p>
    <w:p>
      <w:pPr>
        <w:ind w:left="1620" w:hanging="358"/>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375,000 founder shares are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2" w:name="page73"/>
    <w:bookmarkEnd w:id="7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capitalization at June 30, 2020, and as adjusted to give effect to the filing of our amended and restated certificate of incorporation, the sale of our units in this offering and the sale of the private placement units and the application of the estimated net proceeds derived from the sale of such securities, assuming no exercise by the underwriters of their over-allotment option:</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0" w:type="dxa"/>
            <w:vAlign w:val="bottom"/>
            <w:gridSpan w:val="2"/>
          </w:tcPr>
          <w:p>
            <w:pPr>
              <w:jc w:val="right"/>
              <w:ind w:right="10"/>
              <w:spacing w:after="0" w:line="237" w:lineRule="exact"/>
              <w:rPr>
                <w:sz w:val="20"/>
                <w:szCs w:val="20"/>
                <w:color w:val="auto"/>
              </w:rPr>
            </w:pPr>
            <w:r>
              <w:rPr>
                <w:rFonts w:ascii="Times New Roman" w:cs="Times New Roman" w:eastAsia="Times New Roman" w:hAnsi="Times New Roman"/>
                <w:sz w:val="14"/>
                <w:szCs w:val="14"/>
                <w:b w:val="1"/>
                <w:bCs w:val="1"/>
                <w:color w:val="auto"/>
                <w:w w:val="97"/>
              </w:rPr>
              <w:t>As Adjusted</w:t>
            </w:r>
            <w:r>
              <w:rPr>
                <w:rFonts w:ascii="Times New Roman" w:cs="Times New Roman" w:eastAsia="Times New Roman" w:hAnsi="Times New Roman"/>
                <w:sz w:val="21"/>
                <w:szCs w:val="21"/>
                <w:b w:val="1"/>
                <w:bCs w:val="1"/>
                <w:color w:val="auto"/>
                <w:w w:val="97"/>
                <w:vertAlign w:val="superscript"/>
              </w:rPr>
              <w:t>(1)</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380" w:type="dxa"/>
            <w:vAlign w:val="bottom"/>
            <w:tcBorders>
              <w:top w:val="single" w:sz="8" w:color="CCEEFF"/>
            </w:tcBorders>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Note payable – related party</w:t>
            </w:r>
            <w:r>
              <w:rPr>
                <w:rFonts w:ascii="Times New Roman" w:cs="Times New Roman" w:eastAsia="Times New Roman" w:hAnsi="Times New Roman"/>
                <w:sz w:val="26"/>
                <w:szCs w:val="26"/>
                <w:color w:val="auto"/>
                <w:vertAlign w:val="superscript"/>
              </w:rPr>
              <w:t>(1)</w:t>
            </w:r>
          </w:p>
        </w:tc>
        <w:tc>
          <w:tcPr>
            <w:tcW w:w="2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$25,000</w:t>
            </w: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64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Class A common stock, subject to possible redemption; 0 shares actual; 9,227,399</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6400" w:type="dxa"/>
            <w:vAlign w:val="bottom"/>
            <w:gridSpan w:val="3"/>
            <w:shd w:val="clear" w:color="auto" w:fill="CCEEFF"/>
          </w:tcPr>
          <w:p>
            <w:pPr>
              <w:ind w:left="180"/>
              <w:spacing w:after="0" w:line="296" w:lineRule="exact"/>
              <w:rPr>
                <w:sz w:val="20"/>
                <w:szCs w:val="20"/>
                <w:color w:val="auto"/>
              </w:rPr>
            </w:pPr>
            <w:r>
              <w:rPr>
                <w:rFonts w:ascii="Times New Roman" w:cs="Times New Roman" w:eastAsia="Times New Roman" w:hAnsi="Times New Roman"/>
                <w:sz w:val="18"/>
                <w:szCs w:val="18"/>
                <w:color w:val="auto"/>
              </w:rPr>
              <w:t>shares as adjusted</w:t>
            </w:r>
            <w:r>
              <w:rPr>
                <w:rFonts w:ascii="Times New Roman" w:cs="Times New Roman" w:eastAsia="Times New Roman" w:hAnsi="Times New Roman"/>
                <w:sz w:val="26"/>
                <w:szCs w:val="26"/>
                <w:color w:val="auto"/>
                <w:vertAlign w:val="superscript"/>
              </w:rPr>
              <w:t>(2)</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92,273,990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 shares issued</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 outstanding (actual and as adjusted);</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Class A common stock, $0.0001 par value, 380,000,000 shares authorized; no</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or outstanding (actual); 1,147,601 shares issued and outstanding</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(excluding 9,227,399 shares subject to redemption) (as adjusted)</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 $0.0001 par value, 20,000,000 shares authorized (actual</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as adjusted); 2,875,000 shares issued and outstanding (actual); 2,500,000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adjusted)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5,000,645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0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0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$49,000</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100,774,000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-273685</wp:posOffset>
            </wp:positionV>
            <wp:extent cx="45777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-2776855</wp:posOffset>
            </wp:positionV>
            <wp:extent cx="45688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110" w:lineRule="exact"/>
        <w:rPr>
          <w:sz w:val="20"/>
          <w:szCs w:val="20"/>
          <w:color w:val="auto"/>
        </w:rPr>
      </w:pPr>
    </w:p>
    <w:p>
      <w:pPr>
        <w:ind w:left="1620" w:right="859" w:hanging="358"/>
        <w:spacing w:after="0" w:line="261"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may loan us up to $300,000 under an unsecured promissory note to be used for a portion of the expenses of this offering. The “as adjusted” information gives effect to the repayment of any loans made under this note out of the proceeds from this offering and the sale of the private placement units. As of June 30, 2020, we had borrowed $25,000 under the promissory note.</w:t>
      </w:r>
    </w:p>
    <w:p>
      <w:pPr>
        <w:spacing w:after="0" w:line="31" w:lineRule="exact"/>
        <w:rPr>
          <w:rFonts w:ascii="Times New Roman" w:cs="Times New Roman" w:eastAsia="Times New Roman" w:hAnsi="Times New Roman"/>
          <w:sz w:val="18"/>
          <w:szCs w:val="18"/>
          <w:color w:val="auto"/>
        </w:rPr>
      </w:pPr>
    </w:p>
    <w:p>
      <w:pPr>
        <w:ind w:left="1620" w:right="679" w:hanging="358"/>
        <w:spacing w:after="0" w:line="25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the limitations described herein whereby redemptions cannot cause our net tangible assets to be less than $5,000,001.</w:t>
      </w:r>
    </w:p>
    <w:p>
      <w:pPr>
        <w:spacing w:after="0" w:line="268" w:lineRule="exact"/>
        <w:rPr>
          <w:rFonts w:ascii="Times New Roman" w:cs="Times New Roman" w:eastAsia="Times New Roman" w:hAnsi="Times New Roman"/>
          <w:sz w:val="18"/>
          <w:szCs w:val="18"/>
          <w:color w:val="auto"/>
        </w:rPr>
      </w:pPr>
    </w:p>
    <w:p>
      <w:pPr>
        <w:ind w:left="1620" w:right="879" w:hanging="358"/>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share amount is prior to any forfeiture of founder shares and as adjusted amount assumes no exercise of the underwriters’ over-allotment option and forfeiture of an aggregate of 375,000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3" w:name="page74"/>
    <w:bookmarkEnd w:id="7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20"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We are a blank check company incorporated on June 10, 2020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intend to effectuate our initial business combination using cash from the proceeds of this offering and the private placement of the private placement units, the proceeds of the sale of our shares in connection with our initial business combination (including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343"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issuance of additional shares in connection with a business combination to the owners of the target or other investors:</w:t>
      </w:r>
    </w:p>
    <w:p>
      <w:pPr>
        <w:spacing w:after="0" w:line="54" w:lineRule="exact"/>
        <w:rPr>
          <w:sz w:val="20"/>
          <w:szCs w:val="20"/>
          <w:color w:val="auto"/>
        </w:rPr>
      </w:pPr>
    </w:p>
    <w:p>
      <w:pPr>
        <w:ind w:left="1800" w:right="899" w:hanging="178"/>
        <w:spacing w:after="0" w:line="263"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291" w:lineRule="exact"/>
        <w:rPr>
          <w:rFonts w:ascii="Times New Roman" w:cs="Times New Roman" w:eastAsia="Times New Roman" w:hAnsi="Times New Roman"/>
          <w:sz w:val="18"/>
          <w:szCs w:val="18"/>
          <w:color w:val="auto"/>
        </w:rPr>
      </w:pPr>
    </w:p>
    <w:p>
      <w:pPr>
        <w:ind w:left="1800" w:right="1179" w:hanging="178"/>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shares of preferred stock are issued with rights senior to those afforded our Class A common stock;</w:t>
      </w:r>
    </w:p>
    <w:p>
      <w:pPr>
        <w:spacing w:after="0" w:line="53" w:lineRule="exact"/>
        <w:rPr>
          <w:rFonts w:ascii="Times New Roman" w:cs="Times New Roman" w:eastAsia="Times New Roman" w:hAnsi="Times New Roman"/>
          <w:sz w:val="18"/>
          <w:szCs w:val="18"/>
          <w:color w:val="auto"/>
        </w:rPr>
      </w:pPr>
    </w:p>
    <w:p>
      <w:pPr>
        <w:ind w:left="1800" w:right="819" w:hanging="178"/>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67" w:lineRule="exact"/>
        <w:rPr>
          <w:rFonts w:ascii="Times New Roman" w:cs="Times New Roman" w:eastAsia="Times New Roman" w:hAnsi="Times New Roman"/>
          <w:sz w:val="18"/>
          <w:szCs w:val="18"/>
          <w:color w:val="auto"/>
        </w:rPr>
      </w:pPr>
    </w:p>
    <w:p>
      <w:pPr>
        <w:ind w:left="1800" w:right="1379" w:hanging="178"/>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 and</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158"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Similarly, if we issue debt securities or otherwise incur significant debt to bank or other lenders or the owners of a target, it could result in:</w:t>
      </w:r>
    </w:p>
    <w:p>
      <w:pPr>
        <w:spacing w:after="0" w:line="54" w:lineRule="exact"/>
        <w:rPr>
          <w:sz w:val="20"/>
          <w:szCs w:val="20"/>
          <w:color w:val="auto"/>
        </w:rPr>
      </w:pPr>
    </w:p>
    <w:p>
      <w:pPr>
        <w:ind w:left="1800" w:right="83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an initial business combination are insufficient to repay our debt obligations;</w:t>
      </w:r>
    </w:p>
    <w:p>
      <w:pPr>
        <w:spacing w:after="0" w:line="53" w:lineRule="exact"/>
        <w:rPr>
          <w:rFonts w:ascii="Times New Roman" w:cs="Times New Roman" w:eastAsia="Times New Roman" w:hAnsi="Times New Roman"/>
          <w:sz w:val="18"/>
          <w:szCs w:val="18"/>
          <w:color w:val="auto"/>
        </w:rPr>
      </w:pPr>
    </w:p>
    <w:p>
      <w:pPr>
        <w:ind w:left="1800" w:right="839" w:hanging="178"/>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117" w:lineRule="exact"/>
        <w:rPr>
          <w:rFonts w:ascii="Times New Roman" w:cs="Times New Roman" w:eastAsia="Times New Roman" w:hAnsi="Times New Roman"/>
          <w:sz w:val="18"/>
          <w:szCs w:val="18"/>
          <w:color w:val="auto"/>
        </w:rPr>
      </w:pPr>
    </w:p>
    <w:p>
      <w:pPr>
        <w:ind w:left="1800" w:right="93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contains covenants restricting our ability to obtain such financing while the debt is outstanding;</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Class A common stock;</w:t>
      </w:r>
    </w:p>
    <w:p>
      <w:pPr>
        <w:spacing w:after="0" w:line="117" w:lineRule="exact"/>
        <w:rPr>
          <w:rFonts w:ascii="Times New Roman" w:cs="Times New Roman" w:eastAsia="Times New Roman" w:hAnsi="Times New Roman"/>
          <w:sz w:val="18"/>
          <w:szCs w:val="18"/>
          <w:color w:val="auto"/>
        </w:rPr>
      </w:pPr>
    </w:p>
    <w:p>
      <w:pPr>
        <w:ind w:left="1800" w:right="779" w:hanging="178"/>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1800" w:right="121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53" w:lineRule="exact"/>
        <w:rPr>
          <w:rFonts w:ascii="Times New Roman" w:cs="Times New Roman" w:eastAsia="Times New Roman" w:hAnsi="Times New Roman"/>
          <w:sz w:val="18"/>
          <w:szCs w:val="18"/>
          <w:color w:val="auto"/>
        </w:rPr>
      </w:pPr>
    </w:p>
    <w:p>
      <w:pPr>
        <w:ind w:left="1800" w:right="759" w:hanging="178"/>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1199" w:hanging="178"/>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95"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As indicated in the accompanying financial statements, at June 30, 2020, we had deferred offering costs of $90,000. Further, we expect to incur significant costs in the pursuit of our initial business combination. We cannot assure you that our plans to raise capital or to complete our initial business combination will be successful.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62"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1260" w:right="1079" w:firstLine="360"/>
        <w:spacing w:after="0" w:line="250" w:lineRule="auto"/>
        <w:rPr>
          <w:sz w:val="20"/>
          <w:szCs w:val="20"/>
          <w:color w:val="auto"/>
        </w:rPr>
      </w:pPr>
      <w:r>
        <w:rPr>
          <w:rFonts w:ascii="Times New Roman" w:cs="Times New Roman" w:eastAsia="Times New Roman" w:hAnsi="Times New Roman"/>
          <w:sz w:val="18"/>
          <w:szCs w:val="18"/>
          <w:color w:val="auto"/>
        </w:rPr>
        <w:t>Our liquidity needs have been satisfied prior to the completion of this offering through receipt of a $25,000 capital contribution from our sponsor in exchange for the issuance of the founder shares to our sponsor and up to $300,000 in loans available from our sponsor.</w:t>
      </w:r>
    </w:p>
    <w:p>
      <w:pPr>
        <w:spacing w:after="0" w:line="9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estimate that the net proceeds from the sale of the units in this offering and the sale of the private placement units for an aggregate purchase price of $103,750,000 (or $119,050,000 if the underwriters’ over-allotment option is exercised in full), after deducting offering expenses of approximately $1,000,000 and underwriting commissions of $2,000,000 (or $2,300,000 if the underwriters’ over-allotment option is exercised in full) (excluding deferred underwriting commissions of $3,500,000, or $4,025,000 if the underwriters’ over-allotment option is exercised in full), will be $100,750,000 (or $115,750,000 if the underwriters’ over-allotment option is exercised in full). $100,000,000 (or $115,000,000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2a- 7 under the Investment Company Act which invest only in direct U.S. government treasury obligations. The remaining approximately $750,000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279"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(excluding deferred underwriting commissions), to complete our initial business combination. We may make permitted withdrawals. We estimate our annual franchise tax obligations, based on the number of shares of our common stock authorized and outstanding after the completion of this offering, to be $200,000,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5" w:name="page76"/>
    <w:bookmarkEnd w:id="7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99" w:firstLine="360"/>
        <w:spacing w:after="0" w:line="241" w:lineRule="auto"/>
        <w:rPr>
          <w:sz w:val="20"/>
          <w:szCs w:val="20"/>
          <w:color w:val="auto"/>
        </w:rPr>
      </w:pPr>
      <w:r>
        <w:rPr>
          <w:rFonts w:ascii="Times New Roman" w:cs="Times New Roman" w:eastAsia="Times New Roman" w:hAnsi="Times New Roman"/>
          <w:sz w:val="18"/>
          <w:szCs w:val="18"/>
          <w:color w:val="auto"/>
        </w:rPr>
        <w:t>Prior to the completion of our initial business combination, we will have available to us the approximately $750,000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03" w:lineRule="exact"/>
        <w:rPr>
          <w:sz w:val="20"/>
          <w:szCs w:val="20"/>
          <w:color w:val="auto"/>
        </w:rPr>
      </w:pPr>
    </w:p>
    <w:p>
      <w:pPr>
        <w:ind w:left="1260" w:right="719" w:firstLine="360"/>
        <w:spacing w:after="0" w:line="236" w:lineRule="auto"/>
        <w:rPr>
          <w:sz w:val="20"/>
          <w:szCs w:val="20"/>
          <w:color w:val="auto"/>
        </w:rPr>
      </w:pPr>
      <w:r>
        <w:rPr>
          <w:rFonts w:ascii="Times New Roman" w:cs="Times New Roman" w:eastAsia="Times New Roman" w:hAnsi="Times New Roman"/>
          <w:sz w:val="18"/>
          <w:szCs w:val="18"/>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placement-equivalent units of the post business combination entity at a price of $ 10.00 per unit at the option of the lender. The units would be identical to the private placement units.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1"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We expect our primary liquidity requirements during that period to include approximately $240,000 for legal, accounting, due diligence, travel and other expenses associated with structuring, negotiating and documenting successful business combinations; $75,000 for legal and accounting fees related to regulatory reporting requirements; $85,000 for Nasdaq and other regulatory fees; $75,000 for consulting, travel and miscellaneous expenses incurred during the search for a business combination target; and approximately $35,000 for general working capital that will be used for miscellaneous expenses and reserves. We will also reimburse an affiliate of our sponsor for office space, secretarial and administrative services provided to members of our management team in an amount not to exceed $10,000 per month in the event such space and/or services are utilized and we do not pay a third party directly for such services.</w:t>
      </w:r>
    </w:p>
    <w:p>
      <w:pPr>
        <w:spacing w:after="0" w:line="124"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 We do not believe we will need to raise additional funds following this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w:t>
      </w:r>
    </w:p>
    <w:p>
      <w:pPr>
        <w:spacing w:after="0" w:line="331" w:lineRule="exact"/>
        <w:rPr>
          <w:sz w:val="20"/>
          <w:szCs w:val="20"/>
          <w:color w:val="auto"/>
        </w:rPr>
      </w:pPr>
    </w:p>
    <w:p>
      <w:pPr>
        <w:ind w:left="1260" w:right="739" w:firstLine="360"/>
        <w:spacing w:after="0" w:line="257" w:lineRule="auto"/>
        <w:rPr>
          <w:sz w:val="20"/>
          <w:szCs w:val="20"/>
          <w:color w:val="auto"/>
        </w:rPr>
      </w:pPr>
      <w:r>
        <w:rPr>
          <w:rFonts w:ascii="Times New Roman" w:cs="Times New Roman" w:eastAsia="Times New Roman" w:hAnsi="Times New Roman"/>
          <w:sz w:val="18"/>
          <w:szCs w:val="18"/>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do not complete our initial business combination because we do not have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6" w:name="page77"/>
    <w:bookmarkEnd w:id="7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39"/>
        <w:spacing w:after="0" w:line="250" w:lineRule="auto"/>
        <w:rPr>
          <w:sz w:val="20"/>
          <w:szCs w:val="20"/>
          <w:color w:val="auto"/>
        </w:rPr>
      </w:pPr>
      <w:r>
        <w:rPr>
          <w:rFonts w:ascii="Times New Roman" w:cs="Times New Roman" w:eastAsia="Times New Roman" w:hAnsi="Times New Roman"/>
          <w:sz w:val="18"/>
          <w:szCs w:val="18"/>
          <w:color w:val="auto"/>
        </w:rPr>
        <w:t>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48"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4"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66" w:lineRule="exact"/>
        <w:rPr>
          <w:sz w:val="20"/>
          <w:szCs w:val="20"/>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9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9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9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9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9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158"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16" w:lineRule="exact"/>
        <w:rPr>
          <w:sz w:val="20"/>
          <w:szCs w:val="20"/>
          <w:color w:val="auto"/>
        </w:rPr>
      </w:pPr>
    </w:p>
    <w:p>
      <w:pPr>
        <w:ind w:left="1260" w:right="1019" w:firstLine="360"/>
        <w:spacing w:after="0" w:line="242"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registered public accounting firm to audit and render an opinion on such report when required by Section 404 of the Sarbanes- Oxley Act. The independent registered public accounting firm may identify additional issues concerning a target business’s internal controls while performing their audit of internal control over financial reporting.</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The net proceeds of this offering and the sale of the private placement units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June 30, 2020, we did not have any off-balance sheet arrangements as defined in Item 303(a)(4)</w:t>
      </w:r>
    </w:p>
    <w:p>
      <w:pPr>
        <w:spacing w:after="0" w:line="16" w:lineRule="exact"/>
        <w:rPr>
          <w:sz w:val="20"/>
          <w:szCs w:val="20"/>
          <w:color w:val="auto"/>
        </w:rPr>
      </w:pPr>
    </w:p>
    <w:p>
      <w:pPr>
        <w:ind w:left="1260" w:right="699" w:firstLine="2"/>
        <w:spacing w:after="0" w:line="243" w:lineRule="auto"/>
        <w:tabs>
          <w:tab w:leader="none" w:pos="15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and did not have any commitments or contractual obligations. No unaudited quarterly operating data is included in this prospectus as we have not conducted any operations to date.</w:t>
      </w:r>
    </w:p>
    <w:p>
      <w:pPr>
        <w:sectPr>
          <w:pgSz w:w="11900" w:h="16838" w:orient="portrait"/>
          <w:cols w:equalWidth="0" w:num="1">
            <w:col w:w="10139"/>
          </w:cols>
          <w:pgMar w:left="320" w:top="114"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7" w:name="page78"/>
    <w:bookmarkEnd w:id="7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48"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78" w:name="page79"/>
    <w:bookmarkEnd w:id="7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are a newly organized blank check company incorporated in June 2020 as a Delaware corporation formed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initiated any substantive discussions, directly or indirectly, with any business combination target. We have generated no operating revenues to date and we do not expect that we will generate operating revenues until we consummate our initial business combination.</w:t>
      </w:r>
    </w:p>
    <w:p>
      <w:pPr>
        <w:spacing w:after="0" w:line="315" w:lineRule="exact"/>
        <w:rPr>
          <w:sz w:val="20"/>
          <w:szCs w:val="20"/>
          <w:color w:val="auto"/>
        </w:rPr>
      </w:pPr>
    </w:p>
    <w:p>
      <w:pPr>
        <w:jc w:val="both"/>
        <w:ind w:left="1260" w:right="1099" w:firstLine="360"/>
        <w:spacing w:after="0" w:line="245" w:lineRule="auto"/>
        <w:rPr>
          <w:sz w:val="20"/>
          <w:szCs w:val="20"/>
          <w:color w:val="auto"/>
        </w:rPr>
      </w:pPr>
      <w:r>
        <w:rPr>
          <w:rFonts w:ascii="Times New Roman" w:cs="Times New Roman" w:eastAsia="Times New Roman" w:hAnsi="Times New Roman"/>
          <w:sz w:val="18"/>
          <w:szCs w:val="18"/>
          <w:color w:val="auto"/>
        </w:rPr>
        <w:t>While we may pursue an acquisition opportunity in any business, industry, sector or geographical location, we intend to focus on industries that complement our management team’s background in life sciences and life sciences related industries, and to capitalize on the ability of our management team to identify and acquire a business within those industries.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Our strategy will be to identify, acquire and, after our initial business combination, build, a life sciences or life sciences related business. We intend to focus our investment effort broadly across the entire life sciences industry, which encompasses therapeutics, devices, diagnostics, medical information technology, agrisciences and animal health.</w:t>
      </w:r>
    </w:p>
    <w:p>
      <w:pPr>
        <w:spacing w:after="0" w:line="100"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We were formed by HighCape, a life sciences investment firm with a focus on active investing in commercial stage companies. HighCape typically invests in companies that have FDA cleared products and are at the point of product launch or have already generated revenue for multiple years. HighCape’s expertise in working with companies at this stage of development is what makes it unique. We believe that the experience of HighCape’s partners and advisors and our management team and board of directors will allow us to source, identify and execute an attractive transaction for our stockholders. Collectively, this group has been actively involved in initial public offerings and exits totaling in excess of $5 billion.</w:t>
      </w:r>
    </w:p>
    <w:p>
      <w:pPr>
        <w:spacing w:after="0" w:line="117"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Our management team is led by Kevin Rakin, our chief executive officer, who has more than 30 years of experience in leading, investing and exiting life sciences companies across a wide array of products and services. Mr. Rakin has been a chief executive officer, chairman and a board member for a number of public and private life sciences companies, including Genaissance (merged with Clinical Data and subsequently sold to Forest Laboratories, Inc.), Cyvek, Inc. (sold to Bio -Techne Corporation), Ipsogen SA (sold to Qiagen) and Collagen Matrix, Inc. (sold to Linden Capital Partners). Prior to co-founding HighCape in 2013, Mr. Rakin was the chairman and chief executive officer of ABH. From 2006 – 2011, together with most of the members of the HighCape team, ABH grew from a company with eight employees and no revenue to one with a revenue run rate approaching $176 million per year and over 500 employees. In 2011, ABH was acquired by Shire Plc for $750 million.</w:t>
      </w:r>
    </w:p>
    <w:p>
      <w:pPr>
        <w:spacing w:after="0" w:line="121" w:lineRule="exact"/>
        <w:rPr>
          <w:sz w:val="20"/>
          <w:szCs w:val="20"/>
          <w:color w:val="auto"/>
        </w:rPr>
      </w:pPr>
    </w:p>
    <w:p>
      <w:pPr>
        <w:ind w:left="1260" w:right="859" w:firstLine="360"/>
        <w:spacing w:after="0" w:line="241" w:lineRule="auto"/>
        <w:rPr>
          <w:sz w:val="20"/>
          <w:szCs w:val="20"/>
          <w:color w:val="auto"/>
        </w:rPr>
      </w:pPr>
      <w:r>
        <w:rPr>
          <w:rFonts w:ascii="Times New Roman" w:cs="Times New Roman" w:eastAsia="Times New Roman" w:hAnsi="Times New Roman"/>
          <w:sz w:val="18"/>
          <w:szCs w:val="18"/>
          <w:color w:val="auto"/>
        </w:rPr>
        <w:t>The other member of our management team is Matt Zuga, who will be our chief financial officer. Messrs. Rakin and Zuga co-founded HighCape and have worked on transactions together for more than 20 years. Prior to HighCape, Mr. Zuga was a managing director with Syngenta Ventures Pte Ltd, an investment vehicle of Syngenta Corp. He was also the founder and managing member of Red Abbey, an investment company focused on biotechnology companies. Prior to Red Abbey, Mr. Zuga was a Managing Director and head of life sciences investment banking at Legg Mason.</w:t>
      </w:r>
    </w:p>
    <w:p>
      <w:pPr>
        <w:spacing w:after="0" w:line="103" w:lineRule="exact"/>
        <w:rPr>
          <w:sz w:val="20"/>
          <w:szCs w:val="20"/>
          <w:color w:val="auto"/>
        </w:rPr>
      </w:pPr>
    </w:p>
    <w:p>
      <w:pPr>
        <w:ind w:left="1260" w:right="819" w:firstLine="360"/>
        <w:spacing w:after="0" w:line="241" w:lineRule="auto"/>
        <w:rPr>
          <w:sz w:val="20"/>
          <w:szCs w:val="20"/>
          <w:color w:val="auto"/>
        </w:rPr>
      </w:pPr>
      <w:r>
        <w:rPr>
          <w:rFonts w:ascii="Times New Roman" w:cs="Times New Roman" w:eastAsia="Times New Roman" w:hAnsi="Times New Roman"/>
          <w:sz w:val="18"/>
          <w:szCs w:val="18"/>
          <w:color w:val="auto"/>
        </w:rPr>
        <w:t>We have assembled a group of independent directors who we believe will provide us oversight, governance and extensive experience in sourcing, evaluating and transacting significant life sciences opportunities. Our directors have extensive experience, having served as directors or officers for numerous publicly-listed and privately-owned companies, with acquisitions, divestitures and corporate strategy and implementation, which we believe will significantly benefit us as we evaluate potential acquisition or merger candidates. These directors include:</w:t>
      </w:r>
    </w:p>
    <w:p>
      <w:pPr>
        <w:spacing w:after="0" w:line="72" w:lineRule="exact"/>
        <w:rPr>
          <w:sz w:val="20"/>
          <w:szCs w:val="20"/>
          <w:color w:val="auto"/>
        </w:rPr>
      </w:pPr>
    </w:p>
    <w:p>
      <w:pPr>
        <w:ind w:left="1800" w:right="839" w:hanging="178"/>
        <w:spacing w:after="0" w:line="28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David Colpman </w:t>
      </w:r>
      <w:r>
        <w:rPr>
          <w:rFonts w:ascii="Times New Roman" w:cs="Times New Roman" w:eastAsia="Times New Roman" w:hAnsi="Times New Roman"/>
          <w:sz w:val="18"/>
          <w:szCs w:val="18"/>
          <w:color w:val="auto"/>
        </w:rPr>
        <w:t>was the Managing Partner of Colpman Consulting Ltd, a business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consultancy, until March 2020. Since 2014, Colpman Consulting secured transformational deals for</w:t>
      </w:r>
    </w:p>
    <w:p>
      <w:pPr>
        <w:sectPr>
          <w:pgSz w:w="11900" w:h="16838" w:orient="portrait"/>
          <w:cols w:equalWidth="0" w:num="1">
            <w:col w:w="10139"/>
          </w:cols>
          <w:pgMar w:left="320" w:top="114" w:right="1440" w:bottom="1440" w:gutter="0" w:footer="0" w:header="0"/>
        </w:sect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679"/>
        <w:spacing w:after="0" w:line="253" w:lineRule="auto"/>
        <w:rPr>
          <w:sz w:val="20"/>
          <w:szCs w:val="20"/>
          <w:color w:val="auto"/>
        </w:rPr>
      </w:pPr>
      <w:r>
        <w:rPr>
          <w:rFonts w:ascii="Times New Roman" w:cs="Times New Roman" w:eastAsia="Times New Roman" w:hAnsi="Times New Roman"/>
          <w:sz w:val="18"/>
          <w:szCs w:val="18"/>
          <w:color w:val="auto"/>
        </w:rPr>
        <w:t>Alligator Bioscience AB, Cormorant Pharmaceuticals AB, Agalimmune Ltd., Diaprost AB and Ziylo Ltd. Prior to this, Mr. Colpman was the head of business development for Shire Plc, where he executed on the M&amp;A and licensing strategy which successfully built the company to become a global leader in rare diseases and specialty medicines. Reporting directly to the CEO he led a team of over 20 business development professionals. Notable transactions included the $4.2 billion acquisition of ViroPharma Incorporated and the acquisition of SARcode Bioscience, Inc., which delivered the blockbuster drug Xiidra for Dry Eye. Earlier in his career at Shire Plc he identified and led the acquisition of Transkaryotic Therapies Inc. which went on to become the cornerstone of Shire Plc’s successful rare disease business. He also in-licensed Lialda, which achieved sales of $700 million to become sector leader in ulcerative colitis.</w:t>
      </w:r>
    </w:p>
    <w:p>
      <w:pPr>
        <w:spacing w:after="0" w:line="96" w:lineRule="exact"/>
        <w:rPr>
          <w:sz w:val="20"/>
          <w:szCs w:val="20"/>
          <w:color w:val="auto"/>
        </w:rPr>
      </w:pPr>
    </w:p>
    <w:p>
      <w:pPr>
        <w:ind w:left="1800" w:right="679" w:hanging="178"/>
        <w:spacing w:after="0" w:line="245"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Antony Loebel, M.D. </w:t>
      </w:r>
      <w:r>
        <w:rPr>
          <w:rFonts w:ascii="Times New Roman" w:cs="Times New Roman" w:eastAsia="Times New Roman" w:hAnsi="Times New Roman"/>
          <w:sz w:val="18"/>
          <w:szCs w:val="18"/>
          <w:color w:val="auto"/>
        </w:rPr>
        <w:t>is the Chief Executive Officer of Sunovion, the U.S. subsidiary of Sumitomo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Dainippon Pharma Co. Ltd, a company he joined in 2007. Sunovion’s track record of discovery, development and commercialization of important psychiatric, neurological and respiratory therapies has included Latuda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Brovana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Aptiom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Lonhala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Magnair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Inhalation Solution and, most recently, KYNMOBI™ sublingual film. His prior industry experience includes seven years in drug development and medical affairs roles at Pfizer. He serves as an Executive Leadership Team member of Sunovion and an Executive Officer of Sumitomo Dainippon Pharma Co., Ltd., the parent company of Sunovion. Dr. Loebel also serves on the Pharmaceutical Research and Manufacturers of America (PhRMA) Board of Directors and previously served on the Massachusetts Biotechnology Council (MassBio) Board of Directors. For his achievements in advancing new treatments for central nervous system (CNS) disorders, Dr. Loebel received the 2015 Award for Leadership from the International Society for CNS Drug Development and the 2019 CNS Summit Leadership Award. Selected by PharmaVOICE in 2019 and 2013 as one of the “100 Most Inspiring People” in the pharmaceutical industry.</w:t>
      </w:r>
    </w:p>
    <w:p>
      <w:pPr>
        <w:spacing w:after="0" w:line="331" w:lineRule="exact"/>
        <w:rPr>
          <w:rFonts w:ascii="Times New Roman" w:cs="Times New Roman" w:eastAsia="Times New Roman" w:hAnsi="Times New Roman"/>
          <w:sz w:val="18"/>
          <w:szCs w:val="18"/>
          <w:color w:val="auto"/>
        </w:rPr>
      </w:pPr>
    </w:p>
    <w:p>
      <w:pPr>
        <w:ind w:left="1800" w:right="679" w:hanging="178"/>
        <w:spacing w:after="0" w:line="254"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Robert Taub </w:t>
      </w:r>
      <w:r>
        <w:rPr>
          <w:rFonts w:ascii="Times New Roman" w:cs="Times New Roman" w:eastAsia="Times New Roman" w:hAnsi="Times New Roman"/>
          <w:sz w:val="18"/>
          <w:szCs w:val="18"/>
          <w:color w:val="auto"/>
        </w:rPr>
        <w:t>has more than four decades of business experience in the biopharmaceutical and medtech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industries. Mr. Taub is the Co-Founder and Chairman of the Board of Nyxoah, a private company which is developing implants to treat Obstructive Sleep Apnea and recently received an approximately $25 million investment from investors including ResMed Inc. Prior to this, Mr. Taub was the Chairman of Neuroderm, a Nasdaq listed biotech company that was sold to Mitsubishi-Tanabe for $1.1 billion in 2017. Mr. Taub also founded and served as President, Chief Executive Officer and a member of the board of directors of Omrix, a biopharmaceutical company that marketed biological products for the biosurgical and immunotherapy markets and which was acquired by Johnson &amp; Johnson in 2008, following a listing on Nasdaq in 2006.</w:t>
      </w:r>
    </w:p>
    <w:p>
      <w:pPr>
        <w:spacing w:after="0" w:line="111"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We believe our management team is well positioned to take advantage of the growing set of acquisition opportunities in the life sciences industry and that our contacts and relationships, ranging from owners of private and public companies, private equity funds, venture capital firms, investment bankers, attorneys, accountants and business brokers will allow us to generate an attractive transaction for our stockholders.</w:t>
      </w:r>
    </w:p>
    <w:p>
      <w:pPr>
        <w:spacing w:after="0" w:line="112"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Our founder, HighCape, is a life sciences investment firm with approximately $145 million in assets under management as of June 30, 2020. Since its founding in 2013, HighCape has focused exclusively on commercial stage life sciences companies and has made five investments, each time as the lead investor. In total the companies in the HighCape portfolio have attracted in excess of $500 million of invested capital. Mr. Rakin served as the chairman of two of the portfolio companies. A fundamental element of the HighCape strategy is limiting investments to one to two per year, thus allowing for a rigorous selection process and the team to engage with each company to drive stockholder value creation. This approach has been successful, as demonstrated by the fact that two portfolio companies have already exited and a third has completed an Initial Public Offering. In October of 2019, Cheetah Medical, Inc. completed its acquisition by Baxter International Inc. for a total deal value of $230 million (including up to $30M in milestone payments), while in November of 2019, TELA Bio, Inc. (Nasdaq: TELA) completed an IPO. In December of 2019, ZipLine Medical, Inc. was acquired by a global medical device company for an undisclosed amount.</w:t>
      </w: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0" w:name="page81"/>
    <w:bookmarkEnd w:id="8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The rapid progress of HighCape from a concept in 2013 to a proven investment firm today has been driven by four key fundamentals that form the foundation for the firm’s day to day operations: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Team</w:t>
      </w:r>
    </w:p>
    <w:p>
      <w:pPr>
        <w:spacing w:after="0" w:line="146" w:lineRule="exact"/>
        <w:rPr>
          <w:sz w:val="20"/>
          <w:szCs w:val="20"/>
          <w:color w:val="auto"/>
        </w:rPr>
      </w:pPr>
    </w:p>
    <w:p>
      <w:pPr>
        <w:jc w:val="both"/>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The HighCape partners have worked together for as long as 22 years in some instances and during that time have built a level of mutual trust and respect that facilitates a highly efficient level of interaction with each other and the portfolio companies.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Relationships</w:t>
      </w:r>
    </w:p>
    <w:p>
      <w:pPr>
        <w:spacing w:after="0" w:line="160" w:lineRule="exact"/>
        <w:rPr>
          <w:sz w:val="20"/>
          <w:szCs w:val="20"/>
          <w:color w:val="auto"/>
        </w:rPr>
      </w:pPr>
    </w:p>
    <w:p>
      <w:pPr>
        <w:ind w:left="1260" w:right="859" w:firstLine="360"/>
        <w:spacing w:after="0" w:line="245" w:lineRule="auto"/>
        <w:rPr>
          <w:sz w:val="20"/>
          <w:szCs w:val="20"/>
          <w:color w:val="auto"/>
        </w:rPr>
      </w:pPr>
      <w:r>
        <w:rPr>
          <w:rFonts w:ascii="Times New Roman" w:cs="Times New Roman" w:eastAsia="Times New Roman" w:hAnsi="Times New Roman"/>
          <w:sz w:val="18"/>
          <w:szCs w:val="18"/>
          <w:color w:val="auto"/>
        </w:rPr>
        <w:t>The firm has nurtured deep relationships across the industry based on years of creating, building and exiting multiple life sciences companies. The firm’s relationships extend to investment bankers, venture capital firms, industry consultants and numerous management teams. This myriad of connections provides numerous proprietary investment opportunities.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Partnership</w:t>
      </w:r>
    </w:p>
    <w:p>
      <w:pPr>
        <w:spacing w:after="0" w:line="160"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The distinctive background of each HighCape partner as well as an intentionally focused investment approach allows the firm to truly partner with portfolio companies. Aside from board-level involvement, the partners routinely assist portfolio companies with strategic planning across a wide range of functional areas, capital formation strategies and planning, assisting with identifying and recruiting key leadership positions and providing business development/transaction assistance.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Breadth of Experience and Execution Capabilities</w:t>
      </w:r>
    </w:p>
    <w:p>
      <w:pPr>
        <w:spacing w:after="0" w:line="146" w:lineRule="exact"/>
        <w:rPr>
          <w:sz w:val="20"/>
          <w:szCs w:val="20"/>
          <w:color w:val="auto"/>
        </w:rPr>
      </w:pPr>
    </w:p>
    <w:p>
      <w:pPr>
        <w:ind w:left="1260" w:right="759" w:firstLine="360"/>
        <w:spacing w:after="0" w:line="245" w:lineRule="auto"/>
        <w:rPr>
          <w:sz w:val="20"/>
          <w:szCs w:val="20"/>
          <w:color w:val="auto"/>
        </w:rPr>
      </w:pPr>
      <w:r>
        <w:rPr>
          <w:rFonts w:ascii="Times New Roman" w:cs="Times New Roman" w:eastAsia="Times New Roman" w:hAnsi="Times New Roman"/>
          <w:sz w:val="18"/>
          <w:szCs w:val="18"/>
          <w:color w:val="auto"/>
        </w:rPr>
        <w:t>The HighCape team has a unique breadth of industry experience and functional expertise. With a combined &gt;150 years of industry knowledge and backgrounds ranging from banking and finance to product development to building world-class commercial organizations, the HighCape team brings to each transaction an unusually deep level of industry and functional expertise.</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expect to receive significant input and support from the HighCape team and advisors as we identify,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pursue, evaluate and complete our initial business combination. The HighCape team members include</w:t>
      </w:r>
    </w:p>
    <w:p>
      <w:pPr>
        <w:ind w:left="1260"/>
        <w:spacing w:after="0" w:line="234" w:lineRule="auto"/>
        <w:rPr>
          <w:sz w:val="20"/>
          <w:szCs w:val="20"/>
          <w:color w:val="auto"/>
        </w:rPr>
      </w:pPr>
      <w:r>
        <w:rPr>
          <w:rFonts w:ascii="Times New Roman" w:cs="Times New Roman" w:eastAsia="Times New Roman" w:hAnsi="Times New Roman"/>
          <w:sz w:val="18"/>
          <w:szCs w:val="18"/>
          <w:color w:val="auto"/>
        </w:rPr>
        <w:t>Jennifer Barretta, a former head of Human Resources, Charles Hart, Ph.D., a former Chief Scientific</w:t>
      </w:r>
    </w:p>
    <w:p>
      <w:pPr>
        <w:ind w:left="1260"/>
        <w:spacing w:after="0" w:line="235" w:lineRule="auto"/>
        <w:rPr>
          <w:sz w:val="20"/>
          <w:szCs w:val="20"/>
          <w:color w:val="auto"/>
        </w:rPr>
      </w:pPr>
      <w:r>
        <w:rPr>
          <w:rFonts w:ascii="Times New Roman" w:cs="Times New Roman" w:eastAsia="Times New Roman" w:hAnsi="Times New Roman"/>
          <w:sz w:val="18"/>
          <w:szCs w:val="18"/>
          <w:color w:val="auto"/>
        </w:rPr>
        <w:t>Officer, Carol Reed, M.D., a former Chief Medical Officer, and Dean Tozer, a former Chief Marketing</w:t>
      </w:r>
    </w:p>
    <w:p>
      <w:pPr>
        <w:ind w:left="1260"/>
        <w:spacing w:after="0" w:line="235" w:lineRule="auto"/>
        <w:rPr>
          <w:sz w:val="20"/>
          <w:szCs w:val="20"/>
          <w:color w:val="auto"/>
        </w:rPr>
      </w:pPr>
      <w:r>
        <w:rPr>
          <w:rFonts w:ascii="Times New Roman" w:cs="Times New Roman" w:eastAsia="Times New Roman" w:hAnsi="Times New Roman"/>
          <w:sz w:val="18"/>
          <w:szCs w:val="18"/>
          <w:color w:val="auto"/>
        </w:rPr>
        <w:t>Officer. The HighCape advisors include Seth Rudnick M.D., former head of Canaan Partners’ life sciences</w:t>
      </w:r>
    </w:p>
    <w:p>
      <w:pPr>
        <w:ind w:left="1260"/>
        <w:spacing w:after="0" w:line="235" w:lineRule="auto"/>
        <w:rPr>
          <w:sz w:val="20"/>
          <w:szCs w:val="20"/>
          <w:color w:val="auto"/>
        </w:rPr>
      </w:pPr>
      <w:r>
        <w:rPr>
          <w:rFonts w:ascii="Times New Roman" w:cs="Times New Roman" w:eastAsia="Times New Roman" w:hAnsi="Times New Roman"/>
          <w:sz w:val="18"/>
          <w:szCs w:val="18"/>
          <w:color w:val="auto"/>
        </w:rPr>
        <w:t>team, Jon Soderstrom, Ph.D., managing director of the Yale Office of Cooperative Research, Kevin O’</w:t>
      </w:r>
    </w:p>
    <w:p>
      <w:pPr>
        <w:ind w:left="1260"/>
        <w:spacing w:after="0" w:line="235" w:lineRule="auto"/>
        <w:rPr>
          <w:sz w:val="20"/>
          <w:szCs w:val="20"/>
          <w:color w:val="auto"/>
        </w:rPr>
      </w:pPr>
      <w:r>
        <w:rPr>
          <w:rFonts w:ascii="Times New Roman" w:cs="Times New Roman" w:eastAsia="Times New Roman" w:hAnsi="Times New Roman"/>
          <w:sz w:val="18"/>
          <w:szCs w:val="18"/>
          <w:color w:val="auto"/>
        </w:rPr>
        <w:t>Boyle, the former chief financial officer of ABH and NuVasive, Inc. and Christopher Wright, an investment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professional. Collectively, the HighCape team and advisors have worked together for decades with</w:t>
      </w:r>
    </w:p>
    <w:p>
      <w:pPr>
        <w:ind w:left="1260"/>
        <w:spacing w:after="0" w:line="235" w:lineRule="auto"/>
        <w:rPr>
          <w:sz w:val="20"/>
          <w:szCs w:val="20"/>
          <w:color w:val="auto"/>
        </w:rPr>
      </w:pPr>
      <w:r>
        <w:rPr>
          <w:rFonts w:ascii="Times New Roman" w:cs="Times New Roman" w:eastAsia="Times New Roman" w:hAnsi="Times New Roman"/>
          <w:sz w:val="18"/>
          <w:szCs w:val="18"/>
          <w:color w:val="auto"/>
        </w:rPr>
        <w:t>Messrs. Rakin and Zuga in various executive and investing capacities. The biographies of HighCape’s team</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advisors are detailed below.</w:t>
      </w:r>
    </w:p>
    <w:p>
      <w:pPr>
        <w:spacing w:after="0" w:line="120" w:lineRule="exact"/>
        <w:rPr>
          <w:sz w:val="20"/>
          <w:szCs w:val="20"/>
          <w:color w:val="auto"/>
        </w:rPr>
      </w:pPr>
    </w:p>
    <w:p>
      <w:pPr>
        <w:ind w:left="1260" w:right="7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Barretta. </w:t>
      </w:r>
      <w:r>
        <w:rPr>
          <w:rFonts w:ascii="Times New Roman" w:cs="Times New Roman" w:eastAsia="Times New Roman" w:hAnsi="Times New Roman"/>
          <w:sz w:val="18"/>
          <w:szCs w:val="18"/>
          <w:color w:val="auto"/>
        </w:rPr>
        <w:t>Since April 2014, Ms. Barretta has been a partner at HighCape, and brings 20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human resources experience. From 2011 to 2012, Ms. Barretta was the vice president of Human Resources for SRM. Prior to that, Ms. Barretta served as vice president of ABH from 2006 until its acquisition by SRM in 2011, where she led human resources until August 2012. Prior to ABH, Ms. Barretta was Director of Human Resources at Genaissance until its merger with Clinical Data in 2005. Ms. Barretta received a B.S. from Syracuse University.</w:t>
      </w:r>
    </w:p>
    <w:p>
      <w:pPr>
        <w:spacing w:after="0" w:line="101"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Hart, Ph.D. </w:t>
      </w:r>
      <w:r>
        <w:rPr>
          <w:rFonts w:ascii="Times New Roman" w:cs="Times New Roman" w:eastAsia="Times New Roman" w:hAnsi="Times New Roman"/>
          <w:sz w:val="18"/>
          <w:szCs w:val="18"/>
          <w:color w:val="auto"/>
        </w:rPr>
        <w:t>Since April 2014, Dr. Hart has been an operating partner at HighCape, and brings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 years of research and development experience in the biotechnology field. From 2011 to 2013, Dr. Hart was the vice president of research of SRM. Prior to that, Dr. Hart served as chief scientific officer of ABH from 2008 until its acquisition by SRM. He also served as the vice president and chief scientific officer at BioMimetic, a company focused on the development of products for the treatment of musculoskeletal injuries, from 2004 to 2008. Before BioMimetic, he had spent 21 years at ZymoGenetics, Inc., a biotech company. Dr. Hart has authored over 60 scientific publications and holds over 45 U.S. patents. He received a Ph.D. from the University of Washington, a M.S. from Oregon State University and a B.S. from the University of California at Davis.</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1" w:name="page82"/>
    <w:bookmarkEnd w:id="8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Carol Reed, M.D. </w:t>
      </w:r>
      <w:r>
        <w:rPr>
          <w:rFonts w:ascii="Times New Roman" w:cs="Times New Roman" w:eastAsia="Times New Roman" w:hAnsi="Times New Roman"/>
          <w:sz w:val="18"/>
          <w:szCs w:val="18"/>
          <w:color w:val="auto"/>
        </w:rPr>
        <w:t>Since April 2014, Dr. Reed has been an operating partner at HighCape, and brings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twenty years of experience in drug and device development in the areas of pulmonary diseases, psychiatry, cardiology, gastroenterology and infectious diseases, in addition to ten years’ experience as a physician in the practice of pulmonary and critical care medicine from 1989 to 1999. From 1999 to 2005, Dr. Reed was the vice president, medical affairs at Genaissance Pharmaceuticals. Following that, Dr. Reed was the chief medical officer and executive vice president of Clinical Data from 2005 to 2011, and the senior vice president of Medical Affairs at Synthetic Biologics, Inc. from 2011 to 2014. Dr. Reed received her M.D. from Rush Medical College in Chicago and an M.S. in Biology from the University of Illinois at Chicago. She is a Fellow at the American College of Physicians and the American College of Chest Physicians.</w:t>
      </w:r>
    </w:p>
    <w:p>
      <w:pPr>
        <w:spacing w:after="0" w:line="323"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Dean Tozer. </w:t>
      </w:r>
      <w:r>
        <w:rPr>
          <w:rFonts w:ascii="Times New Roman" w:cs="Times New Roman" w:eastAsia="Times New Roman" w:hAnsi="Times New Roman"/>
          <w:sz w:val="18"/>
          <w:szCs w:val="18"/>
          <w:color w:val="auto"/>
        </w:rPr>
        <w:t>Since April 2014, Mr. Tozer has been a partner at High Cape, and brings 25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global healthcare industry. From March 2014 to January 2016, Mr. Tozer served as executive vice president and chief commercial officer and then the president and chief executive officer of Nuo Therapeutics, Inc. Prior to joining Nuo Therapeutics, Inc., he was the senior vice president of corporate development for SRM, which acquired ABH in 2011, where he had been a senior vice president. Prior to these roles, he spent 10 years in the global pharmaceutical industry. Mr. Tozer is currently on the board of BLDG Active, Inc., and he received a Bachelor of Commerce from Saint Mary’s University in Halifax, Nova Scotia and a Certified Management Accountant designation in Ontario, Canada.</w:t>
      </w:r>
    </w:p>
    <w:p>
      <w:pPr>
        <w:spacing w:after="0" w:line="117"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Seth Rudnick, M.D. </w:t>
      </w:r>
      <w:r>
        <w:rPr>
          <w:rFonts w:ascii="Times New Roman" w:cs="Times New Roman" w:eastAsia="Times New Roman" w:hAnsi="Times New Roman"/>
          <w:sz w:val="18"/>
          <w:szCs w:val="18"/>
          <w:color w:val="auto"/>
        </w:rPr>
        <w:t>Since January 2014, Dr. Rudnick has been an advisor to HighCape. Dr. Rudnick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extensive expertise in oncology, drug discovery and development, and healthcare investments. From 1999 until his retirement in 2013, Dr. Rudnick was a general partner at Canaan Partners, where he built the global venture capital firm’s capability in biopharmaceutical investing. Prior to joining Canaan, he was the Chief Executive Officer and Chairman of CytoTherapeutics, Inc., a developer of cell therapies to combat chronic diseases. From 1986 to 1991, he was a founder of and head of research and development at Johnson</w:t>
      </w:r>
    </w:p>
    <w:p>
      <w:pPr>
        <w:spacing w:after="0" w:line="4" w:lineRule="exact"/>
        <w:rPr>
          <w:sz w:val="20"/>
          <w:szCs w:val="20"/>
          <w:color w:val="auto"/>
        </w:rPr>
      </w:pPr>
    </w:p>
    <w:p>
      <w:pPr>
        <w:ind w:left="1260" w:right="1499" w:firstLine="2"/>
        <w:spacing w:after="0" w:line="260" w:lineRule="auto"/>
        <w:tabs>
          <w:tab w:leader="none" w:pos="145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Johnson’s biotechnology company, Ortho Biotech, Inc., and from 1982 to 1986, he was head of pharmaceutical development at Biogen N.V.</w:t>
      </w:r>
    </w:p>
    <w:p>
      <w:pPr>
        <w:spacing w:after="0" w:line="114"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Dr. Rudnick started his career as a faculty member in Medical Oncology and Epidemiology at the University of North Carolina in Chapel Hill. He was a Yale Fellow and Robert Wood Johnson scholar in medical oncology. He earned his medical degree at the University of Virginia and holds a B.A. in history from the University of Pennsylvania. He currently serves as a board member of Liquidia Technologies and G1 Therapeutics and was formerly Chairman of the Board for both companies.</w:t>
      </w:r>
    </w:p>
    <w:p>
      <w:pPr>
        <w:spacing w:after="0" w:line="98" w:lineRule="exact"/>
        <w:rPr>
          <w:sz w:val="20"/>
          <w:szCs w:val="20"/>
          <w:color w:val="auto"/>
        </w:rPr>
      </w:pPr>
    </w:p>
    <w:p>
      <w:pPr>
        <w:ind w:left="1260" w:right="7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O’Boyle. </w:t>
      </w:r>
      <w:r>
        <w:rPr>
          <w:rFonts w:ascii="Times New Roman" w:cs="Times New Roman" w:eastAsia="Times New Roman" w:hAnsi="Times New Roman"/>
          <w:sz w:val="18"/>
          <w:szCs w:val="18"/>
          <w:color w:val="auto"/>
        </w:rPr>
        <w:t>Since May 2020, Mr. O’Boyle has been an advisor to HighCape. He has over 20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executive management experience in the medical device industry. Mr. O’Boyle currently serves as a director of Wright Medical Group N.V., GenMark Diagnostics, Inc., Nevro Corp. and Sientra, Inc.</w:t>
      </w:r>
    </w:p>
    <w:p>
      <w:pPr>
        <w:ind w:left="1260" w:right="779"/>
        <w:spacing w:after="0" w:line="250" w:lineRule="auto"/>
        <w:rPr>
          <w:sz w:val="20"/>
          <w:szCs w:val="20"/>
          <w:color w:val="auto"/>
        </w:rPr>
      </w:pPr>
      <w:r>
        <w:rPr>
          <w:rFonts w:ascii="Times New Roman" w:cs="Times New Roman" w:eastAsia="Times New Roman" w:hAnsi="Times New Roman"/>
          <w:sz w:val="18"/>
          <w:szCs w:val="18"/>
          <w:color w:val="auto"/>
        </w:rPr>
        <w:t>Mr. O’Boyle served as the Senior Vice President and Chief Financial Officer of ABH from December 2010 until it was acquired in July 2011. From January 2003 until December 2009, Mr. O’Boyle served as Chief Financial Officer of NuVasive, Inc. Prior to that, Mr. O’Boyle served in various leadership positions during his six years with ChromaVision Medical Systems, Inc., including as its Chief Financial Officer and Chief Operating Officer. Before that, Mr. O’Boyle spent seven years with Albert Fisher Group PLC, an international food company, where he held several leadership positions including Chief Financial Officer and Senior Vice President of Operations. Mr. O’Boyle previously served as a director of each Zeltiq Aesthetics Inc., from July 2011 until it was acquired in April 2017, Durata Therapeutics, Inc., from</w:t>
      </w:r>
    </w:p>
    <w:p>
      <w:pPr>
        <w:spacing w:after="0" w:line="3" w:lineRule="exact"/>
        <w:rPr>
          <w:sz w:val="20"/>
          <w:szCs w:val="20"/>
          <w:color w:val="auto"/>
        </w:rPr>
      </w:pPr>
    </w:p>
    <w:p>
      <w:pPr>
        <w:ind w:left="1260" w:right="699"/>
        <w:spacing w:after="0" w:line="253" w:lineRule="auto"/>
        <w:rPr>
          <w:sz w:val="20"/>
          <w:szCs w:val="20"/>
          <w:color w:val="auto"/>
        </w:rPr>
      </w:pPr>
      <w:r>
        <w:rPr>
          <w:rFonts w:ascii="Times New Roman" w:cs="Times New Roman" w:eastAsia="Times New Roman" w:hAnsi="Times New Roman"/>
          <w:sz w:val="18"/>
          <w:szCs w:val="18"/>
          <w:color w:val="auto"/>
        </w:rPr>
        <w:t>April 2012 until it was acquired in November 2014, and NeoTract, Inc., from April 2017 until it was acquired in October 2017. Mr. O’Boyle received a Bachelor of Science in Accounting from Rochester Institute of Technology and successfully completed the Executive Management Program at the University of California Los Angeles, John E Anderson Graduate School of Business.</w:t>
      </w:r>
    </w:p>
    <w:p>
      <w:pPr>
        <w:spacing w:after="0" w:line="117"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 Soderstrom, Ph.D. </w:t>
      </w:r>
      <w:r>
        <w:rPr>
          <w:rFonts w:ascii="Times New Roman" w:cs="Times New Roman" w:eastAsia="Times New Roman" w:hAnsi="Times New Roman"/>
          <w:sz w:val="18"/>
          <w:szCs w:val="18"/>
          <w:color w:val="auto"/>
        </w:rPr>
        <w:t>Since December 2019, Dr. Soderstrom has been an advisor to HighCape.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Soderstrom is managing director of technology commercialization and faculty innovation at Yale University’s Office of Cooperative Research, responsible for working with leadership and faculty across the university to facilitate, support and enhance the protection, commercial translation, and dissemination of intellectual property developed through Yale research, and for overseeing operations toward that goal. He is also responsible for facilitating a robust ecosystem that supports faculty entrepreneurship.</w:t>
      </w:r>
    </w:p>
    <w:p>
      <w:pPr>
        <w:sectPr>
          <w:pgSz w:w="11900" w:h="16838" w:orient="portrait"/>
          <w:cols w:equalWidth="0" w:num="1">
            <w:col w:w="10139"/>
          </w:cols>
          <w:pgMar w:left="320" w:top="114"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2" w:name="page83"/>
    <w:bookmarkEnd w:id="8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firstLine="360"/>
        <w:spacing w:after="0"/>
        <w:rPr>
          <w:sz w:val="20"/>
          <w:szCs w:val="20"/>
          <w:color w:val="auto"/>
        </w:rPr>
      </w:pPr>
      <w:r>
        <w:rPr>
          <w:rFonts w:ascii="Times New Roman" w:cs="Times New Roman" w:eastAsia="Times New Roman" w:hAnsi="Times New Roman"/>
          <w:sz w:val="18"/>
          <w:szCs w:val="18"/>
          <w:color w:val="auto"/>
        </w:rPr>
        <w:t>Dr. Soderstrom has helped form 25 new ventures, including Molecular Staging, Inc. (acquired by Qiagen), Agilix Labs, Inc., Achillion Pharmaceuticals, Inc. (NASQ: ACHN), PhytoCeutica, Inc. (acquired by Kadmon Corporation), Protometrix Inc. (acquired by Invitrogen Corporation), Iconic Therapeutics, Inc., Applied Spine Technologies Inc., HistoRx, Inc. (acquired by Genoptix, Inc.), VaxInnate Corporation, Affomix Corporation (acquired by Illumina, Inc.), Kolltan Pharmaceuticals, Inc. (acquired by Celldex Therapeutics, Inc.), Arvinas, Inc. (NASQ: ARVN) and Artizan Biosciences, Inc. Collectively, these companies have raised over $500 million in professional venture capital.</w:t>
      </w:r>
    </w:p>
    <w:p>
      <w:pPr>
        <w:spacing w:after="0" w:line="104" w:lineRule="exact"/>
        <w:rPr>
          <w:sz w:val="20"/>
          <w:szCs w:val="20"/>
          <w:color w:val="auto"/>
        </w:rPr>
      </w:pPr>
    </w:p>
    <w:p>
      <w:pPr>
        <w:ind w:left="1260" w:right="759" w:firstLine="360"/>
        <w:spacing w:after="0" w:line="242" w:lineRule="auto"/>
        <w:rPr>
          <w:sz w:val="20"/>
          <w:szCs w:val="20"/>
          <w:color w:val="auto"/>
        </w:rPr>
      </w:pPr>
      <w:r>
        <w:rPr>
          <w:rFonts w:ascii="Times New Roman" w:cs="Times New Roman" w:eastAsia="Times New Roman" w:hAnsi="Times New Roman"/>
          <w:sz w:val="18"/>
          <w:szCs w:val="18"/>
          <w:color w:val="auto"/>
        </w:rPr>
        <w:t>Previously, Dr. Soderstrom was the director of program development for Oak Ridge National Laboratory after serving for 10 years as director of technology licensing for Martin Marietta Energy Systems, Inc. In the Office of Technology Applications, he directed a group of 10 professionals responsible for negotiating license contracts and cooperative research and development agreements. Dr. Soderstrom received his Ph.D. from Northwestern University in 1980 and his B.A. from Hope College in 1976.</w:t>
      </w:r>
    </w:p>
    <w:p>
      <w:pPr>
        <w:spacing w:after="0" w:line="113"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Christopher Wright. </w:t>
      </w:r>
      <w:r>
        <w:rPr>
          <w:rFonts w:ascii="Times New Roman" w:cs="Times New Roman" w:eastAsia="Times New Roman" w:hAnsi="Times New Roman"/>
          <w:sz w:val="18"/>
          <w:szCs w:val="18"/>
          <w:color w:val="auto"/>
        </w:rPr>
        <w:t>Since January 2014, Mr. Wright has been an advisor to HighCape. Christopher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Wright has been a director of Merifin Capital NV, a private European family owned investment firm since 1987. Until mid-2003, he also served as Head of Global Private Equity Partners and CEO of Dresdner Kleinwort Capital and was a Group Board Member of Dresdner Kleinwort based in NYC, London and Frankfurt. He served as Chairman of various investment funds prior to and following the latter’s integration with Allianz SE. He was subsequently Acting Global Head of Private Equity and Infrastructure Investments at Standard Bank of South Africa Ltd from 2005 to 2006.</w:t>
      </w:r>
    </w:p>
    <w:p>
      <w:pPr>
        <w:spacing w:after="0" w:line="121"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He was until 2014 non-executive Chairman of Maxcess International Corporation (an industrial controls business), and a founding board member of IDOX Plc, a leader in e-government software in the UK. He is co-founder and member of the board executive committee of Roper Technologies Inc (NYSE listed, S+P 500, large-cap diversified software, medtech and instrumentation company) whose audit committee he currently chairs. He is Chairman of YIMEI Capital, an asset management firm, based in Shanghai. He served until 2005 on the board of Genaissance. Mr. Wright is Emeritus Director of Campbell Lutyens &amp; Co. Ltd, a leading private equity and infrastructure focused investment banking firm based in London. He serves on the board of the UK charity, The Sutton Trust, and is an Advisory Director of the Scientific Exploration Society in the UK. He is a Fellow of the Royal Geographical Society and of the Royal Society of Arts. Mr. Wright was educated at Oxford University and holds a Certified Diploma in Accounting and Finance from ACCA. He is Honorary Fellow, Corpus Christi College, Oxford and serves as a member of its Endowment Investment Committee.</w:t>
      </w:r>
    </w:p>
    <w:p>
      <w:pPr>
        <w:spacing w:after="0" w:line="288"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color w:val="auto"/>
        </w:rPr>
        <w:t>The past performance of the members of our management team, HighCape or their affiliates is not a guarantee that we will be able to identify a suitable candidate for our initial business combination or of success with respect to any business combination we may consummate. You should not rely on the historical record of the performance of our management, HighCape or any of its affiliates’ performance as indicative of our future performance.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intend to capitalize on the following competitive advantages in our pursuit of a target company:</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Ability to Provide Counsel and Position a Company for Success in the Public Market</w:t>
      </w:r>
    </w:p>
    <w:p>
      <w:pPr>
        <w:spacing w:after="0" w:line="160"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We believe our greatest competitive advantage comes from HighCape’s partners’ extensive background and experience. The HighCape partners have been chief executive officers, board members, investors and executive leaders with years of experience in almost every phase and function of life sciences companies. These experiences bridge both public and private settings. We believe a target management team will see tremendous value in partnering with a firm that can say “we have truly sat in your seat” and, through that, help management with the transition issues from running a private company to managing a public entity.</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Proactive and Proprietary Transaction Sourcing</w:t>
      </w:r>
    </w:p>
    <w:p>
      <w:pPr>
        <w:spacing w:after="0" w:line="146" w:lineRule="exact"/>
        <w:rPr>
          <w:sz w:val="20"/>
          <w:szCs w:val="20"/>
          <w:color w:val="auto"/>
        </w:rPr>
      </w:pPr>
    </w:p>
    <w:p>
      <w:pPr>
        <w:jc w:val="both"/>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Our management team believes that its leading market reputation, proactive approach to sourcing transactions, and extensive network of relationships will provide proprietary investment opportunities.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3" w:name="page84"/>
    <w:bookmarkEnd w:id="8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Execution and Structuring Capability</w:t>
      </w:r>
    </w:p>
    <w:p>
      <w:pPr>
        <w:spacing w:after="0" w:line="146"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Our management team believes that its industry expertise and reputation allow them to source and complete transactions possessing structural attributes that create an attractive investment thesis. These types of transactions are typically complex and require creativity, industry knowledge and expertise, rigorous due diligence, and extensive negotiation and documentation.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Focused Experience Across Public and Private Opportunities</w:t>
      </w:r>
    </w:p>
    <w:p>
      <w:pPr>
        <w:spacing w:after="0" w:line="160"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Our management team combines deep experience in public and private transactions. Mr. Rakin has more than 30 years of experience as a chief executive officer and board member in both private and public companies, while Mr. Zuga similarly has more than 30 years in the banking and investing arena. Additionally, the entire HighCape team have more than 100 years years combined experience sourcing, leading and transacting both public and private opportunities. We believe this versatility of experience and understanding of both public and private markets will allow our team to identify companies that could make successful public market candidates and prepare them to make the transition to strong publicly-traded companies.</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Significant Value-Add Capability</w:t>
      </w:r>
    </w:p>
    <w:p>
      <w:pPr>
        <w:spacing w:after="0" w:line="160"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believe that the life sciences sector expertise and broad network of relationships of our management team will allow them to add significant value after consummation of an initial transaction. We anticipate that our team will be involved with a target company in a number of capacities, including: (i) assisting in setting strategic direction and priorities; (ii) designing specific performance improvement projects;</w:t>
      </w:r>
    </w:p>
    <w:p>
      <w:pPr>
        <w:jc w:val="center"/>
        <w:spacing w:after="0" w:line="237" w:lineRule="auto"/>
        <w:rPr>
          <w:sz w:val="20"/>
          <w:szCs w:val="20"/>
          <w:color w:val="auto"/>
        </w:rPr>
      </w:pPr>
      <w:r>
        <w:rPr>
          <w:rFonts w:ascii="Times New Roman" w:cs="Times New Roman" w:eastAsia="Times New Roman" w:hAnsi="Times New Roman"/>
          <w:sz w:val="18"/>
          <w:szCs w:val="18"/>
          <w:color w:val="auto"/>
        </w:rPr>
        <w:t>(iii) helping to identify and recruit managers; (iv) advising on acquisition and financing transactions;</w:t>
      </w:r>
    </w:p>
    <w:p>
      <w:pPr>
        <w:ind w:left="1260" w:right="699" w:firstLine="2"/>
        <w:spacing w:after="0" w:line="237" w:lineRule="auto"/>
        <w:tabs>
          <w:tab w:leader="none" w:pos="15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contributing market information; and (vi) developing a targeted investor relations program. Furthermore, our management team is also experienced in navigating complex reimbursement and regulatory issues that many companies in healthcare manage over time. Our management believes that its ability to identify and execute value creation initiatives has been an essential driver of past performance and will remain central to its acquisition strategy.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48"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While we may acquire a business in any industry, our focus will be in the life sciences industry in the United States and other developed countries. We believe the life sciences industry is attractive for a number of reasons: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Large Target Market</w:t>
      </w:r>
    </w:p>
    <w:p>
      <w:pPr>
        <w:spacing w:after="0" w:line="160"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The life sciences industry represents an enormous target market. Total U.S. national health expenditure exceeds $3 trillion, and the Center for Medicare and Medicaid Services has estimated that total healthcare spending will approach 20% of total U.S. Gross Domestic Product over the coming years. The number of private companies in the life sciences industry is significant, with over 30,000 firms focused on various sub-sectors of the healthcare value chain in the United States alone. The market dynamics are similar in Europe and other developed countries.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Broad Universe of Potential Targets</w:t>
      </w:r>
    </w:p>
    <w:p>
      <w:pPr>
        <w:spacing w:after="0" w:line="160"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We intend to focus our investment effort broadly across the life sciences industry, which encompasses therapeutics, devices, diagnostics and animal health. We believe that our investment and operating expertise in healthcare across multiple industry verticals will give us a large, addressable universe of potential targets. The diversity of the target universe and the number of largely uncorrelated sub-sectors maximizes that likelihood that our management team will be able to identify and execute an attractive transaction.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Limited Competition</w:t>
      </w:r>
    </w:p>
    <w:p>
      <w:pPr>
        <w:spacing w:after="0" w:line="146" w:lineRule="exact"/>
        <w:rPr>
          <w:sz w:val="20"/>
          <w:szCs w:val="20"/>
          <w:color w:val="auto"/>
        </w:rPr>
      </w:pPr>
    </w:p>
    <w:p>
      <w:pPr>
        <w:ind w:left="1260" w:right="799" w:firstLine="360"/>
        <w:spacing w:after="0" w:line="263" w:lineRule="auto"/>
        <w:rPr>
          <w:sz w:val="20"/>
          <w:szCs w:val="20"/>
          <w:color w:val="auto"/>
        </w:rPr>
      </w:pPr>
      <w:r>
        <w:rPr>
          <w:rFonts w:ascii="Times New Roman" w:cs="Times New Roman" w:eastAsia="Times New Roman" w:hAnsi="Times New Roman"/>
          <w:sz w:val="18"/>
          <w:szCs w:val="18"/>
          <w:color w:val="auto"/>
        </w:rPr>
        <w:t>Our management team believes that the complexity of the life sciences industry acts as a barrier to entry, requiring investors to have significant knowledge and expertise to identify and appropriately analyze investment opportunities. Technical, clinical and scientific knowledge, an understanding of the reimbursement</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339"/>
        <w:spacing w:after="0" w:line="266" w:lineRule="auto"/>
        <w:rPr>
          <w:sz w:val="20"/>
          <w:szCs w:val="20"/>
          <w:color w:val="auto"/>
        </w:rPr>
      </w:pPr>
      <w:r>
        <w:rPr>
          <w:rFonts w:ascii="Times New Roman" w:cs="Times New Roman" w:eastAsia="Times New Roman" w:hAnsi="Times New Roman"/>
          <w:sz w:val="18"/>
          <w:szCs w:val="18"/>
          <w:color w:val="auto"/>
        </w:rPr>
        <w:t>environment and regulatory landscape, complex valuation methodologies, specialized accounting treatments, and regulatory and political considerations may deter competition from generalist firms.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Favorable Trends</w:t>
      </w:r>
    </w:p>
    <w:p>
      <w:pPr>
        <w:spacing w:after="0" w:line="146" w:lineRule="exact"/>
        <w:rPr>
          <w:sz w:val="20"/>
          <w:szCs w:val="20"/>
          <w:color w:val="auto"/>
        </w:rPr>
      </w:pPr>
    </w:p>
    <w:p>
      <w:pPr>
        <w:ind w:left="1260" w:right="779" w:firstLine="360"/>
        <w:spacing w:after="0" w:line="239" w:lineRule="auto"/>
        <w:rPr>
          <w:sz w:val="20"/>
          <w:szCs w:val="20"/>
          <w:color w:val="auto"/>
        </w:rPr>
      </w:pPr>
      <w:r>
        <w:rPr>
          <w:rFonts w:ascii="Times New Roman" w:cs="Times New Roman" w:eastAsia="Times New Roman" w:hAnsi="Times New Roman"/>
          <w:sz w:val="18"/>
          <w:szCs w:val="18"/>
          <w:color w:val="auto"/>
        </w:rPr>
        <w:t>Total global healthcare expenditure has grown at a pace substantially above the global economy in the recent past, and this growth is projected to continue over the years to come, which we anticipate will include an aging population, increased prevalence of chronic disease and improved access to healthcare. While the size of healthcare spending has grown and will continue to grow, this expense has put significant pressure on payers, including federal and state governments as well as individuals. This dynamic provides opportunities to life sciences companies with innovative approaches that provide better clinical outcomes and also bend the cost curve for payers. The HighCape team has extensive experience in identifying, growing and exiting exactly these types of companies.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Acquisition Criteria</w:t>
      </w:r>
    </w:p>
    <w:p>
      <w:pPr>
        <w:spacing w:after="0" w:line="162" w:lineRule="exact"/>
        <w:rPr>
          <w:sz w:val="20"/>
          <w:szCs w:val="20"/>
          <w:color w:val="auto"/>
        </w:rPr>
      </w:pPr>
    </w:p>
    <w:p>
      <w:pPr>
        <w:ind w:left="1260" w:right="859" w:firstLine="360"/>
        <w:spacing w:after="0" w:line="245" w:lineRule="auto"/>
        <w:rPr>
          <w:sz w:val="20"/>
          <w:szCs w:val="20"/>
          <w:color w:val="auto"/>
        </w:rPr>
      </w:pPr>
      <w:r>
        <w:rPr>
          <w:rFonts w:ascii="Times New Roman" w:cs="Times New Roman" w:eastAsia="Times New Roman" w:hAnsi="Times New Roman"/>
          <w:sz w:val="18"/>
          <w:szCs w:val="18"/>
          <w:color w:val="auto"/>
        </w:rPr>
        <w:t>Consistent with our strategy, we have identified the following general criteria and guidelines that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Life Sciences Businesses</w:t>
      </w:r>
    </w:p>
    <w:p>
      <w:pPr>
        <w:spacing w:after="0" w:line="160"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We believe that the life sciences segment provides the greatest number of opportunities for investment and is consistent with HighCape’s historical investment history. This segment is where we believe we also have the strongest network to identify the greatest number of attractive opportunities and we believe the larger market capitalization and public float of the resulting company will be more attractive to our investors.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Companies with Revenue and Earnings Growth or Potential for Revenue and Earnings Growth</w:t>
      </w:r>
    </w:p>
    <w:p>
      <w:pPr>
        <w:spacing w:after="0" w:line="146" w:lineRule="exact"/>
        <w:rPr>
          <w:sz w:val="20"/>
          <w:szCs w:val="20"/>
          <w:color w:val="auto"/>
        </w:rPr>
      </w:pPr>
    </w:p>
    <w:p>
      <w:pPr>
        <w:jc w:val="both"/>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We will seek to acquire one or more businesses that have achieved or have the potential for significant revenue and earnings growth through a combination of organic growth, synergistic add- on acquisitions, new product markets and geographies, increased production capacity, expense reduction and increased operating leverage.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Companies with, or with the Potential for, Strong Free Cash Flow Generation</w:t>
      </w:r>
    </w:p>
    <w:p>
      <w:pPr>
        <w:spacing w:after="0" w:line="160" w:lineRule="exact"/>
        <w:rPr>
          <w:sz w:val="20"/>
          <w:szCs w:val="20"/>
          <w:color w:val="auto"/>
        </w:rPr>
      </w:pPr>
    </w:p>
    <w:p>
      <w:pPr>
        <w:ind w:left="1260" w:right="779" w:firstLine="360"/>
        <w:spacing w:after="0" w:line="250" w:lineRule="auto"/>
        <w:rPr>
          <w:sz w:val="20"/>
          <w:szCs w:val="20"/>
          <w:color w:val="auto"/>
        </w:rPr>
      </w:pPr>
      <w:r>
        <w:rPr>
          <w:rFonts w:ascii="Times New Roman" w:cs="Times New Roman" w:eastAsia="Times New Roman" w:hAnsi="Times New Roman"/>
          <w:sz w:val="18"/>
          <w:szCs w:val="18"/>
          <w:color w:val="auto"/>
        </w:rPr>
        <w:t>We will seek to acquire one or more businesses that already have, or have the potential to generate, consistent, stable and recurring free cash flow when their product or products have achieved an appropriate level of market penetration.</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Strong Competitive Position</w:t>
      </w:r>
    </w:p>
    <w:p>
      <w:pPr>
        <w:spacing w:after="0" w:line="160"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We intend to focus on acquisition targets that have a leading, growing or niche market position in their respective industries. We will analyze the strengths and weaknesses of target businesses relative to their competitors. We will seek to acquire one or more businesses that demonstrate advantages when compared to their competitors, which may help to protect their market position and profitability.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Experienced Management Team</w:t>
      </w:r>
    </w:p>
    <w:p>
      <w:pPr>
        <w:spacing w:after="0" w:line="146"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We will seek to acquire one or more businesses with a complete, experienced management team that provides a platform for us to further develop the acquired business’s management capabilities. We will seek to partner with a potential target’s management team and expect that the operating and financial abilities of our executive team and board will complement their own capabilities.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Benefit from Being a Public Company</w:t>
      </w:r>
    </w:p>
    <w:p>
      <w:pPr>
        <w:spacing w:after="0" w:line="160"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We intend to acquire one or more businesses that will benefit from being publicly traded and can effectively utilize the broader access to capital and the public profile that are associated with being a</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59"/>
        <w:spacing w:after="0" w:line="266" w:lineRule="auto"/>
        <w:rPr>
          <w:sz w:val="20"/>
          <w:szCs w:val="20"/>
          <w:color w:val="auto"/>
        </w:rPr>
      </w:pPr>
      <w:r>
        <w:rPr>
          <w:rFonts w:ascii="Times New Roman" w:cs="Times New Roman" w:eastAsia="Times New Roman" w:hAnsi="Times New Roman"/>
          <w:sz w:val="18"/>
          <w:szCs w:val="18"/>
          <w:color w:val="auto"/>
        </w:rPr>
        <w:t>publicly traded company. We will focus on companies that have proven technology or products, with strong supporting data, near and long term milestones and strong fundamentals. We do not intend to acquire start-up companies or companies without a path to long-term profitability.</w:t>
      </w:r>
    </w:p>
    <w:p>
      <w:pPr>
        <w:spacing w:after="0" w:line="95"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a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or tender offer materials, as applicable, that we would file with the SEC. In evaluating a prospective target business, we expect to conduct a due diligence review which may encompass, among other things, meetings with incumbent management and employees, document reviews, interviews of customers and suppliers, inspections of facilities, as well as reviewing financial and other information which will be made available to us.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our officers or our directors. In the event we seek to complete our initial business combination with a business that is affiliated with our sponsor, our officers or our directors, we, or a committee of independent and disinterested directors, will obtain an opinion from an independent investment banking firm that is a member of FINRA, or from an independent accounting firm, that such an initial business combination is fair to our company from a financial point of view.</w:t>
      </w:r>
    </w:p>
    <w:p>
      <w:pPr>
        <w:spacing w:after="0" w:line="120"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Members of our management team may directly or indirectly own our securities following this offering and, accordingly, they may have a conflict of interest in determining whether a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06"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HighCape manages several investment vehicles. Each of our officers and directors presently has, and any of them in the future may have additional, fiduciary or contractual obligations to another entity, including public and private funds under the management of HighCape and their respective portfolio companies, pursuant to which such officer or director is or will be required to present a business combination opportunity to such entity. In addition, existing and future funds managed by HighCape and their respective portfolio companies may compete with us for business combination opportunities and, if such opportunities are pursued by such entities, we may be precluded from pursuing such opportunities.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entity, and may only decide to present it to us if such entity rejects the opportunity and consummating the same would not violate any restrictive covenants to which such officers and directors are subject.</w:t>
      </w:r>
    </w:p>
    <w:p>
      <w:pPr>
        <w:spacing w:after="0" w:line="338"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While our sponsor and its affiliates will not have any duty to offer acquisition opportunities to us, our sponsor and its affiliates may become aware of a potential transaction that is an attractive opportunity for us, which it may decide to share with us. Conflicts may arise from HighCape’s involvement with our company, as well as from actions undertaken by HighCape or any of its affiliates for their own account. When acting for their own account, HighCape or any of its affiliates may take commercial steps which may have an adverse effect on us. Any of HighCape’s or its affiliates’ other activities may, individually or in the aggregate, have an adverse effect on us, and the interests of HighCape or any of its affiliates may at times be averse to ours.</w:t>
      </w:r>
    </w:p>
    <w:p>
      <w:pPr>
        <w:spacing w:after="0" w:line="337"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do not believe, however, that the fiduciary, contractual or other obligations or duties of our officers or directors, or our sponsor and its affiliates, will materially affect our ability to complete our initial business combination.</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48"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We refer to this as the 80% of net assets test. If our board of directors is not able to independently determine the fair market value of the target business or businesses, we will obtain an opinion from an independent investment banking firm that is a member of FINRA or from an independent accounting firm, with respect to the satisfaction of such criteria. We do not currently intend to purchase multiple businesses in unrelated industries in conjunction with our initial business combination, although there is no assurance that will be the case.</w:t>
      </w:r>
    </w:p>
    <w:p>
      <w:pPr>
        <w:spacing w:after="0" w:line="340"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anticipate structuring our initial business combination so that the post-transaction company in which our public stockholders’ own shares will own or acquire 100% of the outstanding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post-transaction company, depending on valuations ascribed to the target and us in our initial business combination transaction. For example, we could pursue a transaction in which we issue a substantial number of new shares in exchange for all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our initial business combination involves more than one target business, the 80% of net assets test will be based on the aggregate value of all the target businesses.</w:t>
      </w:r>
    </w:p>
    <w:p>
      <w:pPr>
        <w:spacing w:after="0" w:line="338" w:lineRule="exact"/>
        <w:rPr>
          <w:sz w:val="20"/>
          <w:szCs w:val="20"/>
          <w:color w:val="auto"/>
        </w:rPr>
      </w:pPr>
    </w:p>
    <w:p>
      <w:pPr>
        <w:ind w:left="1260" w:right="1039" w:firstLine="360"/>
        <w:spacing w:after="0" w:line="256" w:lineRule="auto"/>
        <w:rPr>
          <w:sz w:val="20"/>
          <w:szCs w:val="20"/>
          <w:color w:val="auto"/>
        </w:rPr>
      </w:pPr>
      <w:r>
        <w:rPr>
          <w:rFonts w:ascii="Times New Roman" w:cs="Times New Roman" w:eastAsia="Times New Roman" w:hAnsi="Times New Roman"/>
          <w:sz w:val="18"/>
          <w:szCs w:val="18"/>
          <w:color w:val="auto"/>
        </w:rPr>
        <w:t>Deerfield Management has indicated that one or more Deerfield Funds managed by Deerfield Management and its affiliates has an interest in purchasing 1,000,000 units in this offering at the public offering price. However, because indications of interest are not binding agreements or commitments to purchase, the Deerfield Funds may decide not to purchase any units in this offering. In addition, the underwriters could determine to sell fewer or not to sell any units to the Deerfield Funds. The Deerfield Funds are also investing in our sponsor.</w:t>
      </w:r>
    </w:p>
    <w:p>
      <w:pPr>
        <w:spacing w:after="0" w:line="10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Prior to the date of this prospectus, we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16"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We may pursue an initial business combination opportunity jointly with our sponsor, HighCape or one or more of its affiliates and/or investors in HighCape or one of its affiliates. Any such parties may co-invest with us in the target business at the time of our initial business combination, or we could raise additional proceeds to complete the acquisition by issuing to such parties a class of equity or equity-linked securities. Any such issuance of equity or equity-linked securities would, on a fully diluted basis, reduce</w:t>
      </w:r>
    </w:p>
    <w:p>
      <w:pPr>
        <w:spacing w:after="0" w:line="3" w:lineRule="exact"/>
        <w:rPr>
          <w:sz w:val="20"/>
          <w:szCs w:val="20"/>
          <w:color w:val="auto"/>
        </w:rPr>
      </w:pPr>
    </w:p>
    <w:p>
      <w:pPr>
        <w:ind w:left="1260" w:right="679"/>
        <w:spacing w:after="0" w:line="252" w:lineRule="auto"/>
        <w:rPr>
          <w:sz w:val="20"/>
          <w:szCs w:val="20"/>
          <w:color w:val="auto"/>
        </w:rPr>
      </w:pPr>
      <w:r>
        <w:rPr>
          <w:rFonts w:ascii="Times New Roman" w:cs="Times New Roman" w:eastAsia="Times New Roman" w:hAnsi="Times New Roman"/>
          <w:sz w:val="18"/>
          <w:szCs w:val="18"/>
          <w:color w:val="auto"/>
        </w:rPr>
        <w:t>the percentage ownership of our then-existing stockholders. Notwithstanding the foregoing, pursuant to the anti-dilution provisions of our Class B common stock, issuances or deemed issuances of Class A common stock or equity-linked securities would result in an adjustment to the ratio at which shares of Class B common stock shall convert into shares of Class A common stock such that our initial stockholders and their permitted transferees, if any, would retain their aggregate percentage ownership at 20% of the sum of the total number of all shares of common stock outstanding upon completion of this offering (excluding the private placement shares underlying the private placement units) plus all shares of Class A common stock and equity-linked</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41" w:lineRule="auto"/>
        <w:rPr>
          <w:sz w:val="20"/>
          <w:szCs w:val="20"/>
          <w:color w:val="auto"/>
        </w:rPr>
      </w:pPr>
      <w:r>
        <w:rPr>
          <w:rFonts w:ascii="Times New Roman" w:cs="Times New Roman" w:eastAsia="Times New Roman" w:hAnsi="Times New Roman"/>
          <w:sz w:val="18"/>
          <w:szCs w:val="18"/>
          <w:color w:val="auto"/>
        </w:rPr>
        <w:t>securities issued or deemed issued in connection with the business combination (excluding any shares or equity-linked securities issued, or to be issued, to any seller in the business combination), unless the holders of a majority of the then -outstanding shares of Class B common stock agree to waive such adjustment with respect to such issuance or deemed issuance at the time thereof. Neither our sponsor nor HighCape, nor any of their respective affiliates, have an obligation to make any such investment, and may compete with us for potential business combinations.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Status as a Public Company</w:t>
      </w:r>
    </w:p>
    <w:p>
      <w:pPr>
        <w:spacing w:after="0" w:line="148"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common stock (or shares of a new holding company) or for a combination of our Class A common stock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and market and other uncertainties in the initial public offering process, including underwriting discounts and commissions, marketing and road show efforts that may not be present to the same extent in connection with a business combination with us.</w:t>
      </w:r>
    </w:p>
    <w:p>
      <w:pPr>
        <w:spacing w:after="0" w:line="126"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Furthermore, once a proposed initial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could have negative valuation consequences. Following an initial business combination, we believe the target business would then have greater access to capital, an additional means of providing management incentives consistent with stockholders’ interests and the ability to use its shares as currency for acquisitions. Being a public company can offer further benefits by augmenting a company’s profile among potential new customers and vendors and aid in attracting talented employees.</w:t>
      </w:r>
    </w:p>
    <w:p>
      <w:pPr>
        <w:spacing w:after="0" w:line="120"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While we believe that our structure and our management team’s backgrounds will make us an attractive business partner, some potential target businesses may view our status as a blank check company, such as our lack of an operating history and our ability to seek stockholder approval of any proposed initial business combination, negatively.</w:t>
      </w:r>
    </w:p>
    <w:p>
      <w:pPr>
        <w:spacing w:after="0" w:line="100"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earlier of (1) the last day of the fiscal year (a) following the fifth anniversary of the completion of this offering, (b) in which we have total annual gross revenue of at least $1.07 billion, or</w:t>
      </w:r>
    </w:p>
    <w:p>
      <w:pPr>
        <w:ind w:left="1520" w:hanging="258"/>
        <w:spacing w:after="0" w:line="236" w:lineRule="auto"/>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are deemed to be a large accelerated filer, which means the market value of our Class A</w:t>
      </w:r>
    </w:p>
    <w:p>
      <w:pPr>
        <w:ind w:left="1260" w:right="79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that is held by non-affiliates exceeds $700 million as of the prior June 30th, and (2) the date on which we have issued more than $1.0 billion in non-convertible debt securities during the prior three-year period.</w:t>
      </w:r>
    </w:p>
    <w:p>
      <w:pPr>
        <w:spacing w:after="0" w:line="118" w:lineRule="exact"/>
        <w:rPr>
          <w:sz w:val="20"/>
          <w:szCs w:val="20"/>
          <w:color w:val="auto"/>
        </w:rPr>
      </w:pPr>
    </w:p>
    <w:p>
      <w:pPr>
        <w:ind w:left="1260" w:right="879" w:firstLine="360"/>
        <w:spacing w:after="0"/>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30th, or (2) our annual revenues exceeded $100 million during such completed fiscal year and the market value of our common stock held by non-affiliates exceeds $700 million as of the prior June 30th.</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62" w:lineRule="exact"/>
        <w:rPr>
          <w:sz w:val="20"/>
          <w:szCs w:val="20"/>
          <w:color w:val="auto"/>
        </w:rPr>
      </w:pPr>
    </w:p>
    <w:p>
      <w:pPr>
        <w:ind w:left="1260" w:right="779" w:firstLine="360"/>
        <w:spacing w:after="0" w:line="245" w:lineRule="auto"/>
        <w:rPr>
          <w:sz w:val="20"/>
          <w:szCs w:val="20"/>
          <w:color w:val="auto"/>
        </w:rPr>
      </w:pPr>
      <w:r>
        <w:rPr>
          <w:rFonts w:ascii="Times New Roman" w:cs="Times New Roman" w:eastAsia="Times New Roman" w:hAnsi="Times New Roman"/>
          <w:sz w:val="18"/>
          <w:szCs w:val="18"/>
          <w:color w:val="auto"/>
        </w:rPr>
        <w:t>With funds available for a business combination initially in the amount of $96,500,000 (assuming no redemptions), after payment of $3,500,000 of deferred underwriting fees (or $ 110,975,000 (assuming no redemptions) after payment of $4,025,000 of deferred underwriting fees if the underwriters’ over-allotment option is exercised in full), we offer a target business a variety of options such as creating a liquidity event</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88" w:name="page89"/>
    <w:bookmarkEnd w:id="8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56" w:lineRule="auto"/>
        <w:rPr>
          <w:sz w:val="20"/>
          <w:szCs w:val="20"/>
          <w:color w:val="auto"/>
        </w:rPr>
      </w:pPr>
      <w:r>
        <w:rPr>
          <w:rFonts w:ascii="Times New Roman" w:cs="Times New Roman" w:eastAsia="Times New Roman" w:hAnsi="Times New Roman"/>
          <w:sz w:val="18"/>
          <w:szCs w:val="18"/>
          <w:color w:val="auto"/>
        </w:rPr>
        <w:t>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Effecting Our Initial Business Combination</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w:t>
      </w:r>
    </w:p>
    <w:p>
      <w:pPr>
        <w:spacing w:after="0" w:line="144"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placement units, the proceeds of the sale of our shares in connection with our initial business combination (including pursuant to forward purchase agreements or backstop agreements we may enter into following the consummation of this offering or otherwise), shares issued to the owners of the target, debt issued to bank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21" w:lineRule="exact"/>
        <w:rPr>
          <w:sz w:val="20"/>
          <w:szCs w:val="20"/>
          <w:color w:val="auto"/>
        </w:rPr>
      </w:pPr>
    </w:p>
    <w:p>
      <w:pPr>
        <w:ind w:left="1260" w:right="839" w:firstLine="360"/>
        <w:spacing w:after="0" w:line="255" w:lineRule="auto"/>
        <w:rPr>
          <w:sz w:val="20"/>
          <w:szCs w:val="20"/>
          <w:color w:val="auto"/>
        </w:rPr>
      </w:pPr>
      <w:r>
        <w:rPr>
          <w:rFonts w:ascii="Times New Roman" w:cs="Times New Roman" w:eastAsia="Times New Roman" w:hAnsi="Times New Roman"/>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common stock,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121"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We have not selected any specific business combination target and we have not, nor has anyone on our behalf, engaged in any substantive discussions, directly or indirectly, with any business combination target with respect to an initial business combination with us.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07"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Sources of Target Businesses</w:t>
      </w:r>
    </w:p>
    <w:p>
      <w:pPr>
        <w:spacing w:after="0" w:line="162"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We believe our management team’s significant operating and transaction experience and relationships will provide us with a substantial number of potential initial business combination targets. Over the course of their careers, the members of our management team have developed a broad network of contacts and corporate relationships around the world, which includes private equity firms, venture capitalists and entrepreneurs. This network has grown through the activities of our management team sourcing, acquiring and financing businesses, the reputation of our management team for integrity and fair dealing with sellers, financing sources and target management teams and the experience of our management team in executing</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99"/>
        <w:spacing w:after="0" w:line="266" w:lineRule="auto"/>
        <w:rPr>
          <w:sz w:val="20"/>
          <w:szCs w:val="20"/>
          <w:color w:val="auto"/>
        </w:rPr>
      </w:pPr>
      <w:r>
        <w:rPr>
          <w:rFonts w:ascii="Times New Roman" w:cs="Times New Roman" w:eastAsia="Times New Roman" w:hAnsi="Times New Roman"/>
          <w:sz w:val="18"/>
          <w:szCs w:val="18"/>
          <w:color w:val="auto"/>
        </w:rPr>
        <w:t>transactions under varying economic and financial market conditions. In addition, members of our management team have developed contacts from serving on the boards of directors of public companies.</w:t>
      </w:r>
    </w:p>
    <w:p>
      <w:pPr>
        <w:spacing w:after="0" w:line="81"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This network has provided our management team with a flow of referrals that has resulted in numerous transactions which were proprietary or where a limited group of investors were invited to participate in the sale process. We believe that the network of contacts and relationships of our management team will provide us important sources of investment opportunities. In addition, we anticipate that target business combination candidates will be brought to our attention from various unaffiliated sources, including investment market participants, private equity funds and large business enterprises seeking to divest non-core assets or divisions.</w:t>
      </w:r>
    </w:p>
    <w:p>
      <w:pPr>
        <w:spacing w:after="0" w:line="32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$ 10,000 per month for office space, secretarial and administrative services provided to members of our management team. Any such payments prior to our initial business combination will be made from funds held outside the trust account. Other than the foregoing, there will be no finder’s fees, reimbursement, consulting 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w:t>
      </w:r>
    </w:p>
    <w:p>
      <w:pPr>
        <w:spacing w:after="0" w:line="270"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w:t>
      </w:r>
    </w:p>
    <w:p>
      <w:pPr>
        <w:spacing w:after="0" w:line="10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Members of our management team and our independent directors will directly or indirectly own founder shares and/or private placement units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324"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0" w:name="page91"/>
    <w:bookmarkEnd w:id="9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66" w:lineRule="auto"/>
        <w:rPr>
          <w:sz w:val="20"/>
          <w:szCs w:val="20"/>
          <w:color w:val="auto"/>
        </w:rPr>
      </w:pPr>
      <w:r>
        <w:rPr>
          <w:rFonts w:ascii="Times New Roman" w:cs="Times New Roman" w:eastAsia="Times New Roman" w:hAnsi="Times New Roman"/>
          <w:sz w:val="18"/>
          <w:szCs w:val="18"/>
          <w:color w:val="auto"/>
        </w:rPr>
        <w:t>obligation. We do not believe, however, that the fiduciary duties or contractual obligations of our officers or directors will materially affect our ability to complete our initial business combination.</w:t>
      </w:r>
    </w:p>
    <w:p>
      <w:pPr>
        <w:spacing w:after="0" w:line="81"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Evaluation of a Target Business and Structuring of Our Initial Business Combination</w:t>
      </w:r>
    </w:p>
    <w:p>
      <w:pPr>
        <w:spacing w:after="0" w:line="162"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16"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Lack of Business Diversification</w:t>
      </w:r>
    </w:p>
    <w:p>
      <w:pPr>
        <w:spacing w:after="0" w:line="148"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62" w:lineRule="exact"/>
        <w:rPr>
          <w:sz w:val="20"/>
          <w:szCs w:val="20"/>
          <w:color w:val="auto"/>
        </w:rPr>
      </w:pPr>
    </w:p>
    <w:p>
      <w:pPr>
        <w:ind w:left="1800" w:right="819" w:hanging="178"/>
        <w:spacing w:after="0" w:line="266"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54" w:lineRule="exact"/>
        <w:rPr>
          <w:rFonts w:ascii="Times New Roman" w:cs="Times New Roman" w:eastAsia="Times New Roman" w:hAnsi="Times New Roman"/>
          <w:sz w:val="18"/>
          <w:szCs w:val="18"/>
          <w:color w:val="auto"/>
        </w:rPr>
      </w:pPr>
    </w:p>
    <w:p>
      <w:pPr>
        <w:ind w:left="1800" w:right="959" w:hanging="178"/>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Limited Ability to Evaluate the Target’s Management Team</w:t>
      </w:r>
    </w:p>
    <w:p>
      <w:pPr>
        <w:spacing w:after="0" w:line="162"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18" w:lineRule="exact"/>
        <w:rPr>
          <w:sz w:val="20"/>
          <w:szCs w:val="20"/>
          <w:color w:val="auto"/>
        </w:rPr>
      </w:pPr>
    </w:p>
    <w:p>
      <w:pPr>
        <w:ind w:left="1260" w:right="1099" w:firstLine="360"/>
        <w:spacing w:after="0" w:line="250" w:lineRule="auto"/>
        <w:rPr>
          <w:sz w:val="20"/>
          <w:szCs w:val="20"/>
          <w:color w:val="auto"/>
        </w:rPr>
      </w:pPr>
      <w:r>
        <w:rPr>
          <w:rFonts w:ascii="Times New Roman" w:cs="Times New Roman" w:eastAsia="Times New Roman" w:hAnsi="Times New Roman"/>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1" w:name="page92"/>
    <w:bookmarkEnd w:id="9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Stockholders May Not Have the Ability to Approve Our Initial Business Combination</w:t>
      </w:r>
    </w:p>
    <w:p>
      <w:pPr>
        <w:spacing w:after="0" w:line="14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We may conduct redemptions without a stockholder vote pursuant to the tender offer rules of the SEC subject to the provisions of our amended and restated certificate of incorporation. However, we will seek stockholder approval if it is required by law or applicable stock exchange rule, or we may decide to seek stockholder approval for business or other legal reasons.</w:t>
      </w:r>
    </w:p>
    <w:p>
      <w:pPr>
        <w:spacing w:after="0" w:line="11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Presented in the table below is a graphic explanation of the types of initial business combinations we may consider and whether stockholder approval is currently required under Delaware law for each such transaction.</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Whether</w:t>
            </w:r>
          </w:p>
        </w:tc>
      </w:tr>
      <w:tr>
        <w:trPr>
          <w:trHeight w:val="162"/>
        </w:trPr>
        <w:tc>
          <w:tcPr>
            <w:tcW w:w="6520" w:type="dxa"/>
            <w:vAlign w:val="bottom"/>
          </w:tcPr>
          <w:p>
            <w:pPr>
              <w:spacing w:after="0"/>
              <w:rPr>
                <w:sz w:val="14"/>
                <w:szCs w:val="14"/>
                <w:color w:val="auto"/>
              </w:rPr>
            </w:pPr>
          </w:p>
        </w:tc>
        <w:tc>
          <w:tcPr>
            <w:tcW w:w="9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9"/>
              </w:rPr>
              <w:t>Stockholder</w:t>
            </w:r>
          </w:p>
        </w:tc>
      </w:tr>
      <w:tr>
        <w:trPr>
          <w:trHeight w:val="162"/>
        </w:trPr>
        <w:tc>
          <w:tcPr>
            <w:tcW w:w="6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 Is</w:t>
            </w:r>
          </w:p>
        </w:tc>
      </w:tr>
      <w:tr>
        <w:trPr>
          <w:trHeight w:val="190"/>
        </w:trPr>
        <w:tc>
          <w:tcPr>
            <w:tcW w:w="6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Transaction</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Required</w:t>
            </w:r>
          </w:p>
        </w:tc>
      </w:tr>
      <w:tr>
        <w:trPr>
          <w:trHeight w:val="23"/>
        </w:trPr>
        <w:tc>
          <w:tcPr>
            <w:tcW w:w="6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assets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stock of target not involving a merger with the company</w:t>
            </w:r>
          </w:p>
        </w:tc>
        <w:tc>
          <w:tcPr>
            <w:tcW w:w="220" w:type="dxa"/>
            <w:vAlign w:val="bottom"/>
          </w:tcPr>
          <w:p>
            <w:pPr>
              <w:spacing w:after="0"/>
              <w:rPr>
                <w:sz w:val="22"/>
                <w:szCs w:val="22"/>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of target into a subsidiary of the company</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Merger of the company with a target</w:t>
            </w:r>
          </w:p>
        </w:tc>
        <w:tc>
          <w:tcPr>
            <w:tcW w:w="22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-659765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ind w:left="1260" w:right="1519" w:firstLine="360"/>
        <w:spacing w:after="0" w:line="282" w:lineRule="auto"/>
        <w:rPr>
          <w:sz w:val="20"/>
          <w:szCs w:val="20"/>
          <w:color w:val="auto"/>
        </w:rPr>
      </w:pPr>
      <w:r>
        <w:rPr>
          <w:rFonts w:ascii="Times New Roman" w:cs="Times New Roman" w:eastAsia="Times New Roman" w:hAnsi="Times New Roman"/>
          <w:sz w:val="18"/>
          <w:szCs w:val="18"/>
          <w:color w:val="auto"/>
        </w:rPr>
        <w:t>Under Nasdaq’s listing rules, stockholder approval would be required for our initial business combination if, for example:</w:t>
      </w:r>
    </w:p>
    <w:p>
      <w:pPr>
        <w:spacing w:after="0" w:line="54" w:lineRule="exact"/>
        <w:rPr>
          <w:sz w:val="20"/>
          <w:szCs w:val="20"/>
          <w:color w:val="auto"/>
        </w:rPr>
      </w:pPr>
    </w:p>
    <w:p>
      <w:pPr>
        <w:ind w:left="1800" w:right="1119" w:hanging="178"/>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shares of common stock that will be equal to or in excess of 20% of the number of our shares of common stock then outstanding (other than in a public offering);</w:t>
      </w:r>
    </w:p>
    <w:p>
      <w:pPr>
        <w:spacing w:after="0" w:line="67" w:lineRule="exact"/>
        <w:rPr>
          <w:rFonts w:ascii="Times New Roman" w:cs="Times New Roman" w:eastAsia="Times New Roman" w:hAnsi="Times New Roman"/>
          <w:sz w:val="18"/>
          <w:szCs w:val="18"/>
          <w:color w:val="auto"/>
        </w:rPr>
      </w:pPr>
    </w:p>
    <w:p>
      <w:pPr>
        <w:ind w:left="1800" w:right="979" w:hanging="178"/>
        <w:spacing w:after="0" w:line="258"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officers or substantial stockholders (as defined by Nasdaq rules) has a 5% or greater interest earned on the trust account (or such persons collectively have a 10% or greater interest), directly or indirectly, in the target business or assets to be acquired or otherwise and the present or potential issuance of common stock could result in an increase in outstanding common stock or voting power of 5% or more; or</w:t>
      </w:r>
    </w:p>
    <w:p>
      <w:pPr>
        <w:spacing w:after="0" w:line="75"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potential issuance of common stock will result in our undergoing a change of control.</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Permitted Purchases of Our Securities</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affiliates may purchase shares or public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13"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our sponsor, initial stockholders,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 rules under the Exchange Act or a going-private transaction subject to the</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2" w:name="page93"/>
    <w:bookmarkEnd w:id="9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939"/>
        <w:spacing w:after="0" w:line="266" w:lineRule="auto"/>
        <w:rPr>
          <w:sz w:val="20"/>
          <w:szCs w:val="20"/>
          <w:color w:val="auto"/>
        </w:rPr>
      </w:pPr>
      <w:r>
        <w:rPr>
          <w:rFonts w:ascii="Times New Roman" w:cs="Times New Roman" w:eastAsia="Times New Roman" w:hAnsi="Times New Roman"/>
          <w:sz w:val="18"/>
          <w:szCs w:val="18"/>
          <w:color w:val="auto"/>
        </w:rPr>
        <w:t>going-private rules under the Exchange Act; however, if the purchasers determine at the time of any such purchases that the purchases are subject to such rules, the purchasers will comply with such rules.</w:t>
      </w:r>
    </w:p>
    <w:p>
      <w:pPr>
        <w:spacing w:after="0" w:line="81" w:lineRule="exact"/>
        <w:rPr>
          <w:sz w:val="20"/>
          <w:szCs w:val="20"/>
          <w:color w:val="auto"/>
        </w:rPr>
      </w:pPr>
    </w:p>
    <w:p>
      <w:pPr>
        <w:ind w:left="1260" w:right="839" w:firstLine="360"/>
        <w:spacing w:after="0" w:line="238" w:lineRule="auto"/>
        <w:rPr>
          <w:sz w:val="20"/>
          <w:szCs w:val="20"/>
          <w:color w:val="auto"/>
        </w:rPr>
      </w:pPr>
      <w:r>
        <w:rPr>
          <w:rFonts w:ascii="Times New Roman" w:cs="Times New Roman" w:eastAsia="Times New Roman" w:hAnsi="Times New Roman"/>
          <w:sz w:val="18"/>
          <w:szCs w:val="18"/>
          <w:color w:val="auto"/>
        </w:rPr>
        <w:t>The purpose of any such purchases of shares could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warrantholders for approval in connection with our initial business combination. Any such purchases of our securities may result in the completion of our initial business combination that may not otherwise have been possible.</w:t>
      </w:r>
    </w:p>
    <w:p>
      <w:pPr>
        <w:spacing w:after="0" w:line="124"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In addition, if such purchases are made, the public “float” of our Class A common stock or public warrants may be reduced and the number of beneficial holders of our securities may be reduced, which may make it difficult to maintain or obtain the quotation, listing or trading of our securities on a national securities exchange.</w:t>
      </w:r>
    </w:p>
    <w:p>
      <w:pPr>
        <w:spacing w:after="0" w:line="322" w:lineRule="exact"/>
        <w:rPr>
          <w:sz w:val="20"/>
          <w:szCs w:val="20"/>
          <w:color w:val="auto"/>
        </w:rPr>
      </w:pPr>
    </w:p>
    <w:p>
      <w:pPr>
        <w:ind w:left="1260" w:right="679" w:firstLine="360"/>
        <w:spacing w:after="0" w:line="236" w:lineRule="auto"/>
        <w:rPr>
          <w:sz w:val="20"/>
          <w:szCs w:val="20"/>
          <w:color w:val="auto"/>
        </w:rPr>
      </w:pPr>
      <w:r>
        <w:rPr>
          <w:rFonts w:ascii="Times New Roman" w:cs="Times New Roman" w:eastAsia="Times New Roman" w:hAnsi="Times New Roman"/>
          <w:sz w:val="18"/>
          <w:szCs w:val="18"/>
          <w:color w:val="auto"/>
        </w:rPr>
        <w:t>Our sponsor, initial stockholders, officers, directors and/or their affiliates anticipate that they may identify the stockholders with whom our initial stockholders, officers, directors or their affiliates may pursue privately negotiated purchases by either the stockholders contacting us directly or by our receipt of redemption requests submitted by stockholders (in the case of Class A common stock) following our mailing of proxy materials in connection with our initial business combination. To the extent that our sponsor, officers, directors, advisors or their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but only if such shares have not already been voted at the stockholder meeting related to our initial business combination. Our sponsor, executive officers, directors, advisors or any of their affiliates will select which stockholders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affiliates will be restricted from making purchases of shares if the purchases would violate Section 9(a)(2) or</w:t>
      </w:r>
    </w:p>
    <w:p>
      <w:pPr>
        <w:spacing w:after="0" w:line="4" w:lineRule="exact"/>
        <w:rPr>
          <w:sz w:val="20"/>
          <w:szCs w:val="20"/>
          <w:color w:val="auto"/>
        </w:rPr>
      </w:pPr>
    </w:p>
    <w:p>
      <w:pPr>
        <w:ind w:left="1260" w:right="759"/>
        <w:spacing w:after="0" w:line="243" w:lineRule="auto"/>
        <w:rPr>
          <w:sz w:val="20"/>
          <w:szCs w:val="20"/>
          <w:color w:val="auto"/>
        </w:rPr>
      </w:pPr>
      <w:r>
        <w:rPr>
          <w:rFonts w:ascii="Times New Roman" w:cs="Times New Roman" w:eastAsia="Times New Roman" w:hAnsi="Times New Roman"/>
          <w:sz w:val="18"/>
          <w:szCs w:val="18"/>
          <w:color w:val="auto"/>
        </w:rPr>
        <w:t>Rule 10b-5 of the Exchange Act. We expect any such purchases will be reported pursuant to Section 13 and Section 16 of the Exchange Act to the extent such purchases are subject to such reporting requirements.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Rights for Public Stockholders upon Completion of Our Initial Business Combination</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may hold in connection with the completion of our initial business combination.</w:t>
      </w:r>
    </w:p>
    <w:p>
      <w:pPr>
        <w:spacing w:after="0" w:line="3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Redemptions</w:t>
      </w:r>
    </w:p>
    <w:p>
      <w:pPr>
        <w:spacing w:after="0" w:line="162"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spacing w:after="0" w:line="245" w:lineRule="auto"/>
        <w:rPr>
          <w:sz w:val="20"/>
          <w:szCs w:val="20"/>
          <w:color w:val="auto"/>
        </w:rPr>
      </w:pPr>
      <w:r>
        <w:rPr>
          <w:rFonts w:ascii="Times New Roman" w:cs="Times New Roman" w:eastAsia="Times New Roman" w:hAnsi="Times New Roman"/>
          <w:sz w:val="18"/>
          <w:szCs w:val="18"/>
          <w:color w:val="auto"/>
        </w:rPr>
        <w:t>any amount required to satisfy cash conditions pursuant to the terms of the proposed business combination exceed the aggregate amount of cash available to us, we will not complete the business combination or redeem any shares in connection with such initial business combination, and all shares of Class A common stock submitted for redemption will be returned to the holders thereof.</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Manner of Conducting Redemptions</w:t>
      </w:r>
    </w:p>
    <w:p>
      <w:pPr>
        <w:spacing w:after="0" w:line="148"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without a stockholder vote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26"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may be amended if approved by holders of 65% of our common stock entitled to vote thereon.</w:t>
      </w:r>
    </w:p>
    <w:p>
      <w:pPr>
        <w:spacing w:after="0" w:line="117"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If we provide our public stockholders with the opportunity to redeem their public shares in connection with a stockholder meeting, we will:</w:t>
      </w:r>
    </w:p>
    <w:p>
      <w:pPr>
        <w:spacing w:after="0" w:line="41" w:lineRule="exact"/>
        <w:rPr>
          <w:sz w:val="20"/>
          <w:szCs w:val="20"/>
          <w:color w:val="auto"/>
        </w:rPr>
      </w:pPr>
    </w:p>
    <w:p>
      <w:pPr>
        <w:jc w:val="both"/>
        <w:ind w:left="1800" w:right="799" w:hanging="178"/>
        <w:spacing w:after="0" w:line="275"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281"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proxy materials with the SEC.</w:t>
      </w:r>
    </w:p>
    <w:p>
      <w:pPr>
        <w:spacing w:after="0" w:line="15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 votes will have no effect on the approval of our initial business combination once a quorum is obtained. As a result, in addition to our initial stockholders’ founder shares and private placement shares, we would need only 3,562,501, or 35.6%, of the 10,000,000 public shares sold in this offering to be voted in favor of an initial business combination (assuming all outstanding shares are voted) in order to have our initial business combination approved (assuming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275"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If a stockholder vote is not required and we do not decide to hold a stockholder vote for business or other legal reasons, we will:</w:t>
      </w:r>
    </w:p>
    <w:p>
      <w:pPr>
        <w:spacing w:after="0" w:line="54" w:lineRule="exact"/>
        <w:rPr>
          <w:sz w:val="20"/>
          <w:szCs w:val="20"/>
          <w:color w:val="auto"/>
        </w:rPr>
      </w:pPr>
    </w:p>
    <w:p>
      <w:pPr>
        <w:ind w:left="1800" w:right="1039" w:hanging="178"/>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redemptions pursuant to Rule 13e-4 and Regulation 14E of the Exchange Act, which regulate issuer tender offers, and</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4" w:name="page95"/>
    <w:bookmarkEnd w:id="9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800" w:right="719" w:hanging="178"/>
        <w:spacing w:after="0" w:line="261"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99"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337"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Upon the public announcement of our initial business combination, if we elect to conduct redemptions pursuant to the tender offer rules, we or our sponsor will terminate any plan established in accordance with Rule 10b5-1 to purchase shares of our Class A common stock in the open market, in order to comply with Rule 14e-5 under the Exchange Act.</w:t>
      </w:r>
    </w:p>
    <w:p>
      <w:pPr>
        <w:spacing w:after="0" w:line="112"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33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w:t>
      </w:r>
    </w:p>
    <w:p>
      <w:pPr>
        <w:spacing w:after="0" w:line="190" w:lineRule="exact"/>
        <w:rPr>
          <w:sz w:val="20"/>
          <w:szCs w:val="20"/>
          <w:color w:val="auto"/>
        </w:rPr>
      </w:pPr>
    </w:p>
    <w:p>
      <w:pPr>
        <w:ind w:left="1260" w:right="1099"/>
        <w:spacing w:after="0" w:line="286" w:lineRule="auto"/>
        <w:rPr>
          <w:sz w:val="20"/>
          <w:szCs w:val="20"/>
          <w:color w:val="auto"/>
        </w:rPr>
      </w:pPr>
      <w:r>
        <w:rPr>
          <w:rFonts w:ascii="Times New Roman" w:cs="Times New Roman" w:eastAsia="Times New Roman" w:hAnsi="Times New Roman"/>
          <w:sz w:val="18"/>
          <w:szCs w:val="18"/>
          <w:b w:val="1"/>
          <w:bCs w:val="1"/>
          <w:color w:val="auto"/>
        </w:rPr>
        <w:t>Limitation on Redemption Upon Completion of Our Initial Business Combination If We Seek Stockholder Approval</w:t>
      </w:r>
    </w:p>
    <w:p>
      <w:pPr>
        <w:spacing w:after="0" w:line="91"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We believe this restriction will discourage stockholders from</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3" w:lineRule="auto"/>
        <w:rPr>
          <w:sz w:val="20"/>
          <w:szCs w:val="20"/>
          <w:color w:val="auto"/>
        </w:rPr>
      </w:pPr>
      <w:r>
        <w:rPr>
          <w:rFonts w:ascii="Times New Roman" w:cs="Times New Roman" w:eastAsia="Times New Roman" w:hAnsi="Times New Roman"/>
          <w:sz w:val="18"/>
          <w:szCs w:val="18"/>
          <w:color w:val="auto"/>
        </w:rPr>
        <w:t>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if such holder’s shares are not purchased by us, our sponsor or our management at a premium to the then-current market price or on other undesirable terms. By limiting our stockholders’ ability to redeem no more than 20% of the shares sold in this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11"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However, we would not be restricting our stockholders’ ability to vote all of their shares (including Excess Shares) for or against our initial business combination.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Delivering Stock Certificates in Connection with the Exercise of Redemption Rights</w:t>
      </w:r>
    </w:p>
    <w:p>
      <w:pPr>
        <w:spacing w:after="0" w:line="162"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As described above,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stockholder fails to comply with these or any other procedures disclosed in the proxy or tender offer materials, as applicable, its shares may not be redeemed. Given the relatively short exercise period, it is advisable for stockholders to use electronic delivery of their public shares.</w:t>
      </w:r>
    </w:p>
    <w:p>
      <w:pPr>
        <w:spacing w:after="0" w:line="340"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322"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21"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6" w:name="page97"/>
    <w:bookmarkEnd w:id="9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059" w:firstLine="360"/>
        <w:spacing w:after="0" w:line="250" w:lineRule="auto"/>
        <w:rPr>
          <w:sz w:val="20"/>
          <w:szCs w:val="20"/>
          <w:color w:val="auto"/>
        </w:rPr>
      </w:pPr>
      <w:r>
        <w:rPr>
          <w:rFonts w:ascii="Times New Roman" w:cs="Times New Roman" w:eastAsia="Times New Roman" w:hAnsi="Times New Roman"/>
          <w:sz w:val="18"/>
          <w:szCs w:val="18"/>
          <w:color w:val="auto"/>
        </w:rPr>
        <w:t>If our initial proposed initial business combination is not completed, we may continue to try to complete an initial business combination with a different target until 24 months from the closing of this offering.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of Public Shares and Liquidation if No Initial Business Combination</w:t>
      </w:r>
    </w:p>
    <w:p>
      <w:pPr>
        <w:spacing w:after="0" w:line="148"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we will have only 24 months from the closing of this offering to complete our initial business combination. If we do not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22" w:lineRule="exact"/>
        <w:rPr>
          <w:sz w:val="20"/>
          <w:szCs w:val="20"/>
          <w:color w:val="auto"/>
        </w:rPr>
      </w:pPr>
    </w:p>
    <w:p>
      <w:pPr>
        <w:ind w:left="1260" w:right="959" w:firstLine="360"/>
        <w:spacing w:after="0" w:line="242" w:lineRule="auto"/>
        <w:rPr>
          <w:sz w:val="20"/>
          <w:szCs w:val="20"/>
          <w:color w:val="auto"/>
        </w:rPr>
      </w:pPr>
      <w:r>
        <w:rPr>
          <w:rFonts w:ascii="Times New Roman" w:cs="Times New Roman" w:eastAsia="Times New Roman" w:hAnsi="Times New Roman"/>
          <w:sz w:val="18"/>
          <w:szCs w:val="18"/>
          <w:color w:val="auto"/>
        </w:rPr>
        <w:t>Our initial stockholders, sponsor, officers and directors have entered into a letter agreement with us, pursuant to which they have waived their rights to liquidating distributions from the trust account with respect to any founder shares they hold if we fail to complete our initial business combination within</w:t>
      </w:r>
    </w:p>
    <w:p>
      <w:pPr>
        <w:spacing w:after="0" w:line="1" w:lineRule="exact"/>
        <w:rPr>
          <w:sz w:val="20"/>
          <w:szCs w:val="20"/>
          <w:color w:val="auto"/>
        </w:rPr>
      </w:pPr>
    </w:p>
    <w:p>
      <w:pPr>
        <w:ind w:left="1260" w:right="739"/>
        <w:spacing w:after="0" w:line="238" w:lineRule="auto"/>
        <w:rPr>
          <w:sz w:val="20"/>
          <w:szCs w:val="20"/>
          <w:color w:val="auto"/>
        </w:rPr>
      </w:pPr>
      <w:r>
        <w:rPr>
          <w:rFonts w:ascii="Times New Roman" w:cs="Times New Roman" w:eastAsia="Times New Roman" w:hAnsi="Times New Roman"/>
          <w:sz w:val="18"/>
          <w:szCs w:val="18"/>
          <w:color w:val="auto"/>
        </w:rPr>
        <w:t>24 months from the closing of this offering. However, if our initial stockholders,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17"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Our initial stockholders, sponsor, officers and directors have agreed, pursuant to a letter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(net of permitted withdrawals),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284"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17"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If we were to expend all of the net proceeds of this offering and the sale of the private placement units, other than the proceeds deposited in the trust account, and without taking into account interest, if any, earned on the trust account and any tax payments or expenses for the dissolution of the trust,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7" w:name="page98"/>
    <w:bookmarkEnd w:id="9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58" w:lineRule="auto"/>
        <w:rPr>
          <w:sz w:val="20"/>
          <w:szCs w:val="20"/>
          <w:color w:val="auto"/>
        </w:rPr>
      </w:pPr>
      <w:r>
        <w:rPr>
          <w:rFonts w:ascii="Times New Roman" w:cs="Times New Roman" w:eastAsia="Times New Roman" w:hAnsi="Times New Roman"/>
          <w:sz w:val="18"/>
          <w:szCs w:val="18"/>
          <w:color w:val="auto"/>
        </w:rPr>
        <w:t>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02" w:lineRule="exact"/>
        <w:rPr>
          <w:sz w:val="20"/>
          <w:szCs w:val="20"/>
          <w:color w:val="auto"/>
        </w:rPr>
      </w:pPr>
    </w:p>
    <w:p>
      <w:pPr>
        <w:ind w:left="1260" w:right="699" w:firstLine="360"/>
        <w:spacing w:after="0" w:line="251" w:lineRule="auto"/>
        <w:rPr>
          <w:sz w:val="20"/>
          <w:szCs w:val="20"/>
          <w:color w:val="auto"/>
        </w:rPr>
      </w:pPr>
      <w:r>
        <w:rPr>
          <w:rFonts w:ascii="Times New Roman" w:cs="Times New Roman" w:eastAsia="Times New Roman" w:hAnsi="Times New Roman"/>
          <w:sz w:val="18"/>
          <w:szCs w:val="18"/>
          <w:color w:val="auto"/>
        </w:rPr>
        <w:t>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this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00" w:lineRule="exact"/>
        <w:rPr>
          <w:sz w:val="20"/>
          <w:szCs w:val="20"/>
          <w:color w:val="auto"/>
        </w:rPr>
      </w:pPr>
    </w:p>
    <w:p>
      <w:pPr>
        <w:spacing w:after="0" w:line="364"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98" w:name="page99"/>
    <w:bookmarkEnd w:id="9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275"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Under the DGCL, stockholders may be held liable for claims by third parties against a corporation to the extent of distributions received by them in a dissolution. The pro rata portion of the funds in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2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Furthermore, if the pro rata portion of the funds in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do not complete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24th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257"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w:t>
      </w: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279"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297"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Our public stockholders will be entitled to receive funds from the trust account only (i) in the event of the redemption of our public shares if we do not complete our initial business combination within 24 months from the closing of this offering, (ii)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or (iii) if they redeem their respective shares for cash upon the completion of our initial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 These provisions of our amended and restated certificate of incorporation, like all provisions of our amended and restated certificate of incorporation, may be amended with a stockholder vote.</w:t>
      </w:r>
    </w:p>
    <w:p>
      <w:pPr>
        <w:spacing w:after="0" w:line="130"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Comparison of Redemption or Purchase Prices in Connection with Our Initial Business Combination and if We Fail to Complete Our Initial Business Combination.</w:t>
      </w:r>
    </w:p>
    <w:p>
      <w:pPr>
        <w:spacing w:after="0" w:line="81"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compares the redemptions and other permitted purchases of public shares that may take place in connection with the completion of our initial business combination and if we do not complete our initial business combination within 24 months from the closing of this offering.</w:t>
      </w:r>
    </w:p>
    <w:p>
      <w:pPr>
        <w:sectPr>
          <w:pgSz w:w="11900" w:h="16838" w:orient="portrait"/>
          <w:cols w:equalWidth="0" w:num="1">
            <w:col w:w="10139"/>
          </w:cols>
          <w:pgMar w:left="320" w:top="114" w:right="1440" w:bottom="1440" w:gutter="0" w:footer="0" w:header="0"/>
        </w:sectPr>
      </w:pP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Redemptions in Connection</w:t>
            </w:r>
          </w:p>
        </w:tc>
      </w:tr>
      <w:tr>
        <w:trPr>
          <w:trHeight w:val="162"/>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 our Initial Business</w:t>
            </w:r>
          </w:p>
        </w:tc>
      </w:tr>
      <w:tr>
        <w:trPr>
          <w:trHeight w:val="190"/>
        </w:trPr>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Combination</w:t>
            </w:r>
          </w:p>
        </w:tc>
      </w:tr>
      <w:tr>
        <w:trPr>
          <w:trHeight w:val="24"/>
        </w:trPr>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Calculation of</w:t>
            </w:r>
          </w:p>
        </w:tc>
        <w:tc>
          <w:tcPr>
            <w:tcW w:w="2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Redemptions at the time</w:t>
            </w:r>
          </w:p>
        </w:tc>
      </w:tr>
      <w:tr>
        <w:trPr>
          <w:trHeight w:val="216"/>
        </w:trPr>
        <w:tc>
          <w:tcPr>
            <w:tcW w:w="1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price</w:t>
            </w:r>
          </w:p>
        </w:tc>
        <w:tc>
          <w:tcPr>
            <w:tcW w:w="2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 our initial business</w:t>
            </w:r>
          </w:p>
        </w:tc>
      </w:tr>
      <w:tr>
        <w:trPr>
          <w:trHeight w:val="216"/>
        </w:trPr>
        <w:tc>
          <w:tcPr>
            <w:tcW w:w="1800" w:type="dxa"/>
            <w:vAlign w:val="bottom"/>
          </w:tcPr>
          <w:p>
            <w:pPr>
              <w:spacing w:after="0"/>
              <w:rPr>
                <w:sz w:val="18"/>
                <w:szCs w:val="18"/>
                <w:color w:val="auto"/>
              </w:rPr>
            </w:pPr>
          </w:p>
        </w:tc>
        <w:tc>
          <w:tcPr>
            <w:tcW w:w="2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combination may be</w:t>
            </w:r>
          </w:p>
        </w:tc>
      </w:tr>
      <w:tr>
        <w:trPr>
          <w:trHeight w:val="234"/>
        </w:trPr>
        <w:tc>
          <w:tcPr>
            <w:tcW w:w="1800" w:type="dxa"/>
            <w:vAlign w:val="bottom"/>
          </w:tcPr>
          <w:p>
            <w:pPr>
              <w:spacing w:after="0"/>
              <w:rPr>
                <w:sz w:val="20"/>
                <w:szCs w:val="20"/>
                <w:color w:val="auto"/>
              </w:rPr>
            </w:pPr>
          </w:p>
        </w:tc>
        <w:tc>
          <w:tcPr>
            <w:tcW w:w="22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made pursuant to a</w:t>
            </w: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Redemptions if we fail to</w:t>
            </w:r>
          </w:p>
        </w:tc>
      </w:tr>
      <w:tr>
        <w:trPr>
          <w:trHeight w:val="162"/>
        </w:trPr>
        <w:tc>
          <w:tcPr>
            <w:tcW w:w="1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 Permitted Purchases of</w:t>
            </w: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Complete an Initial Business</w:t>
            </w:r>
          </w:p>
        </w:tc>
      </w:tr>
      <w:tr>
        <w:trPr>
          <w:trHeight w:val="190"/>
        </w:trPr>
        <w:tc>
          <w:tcPr>
            <w:tcW w:w="1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Public Shares by our Affiliates</w:t>
            </w:r>
          </w:p>
        </w:tc>
        <w:tc>
          <w:tcPr>
            <w:tcW w:w="2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Combination</w:t>
            </w:r>
          </w:p>
        </w:tc>
      </w:tr>
      <w:tr>
        <w:trPr>
          <w:trHeight w:val="24"/>
        </w:trPr>
        <w:tc>
          <w:tcPr>
            <w:tcW w:w="1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If we seek stockholder</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If we do not complete</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approval of our initial</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our initial business</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combination within</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our initial stockholders,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 months from the</w:t>
            </w:r>
          </w:p>
        </w:tc>
      </w:tr>
    </w:tbl>
    <w:p>
      <w:pPr>
        <w:spacing w:after="0" w:line="200" w:lineRule="exact"/>
        <w:rPr>
          <w:sz w:val="20"/>
          <w:szCs w:val="20"/>
          <w:color w:val="auto"/>
        </w:rPr>
      </w:pPr>
    </w:p>
    <w:p>
      <w:pPr>
        <w:sectPr>
          <w:pgSz w:w="11900" w:h="16838" w:orient="portrait"/>
          <w:cols w:equalWidth="0" w:num="2">
            <w:col w:w="5260" w:space="220"/>
            <w:col w:w="4659"/>
          </w:cols>
          <w:pgMar w:left="320" w:top="114" w:right="1440" w:bottom="1440" w:gutter="0" w:footer="0" w:header="0"/>
          <w:type w:val="continuous"/>
        </w:sectPr>
      </w:pPr>
    </w:p>
    <w:p>
      <w:pPr>
        <w:spacing w:after="0" w:line="2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Redemptions in Connection</w:t>
      </w:r>
    </w:p>
    <w:p>
      <w:pPr>
        <w:spacing w:after="0" w:line="1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with our Initial Business</w:t>
      </w:r>
    </w:p>
    <w:p>
      <w:pPr>
        <w:spacing w:after="0" w:line="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22225</wp:posOffset>
            </wp:positionV>
            <wp:extent cx="12001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tender offer or in</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connection with a</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stockholder vote. The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redemption price will be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the same whether we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conduct redemptions</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pursuant to a tender</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offer or in connection</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with a stockholder vote.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In either case, our public</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stockholders may</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redeem their public</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shares for cash equal to</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the aggregate amount</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then on deposit in the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trust account calculated</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as of two business days</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prior to the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consummation of the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initial business</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combination (which is</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initially anticipated to</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be $10.00 per share),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including interest earned</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on the funds held in the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trust account (net of</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permitted withdrawals),</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divided by the number</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of then outstanding</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public shares, subject to</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the limitation that no</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redemptions will take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place if all of the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redemptions would</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cause our net tangible</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assets to be less than</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$5,000,001.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40"/>
        <w:spacing w:after="0" w:line="319" w:lineRule="auto"/>
        <w:rPr>
          <w:sz w:val="20"/>
          <w:szCs w:val="20"/>
          <w:color w:val="auto"/>
        </w:rPr>
      </w:pPr>
      <w:r>
        <w:rPr>
          <w:rFonts w:ascii="Times New Roman" w:cs="Times New Roman" w:eastAsia="Times New Roman" w:hAnsi="Times New Roman"/>
          <w:sz w:val="13"/>
          <w:szCs w:val="13"/>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1200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51" w:lineRule="auto"/>
        <w:rPr>
          <w:sz w:val="20"/>
          <w:szCs w:val="20"/>
          <w:color w:val="auto"/>
        </w:rPr>
      </w:pPr>
      <w:r>
        <w:rPr>
          <w:rFonts w:ascii="Times New Roman" w:cs="Times New Roman" w:eastAsia="Times New Roman" w:hAnsi="Times New Roman"/>
          <w:sz w:val="18"/>
          <w:szCs w:val="18"/>
          <w:color w:val="auto"/>
        </w:rPr>
        <w:t>directors, officers, advisors or their affiliates may purchase shares in privately negotiated transactions or in the open market either prior to or following completion of our initial business combination. There is no limit to the prices that our initial stockholders, directors, officers, advisors or their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80" w:right="719"/>
        <w:spacing w:after="0" w:line="263" w:lineRule="auto"/>
        <w:rPr>
          <w:sz w:val="20"/>
          <w:szCs w:val="20"/>
          <w:color w:val="auto"/>
        </w:rPr>
      </w:pPr>
      <w:r>
        <w:rPr>
          <w:rFonts w:ascii="Times New Roman" w:cs="Times New Roman" w:eastAsia="Times New Roman" w:hAnsi="Times New Roman"/>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12001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1" w:lineRule="exact"/>
        <w:rPr>
          <w:sz w:val="20"/>
          <w:szCs w:val="20"/>
          <w:color w:val="auto"/>
        </w:rPr>
      </w:pPr>
    </w:p>
    <w:p>
      <w:pPr>
        <w:ind w:right="699"/>
        <w:spacing w:after="0" w:line="252" w:lineRule="auto"/>
        <w:rPr>
          <w:sz w:val="20"/>
          <w:szCs w:val="20"/>
          <w:color w:val="auto"/>
        </w:rPr>
      </w:pPr>
      <w:r>
        <w:rPr>
          <w:rFonts w:ascii="Times New Roman" w:cs="Times New Roman" w:eastAsia="Times New Roman" w:hAnsi="Times New Roman"/>
          <w:sz w:val="18"/>
          <w:szCs w:val="18"/>
          <w:color w:val="auto"/>
        </w:rPr>
        <w:t>closing of this offering, we will redeem all public shares at a per-share price, payable in cash, equal to the aggregate amount, then on deposit in the trust account (which is initially anticipated to be $10.00 per share), including interest earned on the funds held in the trust account (net of permitted withdrawals and up to $100,000 of interest to pay dissolution expenses), divided by the number of then outstanding public shares.</w:t>
      </w:r>
    </w:p>
    <w:p>
      <w:pPr>
        <w:spacing w:after="0" w:line="5161" w:lineRule="exact"/>
        <w:rPr>
          <w:sz w:val="20"/>
          <w:szCs w:val="20"/>
          <w:color w:val="auto"/>
        </w:rPr>
      </w:pPr>
    </w:p>
    <w:p>
      <w:pPr>
        <w:sectPr>
          <w:pgSz w:w="11900" w:h="16838" w:orient="portrait"/>
          <w:cols w:equalWidth="0" w:num="3">
            <w:col w:w="5240" w:space="240"/>
            <w:col w:w="1880" w:space="220"/>
            <w:col w:w="255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spacing w:after="0"/>
        <w:tabs>
          <w:tab w:leader="none" w:pos="3340" w:val="left"/>
          <w:tab w:leader="none" w:pos="5460" w:val="left"/>
        </w:tabs>
        <w:rPr>
          <w:sz w:val="20"/>
          <w:szCs w:val="20"/>
          <w:color w:val="auto"/>
        </w:rPr>
      </w:pPr>
      <w:r>
        <w:rPr>
          <w:rFonts w:ascii="Times New Roman" w:cs="Times New Roman" w:eastAsia="Times New Roman" w:hAnsi="Times New Roman"/>
          <w:sz w:val="18"/>
          <w:szCs w:val="18"/>
          <w:color w:val="auto"/>
        </w:rPr>
        <w:t>Impact to remaining</w:t>
      </w:r>
      <w:r>
        <w:rPr>
          <w:sz w:val="20"/>
          <w:szCs w:val="20"/>
          <w:color w:val="auto"/>
        </w:rPr>
        <w:tab/>
      </w:r>
      <w:r>
        <w:rPr>
          <w:rFonts w:ascii="Times New Roman" w:cs="Times New Roman" w:eastAsia="Times New Roman" w:hAnsi="Times New Roman"/>
          <w:sz w:val="18"/>
          <w:szCs w:val="18"/>
          <w:color w:val="auto"/>
        </w:rPr>
        <w:t>The redemptions in</w:t>
      </w:r>
      <w:r>
        <w:rPr>
          <w:sz w:val="20"/>
          <w:szCs w:val="20"/>
          <w:color w:val="auto"/>
        </w:rPr>
        <w:tab/>
      </w:r>
      <w:r>
        <w:rPr>
          <w:rFonts w:ascii="Times New Roman" w:cs="Times New Roman" w:eastAsia="Times New Roman" w:hAnsi="Times New Roman"/>
          <w:sz w:val="18"/>
          <w:szCs w:val="18"/>
          <w:color w:val="auto"/>
        </w:rPr>
        <w:t>If the permitted</w:t>
      </w:r>
    </w:p>
    <w:p>
      <w:pPr>
        <w:spacing w:after="0" w:line="27" w:lineRule="exact"/>
        <w:rPr>
          <w:sz w:val="20"/>
          <w:szCs w:val="20"/>
          <w:color w:val="auto"/>
        </w:rPr>
      </w:pPr>
    </w:p>
    <w:p>
      <w:pPr>
        <w:ind w:left="1480"/>
        <w:spacing w:after="0"/>
        <w:tabs>
          <w:tab w:leader="none" w:pos="3340" w:val="left"/>
          <w:tab w:leader="none" w:pos="5460" w:val="left"/>
        </w:tabs>
        <w:rPr>
          <w:sz w:val="20"/>
          <w:szCs w:val="20"/>
          <w:color w:val="auto"/>
        </w:rPr>
      </w:pPr>
      <w:r>
        <w:rPr>
          <w:rFonts w:ascii="Times New Roman" w:cs="Times New Roman" w:eastAsia="Times New Roman" w:hAnsi="Times New Roman"/>
          <w:sz w:val="18"/>
          <w:szCs w:val="18"/>
          <w:color w:val="auto"/>
        </w:rPr>
        <w:t>stockholders</w:t>
      </w:r>
      <w:r>
        <w:rPr>
          <w:sz w:val="20"/>
          <w:szCs w:val="20"/>
          <w:color w:val="auto"/>
        </w:rPr>
        <w:tab/>
      </w:r>
      <w:r>
        <w:rPr>
          <w:rFonts w:ascii="Times New Roman" w:cs="Times New Roman" w:eastAsia="Times New Roman" w:hAnsi="Times New Roman"/>
          <w:sz w:val="18"/>
          <w:szCs w:val="18"/>
          <w:color w:val="auto"/>
        </w:rPr>
        <w:t>connection with our</w:t>
      </w:r>
      <w:r>
        <w:rPr>
          <w:sz w:val="20"/>
          <w:szCs w:val="20"/>
          <w:color w:val="auto"/>
        </w:rPr>
        <w:tab/>
      </w:r>
      <w:r>
        <w:rPr>
          <w:rFonts w:ascii="Times New Roman" w:cs="Times New Roman" w:eastAsia="Times New Roman" w:hAnsi="Times New Roman"/>
          <w:sz w:val="18"/>
          <w:szCs w:val="18"/>
          <w:color w:val="auto"/>
        </w:rPr>
        <w:t>purchases described</w:t>
      </w:r>
    </w:p>
    <w:p>
      <w:pPr>
        <w:spacing w:after="0" w:line="9" w:lineRule="exact"/>
        <w:rPr>
          <w:sz w:val="20"/>
          <w:szCs w:val="20"/>
          <w:color w:val="auto"/>
        </w:rPr>
      </w:pPr>
    </w:p>
    <w:p>
      <w:pPr>
        <w:ind w:left="3360"/>
        <w:spacing w:after="0"/>
        <w:tabs>
          <w:tab w:leader="none" w:pos="5460" w:val="left"/>
        </w:tabs>
        <w:rPr>
          <w:sz w:val="20"/>
          <w:szCs w:val="20"/>
          <w:color w:val="auto"/>
        </w:rPr>
      </w:pPr>
      <w:r>
        <w:rPr>
          <w:rFonts w:ascii="Times New Roman" w:cs="Times New Roman" w:eastAsia="Times New Roman" w:hAnsi="Times New Roman"/>
          <w:sz w:val="18"/>
          <w:szCs w:val="18"/>
          <w:color w:val="auto"/>
        </w:rPr>
        <w:t>initial business</w:t>
      </w:r>
      <w:r>
        <w:rPr>
          <w:sz w:val="20"/>
          <w:szCs w:val="20"/>
          <w:color w:val="auto"/>
        </w:rPr>
        <w:tab/>
      </w:r>
      <w:r>
        <w:rPr>
          <w:rFonts w:ascii="Times New Roman" w:cs="Times New Roman" w:eastAsia="Times New Roman" w:hAnsi="Times New Roman"/>
          <w:sz w:val="18"/>
          <w:szCs w:val="18"/>
          <w:color w:val="auto"/>
        </w:rPr>
        <w:t>above are made, there</w:t>
      </w:r>
    </w:p>
    <w:p>
      <w:pPr>
        <w:spacing w:after="0" w:line="9" w:lineRule="exact"/>
        <w:rPr>
          <w:sz w:val="20"/>
          <w:szCs w:val="20"/>
          <w:color w:val="auto"/>
        </w:rPr>
      </w:pPr>
    </w:p>
    <w:p>
      <w:pPr>
        <w:jc w:val="right"/>
        <w:spacing w:after="0"/>
        <w:tabs>
          <w:tab w:leader="none" w:pos="1660" w:val="left"/>
        </w:tabs>
        <w:rPr>
          <w:sz w:val="20"/>
          <w:szCs w:val="20"/>
          <w:color w:val="auto"/>
        </w:rPr>
      </w:pPr>
      <w:r>
        <w:rPr>
          <w:rFonts w:ascii="Times New Roman" w:cs="Times New Roman" w:eastAsia="Times New Roman" w:hAnsi="Times New Roman"/>
          <w:sz w:val="18"/>
          <w:szCs w:val="18"/>
          <w:color w:val="auto"/>
        </w:rPr>
        <w:t>combination will reduce</w:t>
      </w:r>
      <w:r>
        <w:rPr>
          <w:sz w:val="20"/>
          <w:szCs w:val="20"/>
          <w:color w:val="auto"/>
        </w:rPr>
        <w:tab/>
      </w:r>
      <w:r>
        <w:rPr>
          <w:rFonts w:ascii="Times New Roman" w:cs="Times New Roman" w:eastAsia="Times New Roman" w:hAnsi="Times New Roman"/>
          <w:sz w:val="18"/>
          <w:szCs w:val="18"/>
          <w:color w:val="auto"/>
        </w:rPr>
        <w:t>would be no impact to</w:t>
      </w: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839"/>
        <w:spacing w:after="0" w:line="261" w:lineRule="auto"/>
        <w:rPr>
          <w:sz w:val="20"/>
          <w:szCs w:val="20"/>
          <w:color w:val="auto"/>
        </w:rPr>
      </w:pPr>
      <w:r>
        <w:rPr>
          <w:rFonts w:ascii="Times New Roman" w:cs="Times New Roman" w:eastAsia="Times New Roman" w:hAnsi="Times New Roman"/>
          <w:sz w:val="18"/>
          <w:szCs w:val="18"/>
          <w:color w:val="auto"/>
        </w:rPr>
        <w:t>The redemption of our public shares if we fail to complete our initial business combination</w:t>
      </w:r>
    </w:p>
    <w:p>
      <w:pPr>
        <w:sectPr>
          <w:pgSz w:w="11900" w:h="16838" w:orient="portrait"/>
          <w:cols w:equalWidth="0" w:num="2">
            <w:col w:w="7160" w:space="420"/>
            <w:col w:w="2559"/>
          </w:cols>
          <w:pgMar w:left="320" w:top="114"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360" w:type="dxa"/>
        <w:tblCellMar>
          <w:top w:w="0" w:type="dxa"/>
          <w:left w:w="0" w:type="dxa"/>
          <w:bottom w:w="0" w:type="dxa"/>
          <w:right w:w="0" w:type="dxa"/>
        </w:tblCellMar>
      </w:tblPr>
      <w:tr>
        <w:trPr>
          <w:trHeight w:val="162"/>
        </w:trPr>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Redemptions in Connection</w:t>
            </w: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Redemptions if we fail to</w:t>
            </w:r>
          </w:p>
        </w:tc>
      </w:tr>
      <w:tr>
        <w:trPr>
          <w:trHeight w:val="162"/>
        </w:trPr>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with our Initial Business</w:t>
            </w:r>
          </w:p>
        </w:tc>
        <w:tc>
          <w:tcPr>
            <w:tcW w:w="220" w:type="dxa"/>
            <w:vAlign w:val="bottom"/>
          </w:tcPr>
          <w:p>
            <w:pPr>
              <w:spacing w:after="0"/>
              <w:rPr>
                <w:sz w:val="14"/>
                <w:szCs w:val="14"/>
                <w:color w:val="auto"/>
              </w:rPr>
            </w:pPr>
          </w:p>
        </w:tc>
        <w:tc>
          <w:tcPr>
            <w:tcW w:w="1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 Permitted Purchases of</w:t>
            </w: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Complete an Initial Business</w:t>
            </w:r>
          </w:p>
        </w:tc>
      </w:tr>
      <w:tr>
        <w:trPr>
          <w:trHeight w:val="190"/>
        </w:trPr>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Combination</w:t>
            </w:r>
          </w:p>
        </w:tc>
        <w:tc>
          <w:tcPr>
            <w:tcW w:w="22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Public Shares by our Affiliates</w:t>
            </w:r>
          </w:p>
        </w:tc>
        <w:tc>
          <w:tcPr>
            <w:tcW w:w="2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Combination</w:t>
            </w:r>
          </w:p>
        </w:tc>
      </w:tr>
      <w:tr>
        <w:trPr>
          <w:trHeight w:val="23"/>
        </w:trPr>
        <w:tc>
          <w:tcPr>
            <w:tcW w:w="1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8"/>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the book value per share</w:t>
            </w: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our remaining</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will reduce the book</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for our remaining</w:t>
            </w: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stockholders because the</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 per share for the</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who will</w:t>
            </w: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 price would</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 held by our initial</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bear the burden of the</w:t>
            </w: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 be paid by us.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stockholders, who will</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deferred underwriting</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 our only remaining</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stockholders after such</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interest withdrawn in</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redemptions.</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order to pay our taxes</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(to the extent not paid</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from amounts accrued as</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the funds</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held in the trust</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account).</w:t>
            </w: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Comparison of This Offering to Those of Blank Check Companies Subject to Rule 419</w:t>
      </w:r>
    </w:p>
    <w:p>
      <w:pPr>
        <w:spacing w:after="0" w:line="148" w:lineRule="exact"/>
        <w:rPr>
          <w:sz w:val="20"/>
          <w:szCs w:val="20"/>
          <w:color w:val="auto"/>
        </w:rPr>
      </w:pPr>
    </w:p>
    <w:p>
      <w:pPr>
        <w:ind w:left="1260" w:right="999" w:firstLine="360"/>
        <w:spacing w:after="0" w:line="242" w:lineRule="auto"/>
        <w:rPr>
          <w:sz w:val="20"/>
          <w:szCs w:val="20"/>
          <w:color w:val="auto"/>
        </w:rPr>
      </w:pPr>
      <w:r>
        <w:rPr>
          <w:rFonts w:ascii="Times New Roman" w:cs="Times New Roman" w:eastAsia="Times New Roman" w:hAnsi="Times New Roman"/>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10139"/>
          </w:cols>
          <w:pgMar w:left="320" w:top="114" w:right="1440" w:bottom="1440" w:gutter="0" w:footer="0" w:header="0"/>
        </w:sectPr>
      </w:pP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23"/>
        </w:trPr>
        <w:tc>
          <w:tcPr>
            <w:tcW w:w="2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1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Escrow of offering proceeds</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$100,000,000 of the net proceeds</w:t>
            </w:r>
          </w:p>
        </w:tc>
      </w:tr>
      <w:tr>
        <w:trPr>
          <w:trHeight w:val="216"/>
        </w:trPr>
        <w:tc>
          <w:tcPr>
            <w:tcW w:w="2480" w:type="dxa"/>
            <w:vAlign w:val="bottom"/>
          </w:tcPr>
          <w:p>
            <w:pPr>
              <w:spacing w:after="0"/>
              <w:rPr>
                <w:sz w:val="18"/>
                <w:szCs w:val="18"/>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of this offering and the sale of the</w:t>
            </w:r>
          </w:p>
        </w:tc>
      </w:tr>
      <w:tr>
        <w:trPr>
          <w:trHeight w:val="216"/>
        </w:trPr>
        <w:tc>
          <w:tcPr>
            <w:tcW w:w="2480" w:type="dxa"/>
            <w:vAlign w:val="bottom"/>
          </w:tcPr>
          <w:p>
            <w:pPr>
              <w:spacing w:after="0"/>
              <w:rPr>
                <w:sz w:val="18"/>
                <w:szCs w:val="18"/>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private placement units will be</w:t>
            </w:r>
          </w:p>
        </w:tc>
      </w:tr>
      <w:tr>
        <w:trPr>
          <w:trHeight w:val="216"/>
        </w:trPr>
        <w:tc>
          <w:tcPr>
            <w:tcW w:w="2480" w:type="dxa"/>
            <w:vAlign w:val="bottom"/>
          </w:tcPr>
          <w:p>
            <w:pPr>
              <w:spacing w:after="0"/>
              <w:rPr>
                <w:sz w:val="18"/>
                <w:szCs w:val="18"/>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deposited into a trust account</w:t>
            </w:r>
          </w:p>
        </w:tc>
      </w:tr>
      <w:tr>
        <w:trPr>
          <w:trHeight w:val="216"/>
        </w:trPr>
        <w:tc>
          <w:tcPr>
            <w:tcW w:w="2480" w:type="dxa"/>
            <w:vAlign w:val="bottom"/>
          </w:tcPr>
          <w:p>
            <w:pPr>
              <w:spacing w:after="0"/>
              <w:rPr>
                <w:sz w:val="18"/>
                <w:szCs w:val="18"/>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located in the United States with</w:t>
            </w:r>
          </w:p>
        </w:tc>
      </w:tr>
      <w:tr>
        <w:trPr>
          <w:trHeight w:val="216"/>
        </w:trPr>
        <w:tc>
          <w:tcPr>
            <w:tcW w:w="2480" w:type="dxa"/>
            <w:vAlign w:val="bottom"/>
          </w:tcPr>
          <w:p>
            <w:pPr>
              <w:spacing w:after="0"/>
              <w:rPr>
                <w:sz w:val="18"/>
                <w:szCs w:val="18"/>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Continental Stock Transfer &amp;</w:t>
            </w:r>
          </w:p>
        </w:tc>
      </w:tr>
      <w:tr>
        <w:trPr>
          <w:trHeight w:val="234"/>
        </w:trPr>
        <w:tc>
          <w:tcPr>
            <w:tcW w:w="2480" w:type="dxa"/>
            <w:vAlign w:val="bottom"/>
          </w:tcPr>
          <w:p>
            <w:pPr>
              <w:spacing w:after="0"/>
              <w:rPr>
                <w:sz w:val="20"/>
                <w:szCs w:val="20"/>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Trust Company acting as trustee.</w:t>
            </w: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6459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5" w:lineRule="exact"/>
        <w:rPr>
          <w:sz w:val="20"/>
          <w:szCs w:val="20"/>
          <w:color w:val="auto"/>
        </w:rPr>
      </w:pPr>
    </w:p>
    <w:p>
      <w:pPr>
        <w:ind w:right="679"/>
        <w:spacing w:after="0" w:line="253" w:lineRule="auto"/>
        <w:rPr>
          <w:sz w:val="20"/>
          <w:szCs w:val="20"/>
          <w:color w:val="auto"/>
        </w:rPr>
      </w:pPr>
      <w:r>
        <w:rPr>
          <w:rFonts w:ascii="Times New Roman" w:cs="Times New Roman" w:eastAsia="Times New Roman" w:hAnsi="Times New Roman"/>
          <w:sz w:val="18"/>
          <w:szCs w:val="18"/>
          <w:color w:val="auto"/>
        </w:rPr>
        <w:t>Approximately $85,050,000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0" w:lineRule="exact"/>
        <w:rPr>
          <w:sz w:val="20"/>
          <w:szCs w:val="20"/>
          <w:color w:val="auto"/>
        </w:rPr>
      </w:pPr>
    </w:p>
    <w:p>
      <w:pPr>
        <w:sectPr>
          <w:pgSz w:w="11900" w:h="16838" w:orient="portrait"/>
          <w:cols w:equalWidth="0" w:num="2">
            <w:col w:w="6660" w:space="220"/>
            <w:col w:w="3259"/>
          </w:cols>
          <w:pgMar w:left="320" w:top="114" w:right="1440" w:bottom="1440" w:gutter="0" w:footer="0" w:header="0"/>
          <w:type w:val="continuous"/>
        </w:sectPr>
      </w:pP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hanging="215"/>
        <w:spacing w:after="0" w:line="282" w:lineRule="auto"/>
        <w:rPr>
          <w:sz w:val="20"/>
          <w:szCs w:val="20"/>
          <w:color w:val="auto"/>
        </w:rPr>
      </w:pPr>
      <w:r>
        <w:rPr>
          <w:rFonts w:ascii="Times New Roman" w:cs="Times New Roman" w:eastAsia="Times New Roman" w:hAnsi="Times New Roman"/>
          <w:sz w:val="18"/>
          <w:szCs w:val="18"/>
          <w:color w:val="auto"/>
        </w:rPr>
        <w:t>Receipt of interest on escrowed funds</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$100,000,000 of the net proceeds of this offering and the sale of the private placement units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on proceeds from the trust account to be paid to stockholders is reduced by (i) any taxes paid or payable,</w:t>
      </w:r>
    </w:p>
    <w:p>
      <w:pPr>
        <w:spacing w:after="0" w:line="20" w:lineRule="exact"/>
        <w:rPr>
          <w:sz w:val="20"/>
          <w:szCs w:val="20"/>
          <w:color w:val="auto"/>
        </w:rPr>
      </w:pPr>
      <w:r>
        <w:rPr>
          <w:sz w:val="20"/>
          <w:szCs w:val="20"/>
          <w:color w:val="auto"/>
        </w:rPr>
        <w:br w:type="column"/>
      </w:r>
    </w:p>
    <w:p>
      <w:pPr>
        <w:ind w:right="719"/>
        <w:spacing w:after="0" w:line="254" w:lineRule="auto"/>
        <w:rPr>
          <w:sz w:val="20"/>
          <w:szCs w:val="20"/>
          <w:color w:val="auto"/>
        </w:rPr>
      </w:pPr>
      <w:r>
        <w:rPr>
          <w:rFonts w:ascii="Times New Roman" w:cs="Times New Roman" w:eastAsia="Times New Roman" w:hAnsi="Times New Roman"/>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79"/>
        <w:spacing w:after="0" w:line="261" w:lineRule="auto"/>
        <w:rPr>
          <w:sz w:val="20"/>
          <w:szCs w:val="20"/>
          <w:color w:val="auto"/>
        </w:rPr>
      </w:pPr>
      <w:r>
        <w:rPr>
          <w:rFonts w:ascii="Times New Roman" w:cs="Times New Roman" w:eastAsia="Times New Roman" w:hAnsi="Times New Roman"/>
          <w:sz w:val="18"/>
          <w:szCs w:val="18"/>
          <w:color w:val="auto"/>
        </w:rPr>
        <w:t>Interest on funds in escrow account would be held for the sole benefit of investors, unless and only after the funds held in</w:t>
      </w:r>
    </w:p>
    <w:p>
      <w:pPr>
        <w:spacing w:after="0" w:line="200" w:lineRule="exact"/>
        <w:rPr>
          <w:sz w:val="20"/>
          <w:szCs w:val="20"/>
          <w:color w:val="auto"/>
        </w:rPr>
      </w:pPr>
    </w:p>
    <w:p>
      <w:pPr>
        <w:sectPr>
          <w:pgSz w:w="11900" w:h="16838" w:orient="portrait"/>
          <w:cols w:equalWidth="0" w:num="3">
            <w:col w:w="3640" w:space="420"/>
            <w:col w:w="2560" w:space="260"/>
            <w:col w:w="3259"/>
          </w:cols>
          <w:pgMar w:left="320" w:top="114" w:right="1440" w:bottom="1440" w:gutter="0" w:footer="0" w:header="0"/>
          <w:type w:val="continuous"/>
        </w:sectPr>
      </w:pPr>
    </w:p>
    <w:p>
      <w:pPr>
        <w:spacing w:after="0" w:line="1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80" w:hanging="215"/>
        <w:spacing w:after="0" w:line="282" w:lineRule="auto"/>
        <w:rPr>
          <w:sz w:val="20"/>
          <w:szCs w:val="20"/>
          <w:color w:val="auto"/>
        </w:rPr>
      </w:pPr>
      <w:r>
        <w:rPr>
          <w:rFonts w:ascii="Times New Roman" w:cs="Times New Roman" w:eastAsia="Times New Roman" w:hAnsi="Times New Roman"/>
          <w:sz w:val="18"/>
          <w:szCs w:val="18"/>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Trading of securities issued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16459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5" w:lineRule="exact"/>
        <w:rPr>
          <w:sz w:val="20"/>
          <w:szCs w:val="20"/>
          <w:color w:val="auto"/>
        </w:rPr>
      </w:pPr>
    </w:p>
    <w:p>
      <w:pPr>
        <w:ind w:left="300" w:hanging="290"/>
        <w:spacing w:after="0"/>
        <w:tabs>
          <w:tab w:leader="none" w:pos="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withdrawals and</w:t>
      </w:r>
    </w:p>
    <w:p>
      <w:pPr>
        <w:spacing w:after="0" w:line="27" w:lineRule="exact"/>
        <w:rPr>
          <w:rFonts w:ascii="Times New Roman" w:cs="Times New Roman" w:eastAsia="Times New Roman" w:hAnsi="Times New Roman"/>
          <w:sz w:val="18"/>
          <w:szCs w:val="18"/>
          <w:color w:val="auto"/>
        </w:rPr>
      </w:pPr>
    </w:p>
    <w:p>
      <w:pPr>
        <w:ind w:firstLine="10"/>
        <w:spacing w:after="0" w:line="252" w:lineRule="auto"/>
        <w:tabs>
          <w:tab w:leader="none" w:pos="3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 Nasdaq rules require that we must complete one or more business combinations having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200" w:lineRule="exact"/>
        <w:rPr>
          <w:rFonts w:ascii="Times New Roman" w:cs="Times New Roman" w:eastAsia="Times New Roman" w:hAnsi="Times New Roman"/>
          <w:sz w:val="18"/>
          <w:szCs w:val="18"/>
          <w:color w:val="auto"/>
        </w:rPr>
      </w:pPr>
    </w:p>
    <w:p>
      <w:pPr>
        <w:spacing w:after="0" w:line="242" w:lineRule="exact"/>
        <w:rPr>
          <w:rFonts w:ascii="Times New Roman" w:cs="Times New Roman" w:eastAsia="Times New Roman" w:hAnsi="Times New Roman"/>
          <w:sz w:val="18"/>
          <w:szCs w:val="18"/>
          <w:color w:val="auto"/>
        </w:rPr>
      </w:pPr>
    </w:p>
    <w:p>
      <w:pPr>
        <w:ind w:right="2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are expected to begin trading on or promptly after the date of this prospectus. The Class A common stock and warrants comprising the units will begin separate trading on the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day following the date of this prospectus unless Cantor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which closing is anticipated to take place three business days from the date</w:t>
      </w:r>
    </w:p>
    <w:p>
      <w:pPr>
        <w:spacing w:after="0" w:line="14"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commence trading.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6459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5" w:lineRule="exact"/>
        <w:rPr>
          <w:sz w:val="20"/>
          <w:szCs w:val="20"/>
          <w:color w:val="auto"/>
        </w:rPr>
      </w:pPr>
    </w:p>
    <w:p>
      <w:pPr>
        <w:ind w:right="859"/>
        <w:spacing w:after="0" w:line="266" w:lineRule="auto"/>
        <w:rPr>
          <w:sz w:val="20"/>
          <w:szCs w:val="20"/>
          <w:color w:val="auto"/>
        </w:rPr>
      </w:pPr>
      <w:r>
        <w:rPr>
          <w:rFonts w:ascii="Times New Roman" w:cs="Times New Roman" w:eastAsia="Times New Roman" w:hAnsi="Times New Roman"/>
          <w:sz w:val="18"/>
          <w:szCs w:val="18"/>
          <w:color w:val="auto"/>
        </w:rPr>
        <w:t>escrow were released to us in connection with our completion of a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19"/>
        <w:spacing w:after="0" w:line="261" w:lineRule="auto"/>
        <w:rPr>
          <w:sz w:val="20"/>
          <w:szCs w:val="20"/>
          <w:color w:val="auto"/>
        </w:rPr>
      </w:pPr>
      <w:r>
        <w:rPr>
          <w:rFonts w:ascii="Times New Roman" w:cs="Times New Roman" w:eastAsia="Times New Roman" w:hAnsi="Times New Roman"/>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679"/>
        <w:spacing w:after="0" w:line="255" w:lineRule="auto"/>
        <w:rPr>
          <w:sz w:val="20"/>
          <w:szCs w:val="20"/>
          <w:color w:val="auto"/>
        </w:rPr>
      </w:pPr>
      <w:r>
        <w:rPr>
          <w:rFonts w:ascii="Times New Roman" w:cs="Times New Roman" w:eastAsia="Times New Roman" w:hAnsi="Times New Roman"/>
          <w:sz w:val="18"/>
          <w:szCs w:val="18"/>
          <w:color w:val="auto"/>
        </w:rPr>
        <w:t>No trading of the units or the underlying Class A common stock and warrants would be permitted until the completion of a business combination. During this period, the securities would be held in the escrow or trust account.</w:t>
      </w:r>
    </w:p>
    <w:p>
      <w:pPr>
        <w:spacing w:after="0" w:line="4960" w:lineRule="exact"/>
        <w:rPr>
          <w:sz w:val="20"/>
          <w:szCs w:val="20"/>
          <w:color w:val="auto"/>
        </w:rPr>
      </w:pPr>
    </w:p>
    <w:p>
      <w:pPr>
        <w:sectPr>
          <w:pgSz w:w="11900" w:h="16838" w:orient="portrait"/>
          <w:cols w:equalWidth="0" w:num="3">
            <w:col w:w="3540" w:space="520"/>
            <w:col w:w="2600" w:space="220"/>
            <w:col w:w="3259"/>
          </w:cols>
          <w:pgMar w:left="320" w:top="114" w:right="1440" w:bottom="1440" w:gutter="0" w:footer="0" w:header="0"/>
        </w:sectPr>
      </w:pPr>
    </w:p>
    <w:p>
      <w:pPr>
        <w:spacing w:after="0" w:line="1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3" w:name="page104"/>
    <w:bookmarkEnd w:id="10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23"/>
        </w:trPr>
        <w:tc>
          <w:tcPr>
            <w:tcW w:w="2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1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the warrants</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warrants cannot be exercised</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until the later of 30 days after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completion of our initial business</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combination and 12 months from</w:t>
            </w:r>
          </w:p>
        </w:tc>
      </w:tr>
      <w:tr>
        <w:trPr>
          <w:trHeight w:val="234"/>
        </w:trPr>
        <w:tc>
          <w:tcPr>
            <w:tcW w:w="2540" w:type="dxa"/>
            <w:vAlign w:val="bottom"/>
          </w:tcPr>
          <w:p>
            <w:pPr>
              <w:spacing w:after="0"/>
              <w:rPr>
                <w:sz w:val="20"/>
                <w:szCs w:val="20"/>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closing of this offering.</w:t>
            </w:r>
          </w:p>
        </w:tc>
      </w:tr>
      <w:tr>
        <w:trPr>
          <w:trHeight w:val="657"/>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Election to remain an investor</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We will provide our public</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stockholders with the opportunity</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 redeem their public shares for</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at a per share price equal to</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aggregate amount then on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deposit in the trust account</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calculated as of two business days</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prior to the consummation of our</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initial business combination,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including interest earned on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funds held in the trust account</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(net of permitted withdrawals),</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divided by the number of then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outstanding public shares, upon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completion of our initial</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business combination, subject to</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limitations described herein.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We may not be required by law to</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hold a stockholder vote. If we are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not required by law and do not</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otherwise decide to hold a</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stockholder vote, we will,</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pursuant to our amended and</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restated certificate of</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incorporation, conduct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redemptions pursuant to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tender offer rules of the SEC and</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file tender offer documents with</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SEC which will contain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substantially the same financial</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and other information about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initial business combination and</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redemption rights as is</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required under the SEC’s proxy</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rules. If, however, we hold a</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stockholder vote, we will, like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many blank check companies,</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offer to redeem shares in</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conjunction with a proxy</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solicitation pursuant to the proxy</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rules and not pursuant to the</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tender offer rules. If we seek</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stockholder approval, we will</w:t>
            </w: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complete our initial business</w:t>
            </w:r>
          </w:p>
        </w:tc>
      </w:tr>
      <w:tr>
        <w:trPr>
          <w:trHeight w:val="234"/>
        </w:trPr>
        <w:tc>
          <w:tcPr>
            <w:tcW w:w="2540" w:type="dxa"/>
            <w:vAlign w:val="bottom"/>
          </w:tcPr>
          <w:p>
            <w:pPr>
              <w:spacing w:after="0"/>
              <w:rPr>
                <w:sz w:val="20"/>
                <w:szCs w:val="20"/>
                <w:color w:val="auto"/>
              </w:rPr>
            </w:pP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combination only if a majority of</w:t>
            </w:r>
          </w:p>
        </w:tc>
      </w:tr>
      <w:tr>
        <w:trPr>
          <w:trHeight w:val="608"/>
        </w:trPr>
        <w:tc>
          <w:tcPr>
            <w:tcW w:w="2540" w:type="dxa"/>
            <w:vAlign w:val="bottom"/>
          </w:tcPr>
          <w:p>
            <w:pPr>
              <w:spacing w:after="0"/>
              <w:rPr>
                <w:sz w:val="24"/>
                <w:szCs w:val="24"/>
                <w:color w:val="auto"/>
              </w:rPr>
            </w:pPr>
          </w:p>
        </w:tc>
        <w:tc>
          <w:tcPr>
            <w:tcW w:w="286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68065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6459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5" w:lineRule="exact"/>
        <w:rPr>
          <w:sz w:val="20"/>
          <w:szCs w:val="20"/>
          <w:color w:val="auto"/>
        </w:rPr>
      </w:pPr>
    </w:p>
    <w:p>
      <w:pPr>
        <w:ind w:right="739"/>
        <w:spacing w:after="0" w:line="254" w:lineRule="auto"/>
        <w:rPr>
          <w:sz w:val="20"/>
          <w:szCs w:val="20"/>
          <w:color w:val="auto"/>
        </w:rPr>
      </w:pPr>
      <w:r>
        <w:rPr>
          <w:rFonts w:ascii="Times New Roman" w:cs="Times New Roman" w:eastAsia="Times New Roman" w:hAnsi="Times New Roman"/>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6" w:lineRule="exact"/>
        <w:rPr>
          <w:sz w:val="20"/>
          <w:szCs w:val="20"/>
          <w:color w:val="auto"/>
        </w:rPr>
      </w:pPr>
    </w:p>
    <w:p>
      <w:pPr>
        <w:ind w:right="719"/>
        <w:spacing w:after="0" w:line="252" w:lineRule="auto"/>
        <w:rPr>
          <w:sz w:val="20"/>
          <w:szCs w:val="20"/>
          <w:color w:val="auto"/>
        </w:rPr>
      </w:pPr>
      <w:r>
        <w:rPr>
          <w:rFonts w:ascii="Times New Roman" w:cs="Times New Roman" w:eastAsia="Times New Roman" w:hAnsi="Times New Roman"/>
          <w:sz w:val="18"/>
          <w:szCs w:val="18"/>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w:t>
      </w:r>
    </w:p>
    <w:p>
      <w:pPr>
        <w:spacing w:after="0" w:line="6" w:lineRule="exact"/>
        <w:rPr>
          <w:sz w:val="20"/>
          <w:szCs w:val="20"/>
          <w:color w:val="auto"/>
        </w:rPr>
      </w:pPr>
    </w:p>
    <w:p>
      <w:pPr>
        <w:ind w:right="679"/>
        <w:spacing w:after="0" w:line="245" w:lineRule="auto"/>
        <w:rPr>
          <w:sz w:val="20"/>
          <w:szCs w:val="20"/>
          <w:color w:val="auto"/>
        </w:rPr>
      </w:pPr>
      <w:r>
        <w:rPr>
          <w:rFonts w:ascii="Times New Roman" w:cs="Times New Roman" w:eastAsia="Times New Roman" w:hAnsi="Times New Roman"/>
          <w:sz w:val="18"/>
          <w:szCs w:val="18"/>
          <w:color w:val="auto"/>
        </w:rPr>
        <w:t>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ectPr>
          <w:pgSz w:w="11900" w:h="16838" w:orient="portrait"/>
          <w:cols w:equalWidth="0" w:num="2">
            <w:col w:w="6660" w:space="220"/>
            <w:col w:w="3259"/>
          </w:cols>
          <w:pgMar w:left="320" w:top="114"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Terms of Our Offering</w:t>
            </w:r>
          </w:p>
        </w:tc>
      </w:tr>
      <w:tr>
        <w:trPr>
          <w:trHeight w:val="23"/>
        </w:trPr>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shares of common stock voted</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are voted in favor of the business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combination. Additionally, each</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public stockholder may elect to</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redeem their public shares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irrespective of whether they vote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 or against the proposed</w:t>
            </w:r>
          </w:p>
        </w:tc>
      </w:tr>
      <w:tr>
        <w:trPr>
          <w:trHeight w:val="234"/>
        </w:trPr>
        <w:tc>
          <w:tcPr>
            <w:tcW w:w="2580" w:type="dxa"/>
            <w:vAlign w:val="bottom"/>
          </w:tcPr>
          <w:p>
            <w:pPr>
              <w:spacing w:after="0"/>
              <w:rPr>
                <w:sz w:val="20"/>
                <w:szCs w:val="20"/>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transaction.</w:t>
            </w:r>
          </w:p>
        </w:tc>
      </w:t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deadline</w:t>
            </w: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If we do not complete an initial</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business combination within</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24 months from the closing of</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this offering, we will (i) cease all</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operations except for the purpose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winding up, (ii) as promptly as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reasonably possible but not more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than ten business days thereafter,</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redeem 100% of the public</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 at a per-share price,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payable in cash, equal to the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aggregate amount then on deposit</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 the trust account, including</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earned on the funds held</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 the trust account (net of</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permitted withdrawals and up to</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$100,000 of interest to pay</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dissolution expenses), divided by</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number of then outstanding</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public shares, which redemption</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will completely extinguish public</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stockholders’ rights as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stockholders (including the right</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 receive further liquidating</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distributions, if any), and (iii) as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promptly as reasonably possible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following such redemption,</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subject to the approval of our</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remaining stockholders and our</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board of directors, liquidate and</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dissolve, subject in each case to</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our obligations under Delaware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law to provide for claims of</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creditors and in all cases subject</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 the requirements of other</w:t>
            </w:r>
          </w:p>
        </w:tc>
      </w:tr>
      <w:tr>
        <w:trPr>
          <w:trHeight w:val="234"/>
        </w:trPr>
        <w:tc>
          <w:tcPr>
            <w:tcW w:w="2580" w:type="dxa"/>
            <w:vAlign w:val="bottom"/>
          </w:tcPr>
          <w:p>
            <w:pPr>
              <w:spacing w:after="0"/>
              <w:rPr>
                <w:sz w:val="20"/>
                <w:szCs w:val="20"/>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applicable law.</w:t>
            </w:r>
          </w:p>
        </w:tc>
      </w:t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Release of funds</w:t>
            </w: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Except for permitted withdrawals,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none of the funds held in trust</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will be released from the trust</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 until the earliest of (i) the</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completion of our initial business</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combination, (ii) the redemption</w:t>
            </w:r>
          </w:p>
        </w:tc>
      </w:tr>
      <w:tr>
        <w:trPr>
          <w:trHeight w:val="216"/>
        </w:trPr>
        <w:tc>
          <w:tcPr>
            <w:tcW w:w="2580" w:type="dxa"/>
            <w:vAlign w:val="bottom"/>
          </w:tcPr>
          <w:p>
            <w:pPr>
              <w:spacing w:after="0"/>
              <w:rPr>
                <w:sz w:val="18"/>
                <w:szCs w:val="18"/>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our public shares if we do not</w:t>
            </w:r>
          </w:p>
        </w:tc>
      </w:tr>
      <w:tr>
        <w:trPr>
          <w:trHeight w:val="234"/>
        </w:trPr>
        <w:tc>
          <w:tcPr>
            <w:tcW w:w="2580" w:type="dxa"/>
            <w:vAlign w:val="bottom"/>
          </w:tcPr>
          <w:p>
            <w:pPr>
              <w:spacing w:after="0"/>
              <w:rPr>
                <w:sz w:val="20"/>
                <w:szCs w:val="20"/>
                <w:color w:val="auto"/>
              </w:rPr>
            </w:pPr>
          </w:p>
        </w:tc>
        <w:tc>
          <w:tcPr>
            <w:tcW w:w="2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complete our initial</w:t>
            </w:r>
          </w:p>
        </w:tc>
      </w:tr>
      <w:tr>
        <w:trPr>
          <w:trHeight w:val="607"/>
        </w:trPr>
        <w:tc>
          <w:tcPr>
            <w:tcW w:w="2580" w:type="dxa"/>
            <w:vAlign w:val="bottom"/>
          </w:tcPr>
          <w:p>
            <w:pPr>
              <w:spacing w:after="0"/>
              <w:rPr>
                <w:sz w:val="24"/>
                <w:szCs w:val="24"/>
                <w:color w:val="auto"/>
              </w:rPr>
            </w:pPr>
          </w:p>
        </w:tc>
        <w:tc>
          <w:tcPr>
            <w:tcW w:w="28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68065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6459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719"/>
        <w:spacing w:after="0" w:line="256" w:lineRule="auto"/>
        <w:rPr>
          <w:sz w:val="20"/>
          <w:szCs w:val="20"/>
          <w:color w:val="auto"/>
        </w:rPr>
      </w:pPr>
      <w:r>
        <w:rPr>
          <w:rFonts w:ascii="Times New Roman" w:cs="Times New Roman" w:eastAsia="Times New Roman" w:hAnsi="Times New Roman"/>
          <w:sz w:val="18"/>
          <w:szCs w:val="18"/>
          <w:color w:val="auto"/>
        </w:rPr>
        <w:t>If an acquisition has not been completed within 18 months after the effective date of the company’s registration statement, funds held in the trust or escrow account are returned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779"/>
        <w:spacing w:after="0" w:line="255" w:lineRule="auto"/>
        <w:rPr>
          <w:sz w:val="20"/>
          <w:szCs w:val="20"/>
          <w:color w:val="auto"/>
        </w:rPr>
      </w:pPr>
      <w:r>
        <w:rPr>
          <w:rFonts w:ascii="Times New Roman" w:cs="Times New Roman" w:eastAsia="Times New Roman" w:hAnsi="Times New Roman"/>
          <w:sz w:val="18"/>
          <w:szCs w:val="18"/>
          <w:color w:val="auto"/>
        </w:rPr>
        <w:t>The proceeds held in the escrow account are not released until the earlier of the completion of a business combination or the failure to effect a business combination within the allotted time.</w:t>
      </w:r>
    </w:p>
    <w:p>
      <w:pPr>
        <w:sectPr>
          <w:pgSz w:w="11900" w:h="16838" w:orient="portrait"/>
          <w:cols w:equalWidth="0" w:num="2">
            <w:col w:w="6660" w:space="220"/>
            <w:col w:w="3259"/>
          </w:cols>
          <w:pgMar w:left="320" w:top="114"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80" w:hanging="215"/>
        <w:spacing w:after="0" w:line="266" w:lineRule="auto"/>
        <w:rPr>
          <w:sz w:val="20"/>
          <w:szCs w:val="20"/>
          <w:color w:val="auto"/>
        </w:rPr>
      </w:pPr>
      <w:r>
        <w:rPr>
          <w:rFonts w:ascii="Times New Roman" w:cs="Times New Roman" w:eastAsia="Times New Roman" w:hAnsi="Times New Roman"/>
          <w:sz w:val="18"/>
          <w:szCs w:val="18"/>
          <w:color w:val="auto"/>
        </w:rPr>
        <w:t>Delivering stock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16459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5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6459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739"/>
        <w:spacing w:after="0" w:line="253" w:lineRule="auto"/>
        <w:rPr>
          <w:sz w:val="20"/>
          <w:szCs w:val="20"/>
          <w:color w:val="auto"/>
        </w:rPr>
      </w:pPr>
      <w:r>
        <w:rPr>
          <w:rFonts w:ascii="Times New Roman" w:cs="Times New Roman" w:eastAsia="Times New Roman" w:hAnsi="Times New Roman"/>
          <w:sz w:val="18"/>
          <w:szCs w:val="18"/>
          <w:color w:val="auto"/>
        </w:rPr>
        <w:t>Many blank check companies provide that a stockholder can vote against a proposed business combination and check a box on the proxy card indicating that such stockholder is seeking to exercise its redemption rights. After the business combination is approved, the company would contact such stockholder to arrange for delivery of its share certificates to verify ownership.</w:t>
      </w:r>
    </w:p>
    <w:p>
      <w:pPr>
        <w:spacing w:after="0" w:line="4058" w:lineRule="exact"/>
        <w:rPr>
          <w:sz w:val="20"/>
          <w:szCs w:val="20"/>
          <w:color w:val="auto"/>
        </w:rPr>
      </w:pPr>
    </w:p>
    <w:p>
      <w:pPr>
        <w:sectPr>
          <w:pgSz w:w="11900" w:h="16838" w:orient="portrait"/>
          <w:cols w:equalWidth="0" w:num="3">
            <w:col w:w="3840" w:space="220"/>
            <w:col w:w="2600" w:space="220"/>
            <w:col w:w="325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6" w:name="page107"/>
    <w:bookmarkEnd w:id="10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80" w:hanging="215"/>
        <w:spacing w:after="0" w:line="258" w:lineRule="auto"/>
        <w:rPr>
          <w:sz w:val="20"/>
          <w:szCs w:val="20"/>
          <w:color w:val="auto"/>
        </w:rPr>
      </w:pPr>
      <w:r>
        <w:rPr>
          <w:rFonts w:ascii="Times New Roman" w:cs="Times New Roman" w:eastAsia="Times New Roman" w:hAnsi="Times New Roman"/>
          <w:sz w:val="18"/>
          <w:szCs w:val="18"/>
          <w:color w:val="auto"/>
        </w:rPr>
        <w:t>Limitation on redemption rights of stockholders holding more than 20%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16459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5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w:t>
      </w:r>
    </w:p>
    <w:p>
      <w:pPr>
        <w:spacing w:after="0" w:line="23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However, we would not restrict our stockholders’ ability to vote all of their shares (including Excess Shares) for or against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16459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79"/>
        <w:spacing w:after="0" w:line="255" w:lineRule="auto"/>
        <w:rPr>
          <w:sz w:val="20"/>
          <w:szCs w:val="20"/>
          <w:color w:val="auto"/>
        </w:rPr>
      </w:pPr>
      <w:r>
        <w:rPr>
          <w:rFonts w:ascii="Times New Roman" w:cs="Times New Roman" w:eastAsia="Times New Roman" w:hAnsi="Times New Roman"/>
          <w:sz w:val="18"/>
          <w:szCs w:val="18"/>
          <w:color w:val="auto"/>
        </w:rPr>
        <w:t>Many blank check companies provide no restrictions on the ability of stockholders to redeem shares based on the number of shares held by such stockholders in connection with an initial business combination.</w:t>
      </w:r>
    </w:p>
    <w:p>
      <w:pPr>
        <w:spacing w:after="0" w:line="4373" w:lineRule="exact"/>
        <w:rPr>
          <w:sz w:val="20"/>
          <w:szCs w:val="20"/>
          <w:color w:val="auto"/>
        </w:rPr>
      </w:pPr>
    </w:p>
    <w:p>
      <w:pPr>
        <w:sectPr>
          <w:pgSz w:w="11900" w:h="16838" w:orient="portrait"/>
          <w:cols w:equalWidth="0" w:num="3">
            <w:col w:w="3760" w:space="300"/>
            <w:col w:w="2560" w:space="260"/>
            <w:col w:w="3259"/>
          </w:cols>
          <w:pgMar w:left="320" w:top="114" w:right="1440" w:bottom="1440" w:gutter="0" w:footer="0" w:header="0"/>
        </w:sect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exercise their redemption rights may</w:t>
      </w:r>
    </w:p>
    <w:p>
      <w:pPr>
        <w:sectPr>
          <w:pgSz w:w="11900" w:h="16838" w:orient="portrait"/>
          <w:cols w:equalWidth="0" w:num="1">
            <w:col w:w="10139"/>
          </w:cols>
          <w:pgMar w:left="320" w:top="114" w:right="1440"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7" w:name="page108"/>
    <w:bookmarkEnd w:id="10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45" w:lineRule="auto"/>
        <w:rPr>
          <w:sz w:val="20"/>
          <w:szCs w:val="20"/>
          <w:color w:val="auto"/>
        </w:rPr>
      </w:pPr>
      <w:r>
        <w:rPr>
          <w:rFonts w:ascii="Times New Roman" w:cs="Times New Roman" w:eastAsia="Times New Roman" w:hAnsi="Times New Roman"/>
          <w:sz w:val="18"/>
          <w:szCs w:val="18"/>
          <w:color w:val="auto"/>
        </w:rPr>
        <w:t>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7" w:lineRule="exact"/>
        <w:rPr>
          <w:sz w:val="20"/>
          <w:szCs w:val="20"/>
          <w:color w:val="auto"/>
        </w:rPr>
      </w:pPr>
    </w:p>
    <w:p>
      <w:pPr>
        <w:ind w:left="1260" w:right="1039" w:firstLine="360"/>
        <w:spacing w:after="0" w:line="223" w:lineRule="auto"/>
        <w:rPr>
          <w:sz w:val="20"/>
          <w:szCs w:val="20"/>
          <w:color w:val="auto"/>
        </w:rPr>
      </w:pPr>
      <w:r>
        <w:rPr>
          <w:rFonts w:ascii="Times New Roman" w:cs="Times New Roman" w:eastAsia="Times New Roman" w:hAnsi="Times New Roman"/>
          <w:sz w:val="18"/>
          <w:szCs w:val="18"/>
          <w:color w:val="auto"/>
        </w:rPr>
        <w:t>We currently sub-lease our executive offices at 452 Fifth Avenue,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10018 from our sponsor and our phone number is 646-793-3510.</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left="1260" w:right="899" w:firstLine="360"/>
        <w:spacing w:after="0"/>
        <w:rPr>
          <w:sz w:val="20"/>
          <w:szCs w:val="20"/>
          <w:color w:val="auto"/>
        </w:rPr>
      </w:pPr>
      <w:r>
        <w:rPr>
          <w:rFonts w:ascii="Times New Roman" w:cs="Times New Roman" w:eastAsia="Times New Roman" w:hAnsi="Times New Roman"/>
          <w:sz w:val="18"/>
          <w:szCs w:val="18"/>
          <w:color w:val="auto"/>
        </w:rPr>
        <w:t>We currently have two executive officers: Kevin Rakin and Matt Zuga.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Periodic Reporting and Financial Information</w:t>
      </w:r>
    </w:p>
    <w:p>
      <w:pPr>
        <w:spacing w:after="0" w:line="162" w:lineRule="exact"/>
        <w:rPr>
          <w:sz w:val="20"/>
          <w:szCs w:val="20"/>
          <w:color w:val="auto"/>
        </w:rPr>
      </w:pPr>
    </w:p>
    <w:p>
      <w:pPr>
        <w:ind w:left="1260" w:right="879" w:firstLine="360"/>
        <w:spacing w:after="0" w:line="245" w:lineRule="auto"/>
        <w:rPr>
          <w:sz w:val="20"/>
          <w:szCs w:val="20"/>
          <w:color w:val="auto"/>
        </w:rPr>
      </w:pPr>
      <w:r>
        <w:rPr>
          <w:rFonts w:ascii="Times New Roman" w:cs="Times New Roman" w:eastAsia="Times New Roman" w:hAnsi="Times New Roman"/>
          <w:sz w:val="18"/>
          <w:szCs w:val="18"/>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00"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will provide stockholders with audited financial statements of the prospective target business as part of the proxy solicitation materials or tender offer documents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288"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21"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Prior to the date of this prospectus, we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0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w:t>
      </w:r>
    </w:p>
    <w:p>
      <w:pPr>
        <w:sectPr>
          <w:pgSz w:w="11900" w:h="16838" w:orient="portrait"/>
          <w:cols w:equalWidth="0" w:num="1">
            <w:col w:w="10139"/>
          </w:cols>
          <w:pgMar w:left="320" w:top="114"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6" w:lineRule="auto"/>
        <w:rPr>
          <w:sz w:val="20"/>
          <w:szCs w:val="20"/>
          <w:color w:val="auto"/>
        </w:rPr>
      </w:pPr>
      <w:r>
        <w:rPr>
          <w:rFonts w:ascii="Times New Roman" w:cs="Times New Roman" w:eastAsia="Times New Roman" w:hAnsi="Times New Roman"/>
          <w:sz w:val="18"/>
          <w:szCs w:val="18"/>
          <w:color w:val="auto"/>
        </w:rPr>
        <w:t>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06"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ind w:left="1260" w:right="679" w:firstLine="2"/>
        <w:spacing w:after="0" w:line="253" w:lineRule="auto"/>
        <w:tabs>
          <w:tab w:leader="none" w:pos="15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30th, and (2) the date on which we have issued more than $1.0 billion in non-convertible debt securities during the prior three-year period.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members of our management team in their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Officers, Directors and Director Nominees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officers, directors and director nominees are as follows: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spacing w:after="0"/>
              <w:rPr>
                <w:sz w:val="16"/>
                <w:szCs w:val="16"/>
                <w:color w:val="auto"/>
              </w:rPr>
            </w:pPr>
          </w:p>
        </w:tc>
        <w:tc>
          <w:tcPr>
            <w:tcW w:w="496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5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Kevin Rakin</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59</w:t>
            </w: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5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Matt Zuga</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55</w:t>
            </w: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 Chief Operating Officer and Director</w:t>
            </w:r>
          </w:p>
        </w:tc>
      </w:tr>
      <w:tr>
        <w:trPr>
          <w:trHeight w:val="25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David Colpman</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58</w:t>
            </w: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57"/>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Antony Loebel, M.D.</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59</w:t>
            </w: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7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Robert Taub</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73</w:t>
            </w: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Kevin Rakin </w:t>
      </w:r>
      <w:r>
        <w:rPr>
          <w:rFonts w:ascii="Times New Roman" w:cs="Times New Roman" w:eastAsia="Times New Roman" w:hAnsi="Times New Roman"/>
          <w:sz w:val="18"/>
          <w:szCs w:val="18"/>
          <w:color w:val="auto"/>
        </w:rPr>
        <w:t>has been our chief executive officer and a member of our board of directors since</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2020. Since October 2013, Mr. Rakin has been a co-founder and partner of HighCape, and he brings</w:t>
      </w:r>
    </w:p>
    <w:p>
      <w:pPr>
        <w:ind w:left="1260"/>
        <w:spacing w:after="0" w:line="234" w:lineRule="auto"/>
        <w:rPr>
          <w:sz w:val="20"/>
          <w:szCs w:val="20"/>
          <w:color w:val="auto"/>
        </w:rPr>
      </w:pPr>
      <w:r>
        <w:rPr>
          <w:rFonts w:ascii="Times New Roman" w:cs="Times New Roman" w:eastAsia="Times New Roman" w:hAnsi="Times New Roman"/>
          <w:sz w:val="18"/>
          <w:szCs w:val="18"/>
          <w:color w:val="auto"/>
        </w:rPr>
        <w:t>more than 30 years of experience as an executive and investor in the life sciences industry. Most recently, he</w:t>
      </w:r>
    </w:p>
    <w:p>
      <w:pPr>
        <w:ind w:left="1260"/>
        <w:spacing w:after="0" w:line="235" w:lineRule="auto"/>
        <w:rPr>
          <w:sz w:val="20"/>
          <w:szCs w:val="20"/>
          <w:color w:val="auto"/>
        </w:rPr>
      </w:pPr>
      <w:r>
        <w:rPr>
          <w:rFonts w:ascii="Times New Roman" w:cs="Times New Roman" w:eastAsia="Times New Roman" w:hAnsi="Times New Roman"/>
          <w:sz w:val="18"/>
          <w:szCs w:val="18"/>
          <w:color w:val="auto"/>
        </w:rPr>
        <w:t>served as the president of SRM from June 2011 to November 2012. Prior to joining SRM, Mr. Rakin was</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the chairman and chief executive officer of ABH from 2007 until its acquisition by SRM in 2011. Before</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that, he served as an executive-in-residence at Canaan Partners, a venture capital firm. Until its merger with</w:t>
      </w:r>
    </w:p>
    <w:p>
      <w:pPr>
        <w:ind w:left="1260"/>
        <w:spacing w:after="0" w:line="235" w:lineRule="auto"/>
        <w:rPr>
          <w:sz w:val="20"/>
          <w:szCs w:val="20"/>
          <w:color w:val="auto"/>
        </w:rPr>
      </w:pPr>
      <w:r>
        <w:rPr>
          <w:rFonts w:ascii="Times New Roman" w:cs="Times New Roman" w:eastAsia="Times New Roman" w:hAnsi="Times New Roman"/>
          <w:sz w:val="18"/>
          <w:szCs w:val="18"/>
          <w:color w:val="auto"/>
        </w:rPr>
        <w:t>Clinical Data in 2005, Mr. Rakin was the co-founder, president and chief executive officer of Genaissance,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pharmacogenomics company. He is currently on the boards of Aziyo Biologics, Inc. (chairman), Cybrexa,</w:t>
      </w:r>
    </w:p>
    <w:p>
      <w:pPr>
        <w:ind w:left="1260"/>
        <w:spacing w:after="0" w:line="235" w:lineRule="auto"/>
        <w:rPr>
          <w:sz w:val="20"/>
          <w:szCs w:val="20"/>
          <w:color w:val="auto"/>
        </w:rPr>
      </w:pPr>
      <w:r>
        <w:rPr>
          <w:rFonts w:ascii="Times New Roman" w:cs="Times New Roman" w:eastAsia="Times New Roman" w:hAnsi="Times New Roman"/>
          <w:sz w:val="18"/>
          <w:szCs w:val="18"/>
          <w:color w:val="auto"/>
        </w:rPr>
        <w:t>Inc., Oramed Pharmaceuticals, Inc., Convexity Scientific, Inc. (chairman) and Nyxoah. Mr. Rakin received</w:t>
      </w:r>
    </w:p>
    <w:p>
      <w:pPr>
        <w:ind w:left="1260"/>
        <w:spacing w:after="0" w:line="235" w:lineRule="auto"/>
        <w:rPr>
          <w:sz w:val="20"/>
          <w:szCs w:val="20"/>
          <w:color w:val="auto"/>
        </w:rPr>
      </w:pPr>
      <w:r>
        <w:rPr>
          <w:rFonts w:ascii="Times New Roman" w:cs="Times New Roman" w:eastAsia="Times New Roman" w:hAnsi="Times New Roman"/>
          <w:sz w:val="18"/>
          <w:szCs w:val="18"/>
          <w:color w:val="auto"/>
        </w:rPr>
        <w:t>an MBA from Columbia University and a B.Com. (Hons) from the University of Cape Town, South Africa.</w:t>
      </w:r>
    </w:p>
    <w:p>
      <w:pPr>
        <w:ind w:left="1260"/>
        <w:spacing w:after="0" w:line="235" w:lineRule="auto"/>
        <w:rPr>
          <w:sz w:val="20"/>
          <w:szCs w:val="20"/>
          <w:color w:val="auto"/>
        </w:rPr>
      </w:pPr>
      <w:r>
        <w:rPr>
          <w:rFonts w:ascii="Times New Roman" w:cs="Times New Roman" w:eastAsia="Times New Roman" w:hAnsi="Times New Roman"/>
          <w:sz w:val="18"/>
          <w:szCs w:val="18"/>
          <w:color w:val="auto"/>
        </w:rPr>
        <w:t>Mr. Rakin’s qualifications to serve on the board include his extensive experience in the life sciences</w:t>
      </w:r>
    </w:p>
    <w:p>
      <w:pPr>
        <w:ind w:left="1260"/>
        <w:spacing w:after="0"/>
        <w:rPr>
          <w:sz w:val="20"/>
          <w:szCs w:val="20"/>
          <w:color w:val="auto"/>
        </w:rPr>
      </w:pPr>
      <w:r>
        <w:rPr>
          <w:rFonts w:ascii="Times New Roman" w:cs="Times New Roman" w:eastAsia="Times New Roman" w:hAnsi="Times New Roman"/>
          <w:sz w:val="18"/>
          <w:szCs w:val="18"/>
          <w:color w:val="auto"/>
        </w:rPr>
        <w:t>industry, as both an executive and an investor and his network of contacts in the industry.</w:t>
      </w:r>
    </w:p>
    <w:p>
      <w:pPr>
        <w:spacing w:after="0" w:line="120"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 Zuga </w:t>
      </w:r>
      <w:r>
        <w:rPr>
          <w:rFonts w:ascii="Times New Roman" w:cs="Times New Roman" w:eastAsia="Times New Roman" w:hAnsi="Times New Roman"/>
          <w:sz w:val="18"/>
          <w:szCs w:val="18"/>
          <w:color w:val="auto"/>
        </w:rPr>
        <w:t>has been our chief financial officer and chief operating officer since June 2020.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2013, Mr. Zuga has been a co-founder and partner of HighCape, and he brings more than 25 years of life sciences investment and banking experience. From August 2012 to September 2013, Mr. Zuga was a managing director of Syngenta Ventures Pte Ltd, an investment vehicle of Syngenta Corp. He was also the founder and managing member of Red Abbey, an investment company, from January 2004 to August 2012. Prior to Red Abbey, Mr. Zuga was a managing director and the head of life sciences investment banking at Legg Mason from 1999 to 2003. He is currently on the boards of Aziyo Biologics, Inc., AgriMetis, LLC, Alba Therapeutics Corporation, MF Fire, Inc. and Virtue Labs LLC. Mr. Zuga received an MBA from the Kenan-Flagler Business School at the University of North Carolina at Chapel Hill and a B.S. in Business Administration/Finance from Ohio State University. Mr. Zuga’s qualifications to serve on the board include his extensive experience in the life sciences industry, his network of contacts in the industry and his background in investing and investment banking.</w:t>
      </w:r>
    </w:p>
    <w:p>
      <w:pPr>
        <w:spacing w:after="0" w:line="102" w:lineRule="exact"/>
        <w:rPr>
          <w:sz w:val="20"/>
          <w:szCs w:val="20"/>
          <w:color w:val="auto"/>
        </w:rPr>
      </w:pPr>
    </w:p>
    <w:p>
      <w:pPr>
        <w:ind w:left="1260" w:right="83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Colpman </w:t>
      </w:r>
      <w:r>
        <w:rPr>
          <w:rFonts w:ascii="Times New Roman" w:cs="Times New Roman" w:eastAsia="Times New Roman" w:hAnsi="Times New Roman"/>
          <w:sz w:val="18"/>
          <w:szCs w:val="18"/>
          <w:color w:val="auto"/>
        </w:rPr>
        <w:t>will serve on our board of directors following the completion of this offering.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2014 to March 2020, Mr. Colpman was the managing partner of Colpman Consulting Ltd, a business development consultancy. Prior to this, Mr. Colpman was a senior vice president at Shire Plc from 1999 to 2014. Prior to Shire Plc, Mr. Colpman had senior roles in business development at Novo Nordisk A/S, Glaxo Wellcome Plc and Boots Pharmaceuticals Ltd. Mr. Colpman serves as a member on the board of directors of HRA Pharma, SA, Forendo Pharma Ltd and Orexo AB. He is also an advisor to Sunstone Capital and HighCape Capital. Mr. Colpman received a B.Sc. from Portsmouth University in the field of pharmacy. Mr. Colpman’s qualifications to serve on the board include his substantial expertise in business development and his network of contacts in the industry.</w:t>
      </w:r>
    </w:p>
    <w:p>
      <w:pPr>
        <w:spacing w:after="0" w:line="116" w:lineRule="exact"/>
        <w:rPr>
          <w:sz w:val="20"/>
          <w:szCs w:val="20"/>
          <w:color w:val="auto"/>
        </w:rPr>
      </w:pPr>
    </w:p>
    <w:p>
      <w:pPr>
        <w:ind w:left="1260" w:right="699" w:firstLine="3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Antony Loebel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M.D.</w:t>
      </w:r>
      <w:r>
        <w:rPr>
          <w:rFonts w:ascii="Times New Roman" w:cs="Times New Roman" w:eastAsia="Times New Roman" w:hAnsi="Times New Roman"/>
          <w:sz w:val="18"/>
          <w:szCs w:val="18"/>
          <w:color w:val="auto"/>
        </w:rPr>
        <w:t>, will serve on our board of directors following the completion of this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Loebel has been the President and CEO of Sunovion, a global biopharmaceutical company focused on the innovative application of science and medicine to help people with serious medical conditions from April 1st, 2019. He also serves as a Director of Sunovion and as an Executive Officer of Sumitomo Dainippon Pharma Co., Ltd (the parent company of Sunovion). His prior industry experience includes seven years in drug development and medical affairs roles at Pfizer from 2001 to 2007. Since 2007, Dr. Loebel has been employed at Sunovion (or a predecessor company); he was Executive Vice President and Chief Medical Officer for 8 years until assuming the CEO role in 2019. Dr. Loebel also serves on the board of</w:t>
      </w: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0" w:name="page111"/>
    <w:bookmarkEnd w:id="11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53" w:lineRule="auto"/>
        <w:rPr>
          <w:sz w:val="20"/>
          <w:szCs w:val="20"/>
          <w:color w:val="auto"/>
        </w:rPr>
      </w:pPr>
      <w:r>
        <w:rPr>
          <w:rFonts w:ascii="Times New Roman" w:cs="Times New Roman" w:eastAsia="Times New Roman" w:hAnsi="Times New Roman"/>
          <w:sz w:val="18"/>
          <w:szCs w:val="18"/>
          <w:color w:val="auto"/>
        </w:rPr>
        <w:t>directors of the Pharmaceutical Research and Manufacturers of America (PhRMA). Dr. Loebel is a board-certified psychiatrist, a clinical assistant professor of psychiatry at the New York University School of Medicine, a Fellow of the American Psychiatric Association (APA) and a Fellow of the American College of Neuropsychopharmacology (ACNP). For his achievements in advancing new treatments for central nervous system disorders, Dr. Loebel received the 2015 Award for Leadership from the International Society for CNS Drug Development (ISCDD) and the 2019 CNS Summit Leadership Award. He was also selected by PharmaVOICE in 2019 and 2013 as one of the “100 Most Inspiring People” in the pharmaceutical industry. Dr. Loebel earned an M.D. from the University of Washington School of Medicine in Seattle. He completed his residency in Psychiatry and a research fellowship in Clinical Neurosciences at Zucker Hillside Hospital in Glen Oaks, New York. Dr. Loebel received a B.A. from the University of Washington. Mr. Loebel’s qualifications to serve on the board include his extensive experience in the life sciences industry, his reputation in the field and his scientific expertise.</w:t>
      </w:r>
    </w:p>
    <w:p>
      <w:pPr>
        <w:spacing w:after="0" w:line="105"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Taub </w:t>
      </w:r>
      <w:r>
        <w:rPr>
          <w:rFonts w:ascii="Times New Roman" w:cs="Times New Roman" w:eastAsia="Times New Roman" w:hAnsi="Times New Roman"/>
          <w:sz w:val="18"/>
          <w:szCs w:val="18"/>
          <w:color w:val="auto"/>
        </w:rPr>
        <w:t>will serve on our board of directors following the completion of this offering.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2009, Mr. Taub has been the co-founder and chairman of Nyxoah, a private company which is developing implants to treat Obstructive Sleep Apnea. Mr. Taub was also the chairman of Neuroderm, a publicly traded biotech company, from November 2013 until it was sold to Mitsubishi-Tanabe for $1.1 billion in 2017. In 1995, Mr. Taub founded and served as president, chief executive officer and a member of the board of directors of Omrix, a biopharmaceutical company that marketed biological products for the biosurgical and immunotherapy markets that was sold to Johnson &amp; Johnson in 2008. Prior to establishing Omrix, Mr. Taub co-founded Octapharma AG, a human plasma fractionator, where he served from 1983 to 1995. Prior to Octapharma AG, he held various general management and sales and marketing positions with Monsanto Company, Baxter Travenol Laboratories and the Revlon Health Care Group.</w:t>
      </w:r>
    </w:p>
    <w:p>
      <w:pPr>
        <w:jc w:val="both"/>
        <w:ind w:left="1260" w:right="679"/>
        <w:spacing w:after="0" w:line="253" w:lineRule="auto"/>
        <w:rPr>
          <w:sz w:val="20"/>
          <w:szCs w:val="20"/>
          <w:color w:val="auto"/>
        </w:rPr>
      </w:pPr>
      <w:r>
        <w:rPr>
          <w:rFonts w:ascii="Times New Roman" w:cs="Times New Roman" w:eastAsia="Times New Roman" w:hAnsi="Times New Roman"/>
          <w:sz w:val="18"/>
          <w:szCs w:val="18"/>
          <w:color w:val="auto"/>
        </w:rPr>
        <w:t>Mr. Taub has been director of Maya Gold and Silver since November 2016. He received a B.A. from RUCA Antwerp University and an MBA from INSEAD in Fontainebleau, France. Mr. Taub’s qualifications to serve on the board include his extensive experience in the life sciences industry, his leadership experience and his business development expertise.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62"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five members and is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 directors, consisting of Dr. Loebel, will expire at our first annual meeting of stockholders. The term of office of the second class of directors, consisting of Mr. Colpman and Mr. Taub, will expire at the second annual meeting of stockholders. The term of office of the third class of directors, consisting of Mr. Rakin and Mr. Zuga, will expire at the third annual meeting of stockholders.</w:t>
      </w:r>
    </w:p>
    <w:p>
      <w:pPr>
        <w:spacing w:after="0" w:line="121"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certificate of incorporation.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48"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Nasdaq rules require that a majority of our board of directors be independent within one year of our initial public offering. An “independent director” is defined generally as a person who, in the opinion of the company’s board of directors, has no material relationship with the listed company (either directly or as a partner, stockholder or officer of an organization that has a relationship with the company). We expect to have three “independent directors” as defined in Nasdaq rules and applicable SEC rules prior to completion of this offering. Our board of directors has determined that David Colpman, Antony Loebel and Robert Taub are “independent directors” as defined in the Nasdaq listing standards and applicable SEC rules. Our independent directors will have regularly scheduled meetings at which only independent directors are present.</w:t>
      </w: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48"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None of our executive officers or directors have received any cash compensation for services rendered to us. Commencing on the date that our securities are first listed on Nasdaq through the earlier of consummation of our initial business combination and our liquidation, we will reimburse an affiliate of our sponsor for office space, secretarial and administrative services provided to members of our management team in an amount not to exceed $10,000 per month in the event such space and/or services are utilized and we do not pay a third party directly for such services.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(i) funds held outside the trust account or (ii) interest earned on the trust account and released to us to pay our taxes.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340"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of directors has established two standing committees: an audit committee and 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committee. Subject to phase-in rules and a limited exception, the rules of Nasdaq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10A-3 of the Exchange Act require that the audit committee of a listed company be comprised solely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independent directors. Subject to phase-in rules and a limited exception, the rules of Nasdaq require that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compensation committee of a listed company be comprised solely of independent directors.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93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of the board of directors. Dr. Loebel, Mr. Colpman and Mr. Taub will serve as members of our audit committee. Under the Nasdaq listing standards and applicable SEC rules, we are required to have three members of the audit committee, all of whom must be independent. Dr. Loebel, Mr. Colpman and Mr. Taub are independent.</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2" w:name="page113"/>
    <w:bookmarkEnd w:id="11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Dr. Loebel will serve as the chairman of the audit committee. Each member of the audit committee is financially literate and our board of directors has determined that Dr. Loebel qualifies as an “audit committee financial expert” as defined in applicable SEC rules.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is responsible for:</w:t>
      </w:r>
    </w:p>
    <w:p>
      <w:pPr>
        <w:spacing w:after="0" w:line="117" w:lineRule="exact"/>
        <w:rPr>
          <w:sz w:val="20"/>
          <w:szCs w:val="20"/>
          <w:color w:val="auto"/>
        </w:rPr>
      </w:pPr>
    </w:p>
    <w:p>
      <w:pPr>
        <w:ind w:left="1800" w:right="1159" w:hanging="178"/>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public accounting firm regarding, among other issues, audits, and adequacy of our accounting and control systems;</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117" w:lineRule="exact"/>
        <w:rPr>
          <w:rFonts w:ascii="Times New Roman" w:cs="Times New Roman" w:eastAsia="Times New Roman" w:hAnsi="Times New Roman"/>
          <w:sz w:val="18"/>
          <w:szCs w:val="18"/>
          <w:color w:val="auto"/>
        </w:rPr>
      </w:pPr>
    </w:p>
    <w:p>
      <w:pPr>
        <w:ind w:left="1800" w:right="719" w:hanging="178"/>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1800" w:right="679" w:hanging="178"/>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117" w:lineRule="exact"/>
        <w:rPr>
          <w:rFonts w:ascii="Times New Roman" w:cs="Times New Roman" w:eastAsia="Times New Roman" w:hAnsi="Times New Roman"/>
          <w:sz w:val="18"/>
          <w:szCs w:val="18"/>
          <w:color w:val="auto"/>
        </w:rPr>
      </w:pPr>
    </w:p>
    <w:p>
      <w:pPr>
        <w:ind w:left="1800" w:right="939" w:hanging="178"/>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1800" w:right="919" w:hanging="178"/>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67" w:lineRule="exact"/>
        <w:rPr>
          <w:rFonts w:ascii="Times New Roman" w:cs="Times New Roman" w:eastAsia="Times New Roman" w:hAnsi="Times New Roman"/>
          <w:sz w:val="18"/>
          <w:szCs w:val="18"/>
          <w:color w:val="auto"/>
        </w:rPr>
      </w:pPr>
    </w:p>
    <w:p>
      <w:pPr>
        <w:ind w:left="1800" w:right="699" w:hanging="178"/>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67" w:lineRule="exact"/>
        <w:rPr>
          <w:rFonts w:ascii="Times New Roman" w:cs="Times New Roman" w:eastAsia="Times New Roman" w:hAnsi="Times New Roman"/>
          <w:sz w:val="18"/>
          <w:szCs w:val="18"/>
          <w:color w:val="auto"/>
        </w:rPr>
      </w:pPr>
    </w:p>
    <w:p>
      <w:pPr>
        <w:ind w:left="1800" w:right="759" w:hanging="178"/>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payments made to our existing stockholders,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99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 compensation committee of our board of directors. The members of our compensation committee will be Mr. Colpman and Mr. Taub, and Mr. Taub will serve as chairman of the compensation committee. We have adopted a compensation committee charter, which details the principal functions of the compensation committee, including:</w:t>
      </w:r>
    </w:p>
    <w:p>
      <w:pPr>
        <w:spacing w:after="0" w:line="72" w:lineRule="exact"/>
        <w:rPr>
          <w:sz w:val="20"/>
          <w:szCs w:val="20"/>
          <w:color w:val="auto"/>
        </w:rPr>
      </w:pPr>
    </w:p>
    <w:p>
      <w:pPr>
        <w:ind w:left="1800" w:right="819" w:hanging="178"/>
        <w:spacing w:after="0" w:line="261"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71"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Section 16 executive officers;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1800" w:right="1519" w:hanging="178"/>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53"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3" w:name="page114"/>
    <w:bookmarkEnd w:id="11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w:t>
      </w:r>
    </w:p>
    <w:p>
      <w:pPr>
        <w:spacing w:after="0" w:line="96"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Nominations</w:t>
      </w:r>
    </w:p>
    <w:p>
      <w:pPr>
        <w:spacing w:after="0" w:line="162"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We do not have a standing nominating committee though we intend to form a corporate governance and nominating committee as and when required to do so by law or Nasdaq rules. In accordance with</w:t>
      </w:r>
    </w:p>
    <w:p>
      <w:pPr>
        <w:spacing w:after="0" w:line="1" w:lineRule="exact"/>
        <w:rPr>
          <w:sz w:val="20"/>
          <w:szCs w:val="20"/>
          <w:color w:val="auto"/>
        </w:rPr>
      </w:pPr>
    </w:p>
    <w:p>
      <w:pPr>
        <w:ind w:left="1260" w:right="759"/>
        <w:spacing w:after="0" w:line="236" w:lineRule="auto"/>
        <w:rPr>
          <w:sz w:val="20"/>
          <w:szCs w:val="20"/>
          <w:color w:val="auto"/>
        </w:rPr>
      </w:pPr>
      <w:r>
        <w:rPr>
          <w:rFonts w:ascii="Times New Roman" w:cs="Times New Roman" w:eastAsia="Times New Roman" w:hAnsi="Times New Roman"/>
          <w:sz w:val="18"/>
          <w:szCs w:val="18"/>
          <w:color w:val="auto"/>
        </w:rPr>
        <w:t>Rule 5605(e)(2) of the Nasdaq rules, a majority of the independent directors may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Dr. Loebel, Mr. Colpman and Mr. Taub. In accordance with Rule 5605(e)(1)(A) of the Nasdaq rules, all such directors are independent. As there is no standing nominating committee, we do not have a nominating committee charter in place.</w:t>
      </w:r>
    </w:p>
    <w:p>
      <w:pPr>
        <w:spacing w:after="0" w:line="121" w:lineRule="exact"/>
        <w:rPr>
          <w:sz w:val="20"/>
          <w:szCs w:val="20"/>
          <w:color w:val="auto"/>
        </w:rPr>
      </w:pPr>
    </w:p>
    <w:p>
      <w:pPr>
        <w:ind w:left="1260" w:right="819" w:firstLine="360"/>
        <w:spacing w:after="0" w:line="242" w:lineRule="auto"/>
        <w:rPr>
          <w:sz w:val="20"/>
          <w:szCs w:val="20"/>
          <w:color w:val="auto"/>
        </w:rPr>
      </w:pPr>
      <w:r>
        <w:rPr>
          <w:rFonts w:ascii="Times New Roman" w:cs="Times New Roman" w:eastAsia="Times New Roman" w:hAnsi="Times New Roman"/>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313"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We have not formally established any specific, minimum qualifications that must be met or skills that are necessary for directors to possess. In general, in identifying and evaluating nominees for director, our board of directors considers educational background, diversity of professional experience, knowledge of our business, integrity, professional reputation, independence, wisdom, and the ability to represent the best interests of our stockholders.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6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3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ind w:left="1260" w:right="819" w:firstLine="360"/>
        <w:spacing w:after="0" w:line="246" w:lineRule="auto"/>
        <w:rPr>
          <w:sz w:val="20"/>
          <w:szCs w:val="20"/>
          <w:color w:val="auto"/>
        </w:rPr>
      </w:pPr>
      <w:r>
        <w:rPr>
          <w:rFonts w:ascii="Times New Roman" w:cs="Times New Roman" w:eastAsia="Times New Roman" w:hAnsi="Times New Roman"/>
          <w:sz w:val="18"/>
          <w:szCs w:val="18"/>
          <w:color w:val="auto"/>
        </w:rPr>
        <w:t>We have adopted a code of ethics applicable to our directors, officers and employees (“Code of Ethics”) . A copy of the Code of Ethics will be provided without charge upon request from us. We intend to disclose any amendments to or waivers of certain provisions of our Code of Ethics in a Current Report on Form 8-K.</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54" w:lineRule="exact"/>
        <w:rPr>
          <w:sz w:val="20"/>
          <w:szCs w:val="20"/>
          <w:color w:val="auto"/>
        </w:rPr>
      </w:pPr>
    </w:p>
    <w:p>
      <w:pPr>
        <w:ind w:left="1800" w:hanging="178"/>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17" w:lineRule="exact"/>
        <w:rPr>
          <w:rFonts w:ascii="Times New Roman" w:cs="Times New Roman" w:eastAsia="Times New Roman" w:hAnsi="Times New Roman"/>
          <w:sz w:val="18"/>
          <w:szCs w:val="18"/>
          <w:color w:val="auto"/>
        </w:rPr>
      </w:pPr>
    </w:p>
    <w:p>
      <w:pPr>
        <w:ind w:left="1800" w:right="819" w:hanging="178"/>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our company and its stockholders for the opportunity not to be brought to the attention of the corporation.</w:t>
      </w:r>
    </w:p>
    <w:p>
      <w:pPr>
        <w:spacing w:after="0" w:line="94"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w:t>
      </w:r>
    </w:p>
    <w:p>
      <w:pPr>
        <w:spacing w:after="0" w:line="35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260"/>
        <w:spacing w:after="0" w:line="252" w:lineRule="auto"/>
        <w:rPr>
          <w:sz w:val="20"/>
          <w:szCs w:val="20"/>
          <w:color w:val="auto"/>
        </w:rPr>
      </w:pPr>
      <w:r>
        <w:rPr>
          <w:rFonts w:ascii="Times New Roman" w:cs="Times New Roman" w:eastAsia="Times New Roman" w:hAnsi="Times New Roman"/>
          <w:sz w:val="18"/>
          <w:szCs w:val="18"/>
          <w:color w:val="auto"/>
        </w:rPr>
        <w:t>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Notwithstanding the foregoing, we may pursue an affiliated joint acquisition opportunity with one or more affiliates of HighCape and/or one or more investors in HighCape or one of its affiliates, to which an officer or director has a fiduciary or contractual obligation. Any such entity may co-invest with us in the target business at the time of our initial business combination, or we could raise additional proceeds to complete the acquisition by issuing to such entity a class of equity or equity-linked securities.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332" w:lineRule="exact"/>
        <w:rPr>
          <w:sz w:val="20"/>
          <w:szCs w:val="20"/>
          <w:color w:val="auto"/>
        </w:rPr>
      </w:pPr>
    </w:p>
    <w:p>
      <w:pPr>
        <w:ind w:left="1260" w:right="1420" w:firstLine="360"/>
        <w:spacing w:after="0" w:line="282"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or contractual obligations: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00" w:type="dxa"/>
            <w:vAlign w:val="bottom"/>
          </w:tcPr>
          <w:p>
            <w:pPr>
              <w:spacing w:after="0"/>
              <w:rPr>
                <w:sz w:val="16"/>
                <w:szCs w:val="16"/>
                <w:color w:val="auto"/>
              </w:rPr>
            </w:pPr>
          </w:p>
        </w:tc>
        <w:tc>
          <w:tcPr>
            <w:tcW w:w="17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Entity’s Business</w:t>
            </w:r>
          </w:p>
        </w:tc>
        <w:tc>
          <w:tcPr>
            <w:tcW w:w="220" w:type="dxa"/>
            <w:vAlign w:val="bottom"/>
          </w:tcPr>
          <w:p>
            <w:pPr>
              <w:spacing w:after="0"/>
              <w:rPr>
                <w:sz w:val="16"/>
                <w:szCs w:val="16"/>
                <w:color w:val="auto"/>
              </w:rPr>
            </w:pPr>
          </w:p>
        </w:tc>
        <w:tc>
          <w:tcPr>
            <w:tcW w:w="19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Affiliation</w:t>
            </w:r>
          </w:p>
        </w:tc>
        <w:tc>
          <w:tcPr>
            <w:tcW w:w="124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345"/>
        </w:trPr>
        <w:tc>
          <w:tcPr>
            <w:tcW w:w="31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Kevin Rakin</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HighCape</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Fund</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Co-Founder and Partner</w:t>
            </w:r>
          </w:p>
        </w:tc>
        <w:tc>
          <w:tcPr>
            <w:tcW w:w="1240" w:type="dxa"/>
            <w:vAlign w:val="bottom"/>
          </w:tcPr>
          <w:p>
            <w:pPr>
              <w:spacing w:after="0"/>
              <w:rPr>
                <w:sz w:val="24"/>
                <w:szCs w:val="24"/>
                <w:color w:val="auto"/>
              </w:rPr>
            </w:pPr>
          </w:p>
        </w:tc>
      </w:tr>
      <w:tr>
        <w:trPr>
          <w:trHeight w:val="297"/>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Aziyo Biologics, Inc.</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Biotechnology</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283"/>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Cybrexa, Inc.</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Biotechnology</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252"/>
        </w:trPr>
        <w:tc>
          <w:tcPr>
            <w:tcW w:w="1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Oramed</w:t>
            </w:r>
          </w:p>
        </w:tc>
        <w:tc>
          <w:tcPr>
            <w:tcW w:w="140" w:type="dxa"/>
            <w:vAlign w:val="bottom"/>
          </w:tcPr>
          <w:p>
            <w:pPr>
              <w:spacing w:after="0"/>
              <w:rPr>
                <w:sz w:val="21"/>
                <w:szCs w:val="21"/>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Oral Drugs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Pharmaceuticals, Inc.</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9"/>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Convexity Scientific,</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Respiratory Treatment</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10"/>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Nyxoah S.A.</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Sleep Apnea Treatment</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378"/>
        </w:trPr>
        <w:tc>
          <w:tcPr>
            <w:tcW w:w="31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Matt Zuga</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HighCape</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Fund</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Co-Founder and Partner</w:t>
            </w:r>
          </w:p>
        </w:tc>
        <w:tc>
          <w:tcPr>
            <w:tcW w:w="1240" w:type="dxa"/>
            <w:vAlign w:val="bottom"/>
          </w:tcPr>
          <w:p>
            <w:pPr>
              <w:spacing w:after="0"/>
              <w:rPr>
                <w:sz w:val="24"/>
                <w:szCs w:val="24"/>
                <w:color w:val="auto"/>
              </w:rPr>
            </w:pPr>
          </w:p>
        </w:tc>
      </w:tr>
      <w:tr>
        <w:trPr>
          <w:trHeight w:val="311"/>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Aziyo Biologics, Inc.</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Biotechnology</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283"/>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AgriMetis, LLC</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Agrisciences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252"/>
        </w:trPr>
        <w:tc>
          <w:tcPr>
            <w:tcW w:w="1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Alba Therapeutics</w:t>
            </w:r>
          </w:p>
        </w:tc>
        <w:tc>
          <w:tcPr>
            <w:tcW w:w="140" w:type="dxa"/>
            <w:vAlign w:val="bottom"/>
          </w:tcPr>
          <w:p>
            <w:pPr>
              <w:spacing w:after="0"/>
              <w:rPr>
                <w:sz w:val="21"/>
                <w:szCs w:val="21"/>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Biopharmaceuticals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1"/>
                <w:szCs w:val="21"/>
                <w:color w:val="auto"/>
              </w:rPr>
            </w:pPr>
          </w:p>
        </w:tc>
      </w:tr>
      <w:tr>
        <w:trPr>
          <w:trHeight w:val="234"/>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Corporation</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10"/>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MF Fire, Inc.</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Consumer Products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284"/>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Virtue Labs, LLC</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Consumer Products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391"/>
        </w:trPr>
        <w:tc>
          <w:tcPr>
            <w:tcW w:w="31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David Colpman</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HRA Pharma, SA</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Biopharmaceuticals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284"/>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Forendo Pharma Ltd</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Drug Development</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283"/>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Orexo AB</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Pharmaceuticals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360"/>
        </w:trPr>
        <w:tc>
          <w:tcPr>
            <w:tcW w:w="31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Antony Loebel, M.D.</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Sunovion</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Biopharmaceuticals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4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Pharmaceuticals Inc.</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President</w:t>
            </w:r>
          </w:p>
        </w:tc>
        <w:tc>
          <w:tcPr>
            <w:tcW w:w="1240" w:type="dxa"/>
            <w:vAlign w:val="bottom"/>
          </w:tcPr>
          <w:p>
            <w:pPr>
              <w:spacing w:after="0"/>
              <w:rPr>
                <w:sz w:val="20"/>
                <w:szCs w:val="20"/>
                <w:color w:val="auto"/>
              </w:rPr>
            </w:pPr>
          </w:p>
        </w:tc>
      </w:tr>
      <w:tr>
        <w:trPr>
          <w:trHeight w:val="279"/>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Sumitomo Dainippon</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Biopharmaceuticals</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Leadership</w:t>
            </w:r>
          </w:p>
        </w:tc>
        <w:tc>
          <w:tcPr>
            <w:tcW w:w="124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Pharma Co., Ltd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Team Member</w:t>
            </w:r>
          </w:p>
        </w:tc>
        <w:tc>
          <w:tcPr>
            <w:tcW w:w="1240" w:type="dxa"/>
            <w:vAlign w:val="bottom"/>
          </w:tcPr>
          <w:p>
            <w:pPr>
              <w:spacing w:after="0"/>
              <w:rPr>
                <w:sz w:val="20"/>
                <w:szCs w:val="20"/>
                <w:color w:val="auto"/>
              </w:rPr>
            </w:pPr>
          </w:p>
        </w:tc>
      </w:tr>
      <w:tr>
        <w:trPr>
          <w:trHeight w:val="387"/>
        </w:trPr>
        <w:tc>
          <w:tcPr>
            <w:tcW w:w="31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Robert Taub</w:t>
            </w: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Nyxoah S.A.</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Sleep Apnea Treatment</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and Co-</w:t>
            </w:r>
          </w:p>
        </w:tc>
        <w:tc>
          <w:tcPr>
            <w:tcW w:w="124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Founder</w:t>
            </w:r>
          </w:p>
        </w:tc>
        <w:tc>
          <w:tcPr>
            <w:tcW w:w="1240" w:type="dxa"/>
            <w:vAlign w:val="bottom"/>
          </w:tcPr>
          <w:p>
            <w:pPr>
              <w:spacing w:after="0"/>
              <w:rPr>
                <w:sz w:val="20"/>
                <w:szCs w:val="20"/>
                <w:color w:val="auto"/>
              </w:rPr>
            </w:pPr>
          </w:p>
        </w:tc>
      </w:tr>
      <w:tr>
        <w:trPr>
          <w:trHeight w:val="310"/>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Maya Gold and Silver</w:t>
            </w:r>
          </w:p>
        </w:tc>
        <w:tc>
          <w:tcPr>
            <w:tcW w:w="140" w:type="dxa"/>
            <w:vAlign w:val="bottom"/>
          </w:tcPr>
          <w:p>
            <w:pPr>
              <w:spacing w:after="0"/>
              <w:rPr>
                <w:sz w:val="24"/>
                <w:szCs w:val="24"/>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Metals &amp; Mining</w:t>
            </w: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240" w:type="dxa"/>
            <w:vAlign w:val="bottom"/>
          </w:tcPr>
          <w:p>
            <w:pPr>
              <w:spacing w:after="0"/>
              <w:rPr>
                <w:sz w:val="24"/>
                <w:szCs w:val="24"/>
                <w:color w:val="auto"/>
              </w:rPr>
            </w:pPr>
          </w:p>
        </w:tc>
      </w:tr>
      <w:tr>
        <w:trPr>
          <w:trHeight w:val="634"/>
        </w:trPr>
        <w:tc>
          <w:tcPr>
            <w:tcW w:w="1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40" w:type="dxa"/>
            <w:vAlign w:val="bottom"/>
            <w:gridSpan w:val="3"/>
          </w:tcPr>
          <w:p>
            <w:pPr>
              <w:jc w:val="right"/>
              <w:ind w:right="1808"/>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115" w:name="page116"/>
    <w:bookmarkEnd w:id="11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17" w:lineRule="exact"/>
        <w:rPr>
          <w:sz w:val="20"/>
          <w:szCs w:val="20"/>
          <w:color w:val="auto"/>
        </w:rPr>
      </w:pPr>
    </w:p>
    <w:p>
      <w:pPr>
        <w:ind w:left="1800" w:right="799" w:hanging="178"/>
        <w:spacing w:after="0" w:line="253"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In addition,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81" w:lineRule="exact"/>
        <w:rPr>
          <w:rFonts w:ascii="Times New Roman" w:cs="Times New Roman" w:eastAsia="Times New Roman" w:hAnsi="Times New Roman"/>
          <w:sz w:val="18"/>
          <w:szCs w:val="18"/>
          <w:color w:val="auto"/>
        </w:rPr>
      </w:pPr>
    </w:p>
    <w:p>
      <w:pPr>
        <w:ind w:left="1800" w:right="699" w:hanging="178"/>
        <w:spacing w:after="0" w:line="251"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purchased founder shares prior to the date of this prospectus and will purchase private placement units in a transaction that will close simultaneously with the closing of this offering. Our initial stockholders have entered into agreements with us, pursuant to which they have agreed to waive their redemption rights with respect to their founder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or after this offering. Additionally, our initial stockholders have agreed to waive their rights to liquidating distributions from the trust account with respect to their founder shares if we fail to complete our initial business combination within the prescribed time frame. If we do not complete our initial business combination within the prescribed time frame, the private placement units (and the underlying securities) will expire worthless. Furthermore, our initial stockholders have agreed not to transfer, assign or sell any of their founder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Subject to certain limited exceptions, the private placement units will not be transferable until 30 days following the completion of our initial business combination. Because each of our executive officers and director nominees will own common stock or warrants directly or indirectly, they may have a conflict of interest in determining whether a particular target business is an appropriate business with which to effectuate our initial business combination.</w:t>
      </w:r>
    </w:p>
    <w:p>
      <w:pPr>
        <w:spacing w:after="0" w:line="200" w:lineRule="exact"/>
        <w:rPr>
          <w:rFonts w:ascii="Times New Roman" w:cs="Times New Roman" w:eastAsia="Times New Roman" w:hAnsi="Times New Roman"/>
          <w:sz w:val="18"/>
          <w:szCs w:val="18"/>
          <w:color w:val="auto"/>
        </w:rPr>
      </w:pPr>
    </w:p>
    <w:p>
      <w:pPr>
        <w:spacing w:after="0" w:line="328" w:lineRule="exact"/>
        <w:rPr>
          <w:rFonts w:ascii="Times New Roman" w:cs="Times New Roman" w:eastAsia="Times New Roman" w:hAnsi="Times New Roman"/>
          <w:sz w:val="18"/>
          <w:szCs w:val="18"/>
          <w:color w:val="auto"/>
        </w:rPr>
      </w:pPr>
    </w:p>
    <w:p>
      <w:pPr>
        <w:ind w:left="1800" w:right="739" w:hanging="178"/>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08"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reimburse an affiliate of our sponsor, for office space, secretarial</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6" w:name="page117"/>
    <w:bookmarkEnd w:id="11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59"/>
        <w:spacing w:after="0" w:line="275" w:lineRule="auto"/>
        <w:rPr>
          <w:sz w:val="20"/>
          <w:szCs w:val="20"/>
          <w:color w:val="auto"/>
        </w:rPr>
      </w:pPr>
      <w:r>
        <w:rPr>
          <w:rFonts w:ascii="Times New Roman" w:cs="Times New Roman" w:eastAsia="Times New Roman" w:hAnsi="Times New Roman"/>
          <w:sz w:val="18"/>
          <w:szCs w:val="18"/>
          <w:color w:val="auto"/>
        </w:rPr>
        <w:t>and administrative services provided to members of our management team in an amount not to exceed $10,000 per month in the event such space and/or services are utilized and we do not pay directly for such services.</w:t>
      </w:r>
    </w:p>
    <w:p>
      <w:pPr>
        <w:spacing w:after="0" w:line="3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158"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62" w:lineRule="exact"/>
        <w:rPr>
          <w:sz w:val="20"/>
          <w:szCs w:val="20"/>
          <w:color w:val="auto"/>
        </w:rPr>
      </w:pPr>
    </w:p>
    <w:p>
      <w:pPr>
        <w:ind w:left="1260" w:right="81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324"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22"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336"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4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prospectus, and as adjusted to reflect the sale of our Class A common stock included in the units offered by this prospectus, and assuming no purchase of units in this offering, by:</w:t>
      </w:r>
    </w:p>
    <w:p>
      <w:pPr>
        <w:spacing w:after="0" w:line="81" w:lineRule="exact"/>
        <w:rPr>
          <w:sz w:val="20"/>
          <w:szCs w:val="20"/>
          <w:color w:val="auto"/>
        </w:rPr>
      </w:pPr>
    </w:p>
    <w:p>
      <w:pPr>
        <w:ind w:left="1800" w:right="959" w:hanging="178"/>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 of common stock;</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directors and director nominees; and</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158"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of our common stock beneficially owned by them. The following table does not reflect record or beneficial ownership of the private placement warrants as these warrants are not exercisable within 60 days of the date of this prospectus.</w:t>
      </w:r>
    </w:p>
    <w:p>
      <w:pPr>
        <w:spacing w:after="0" w:line="99"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On June 10, 2020, our sponsor purchased an aggregate of 2,875,000 founder shares in exchange for a capital contribution of $25,000, or approximately $0.009 per share. In June 2020, our sponsor transferred 30,000 founder shares to each of David Colpman, Antony Loebel and Robert Taub, resulting in our sponsor holding 2,785,000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excluding the private placement shares underlying the private placement units. Up to 375,000 of the founder shares will be forfeited depending on the extent to which the underwriters’ over-allotment is exercised. The post-offering percentages in the following table assume that the underwriters do not exercise their over-allotment option, that our initial stockholders have forfeited 375,000 founder shares, and that there are 12,875,000 shares of common stock, consisting of (i) 10,375,000 shares of our Class A common stock (including 10,000,000 public shares and 375,000 private placement shares) and (ii) 2,500,000 shares of our Class B common stock issued and outstanding after this offering.</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Before Offering</w:t>
            </w:r>
          </w:p>
        </w:tc>
        <w:tc>
          <w:tcPr>
            <w:tcW w:w="1800" w:type="dxa"/>
            <w:vAlign w:val="bottom"/>
            <w:gridSpan w:val="3"/>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percentage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percentage of</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0" w:type="dxa"/>
            <w:vAlign w:val="bottom"/>
          </w:tcPr>
          <w:p>
            <w:pPr>
              <w:spacing w:after="0"/>
              <w:rPr>
                <w:sz w:val="1"/>
                <w:szCs w:val="1"/>
                <w:color w:val="auto"/>
              </w:rPr>
            </w:pPr>
          </w:p>
        </w:tc>
      </w:tr>
      <w:tr>
        <w:trPr>
          <w:trHeight w:val="162"/>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1"/>
                <w:szCs w:val="21"/>
                <w:b w:val="1"/>
                <w:bCs w:val="1"/>
                <w:color w:val="auto"/>
                <w:vertAlign w:val="superscript"/>
              </w:rPr>
              <w:t>(1)</w:t>
            </w:r>
          </w:p>
        </w:tc>
        <w:tc>
          <w:tcPr>
            <w:tcW w:w="180" w:type="dxa"/>
            <w:vAlign w:val="bottom"/>
            <w:vMerge w:val="restart"/>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2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0" w:type="dxa"/>
            <w:vAlign w:val="bottom"/>
          </w:tcPr>
          <w:p>
            <w:pPr>
              <w:spacing w:after="0"/>
              <w:rPr>
                <w:sz w:val="1"/>
                <w:szCs w:val="1"/>
                <w:color w:val="auto"/>
              </w:rPr>
            </w:pPr>
          </w:p>
        </w:tc>
      </w:tr>
      <w:tr>
        <w:trPr>
          <w:trHeight w:val="263"/>
        </w:trPr>
        <w:tc>
          <w:tcPr>
            <w:tcW w:w="4260" w:type="dxa"/>
            <w:vAlign w:val="bottom"/>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HighCape Capital Acquisition LLC (our sponsor)</w:t>
            </w:r>
            <w:r>
              <w:rPr>
                <w:rFonts w:ascii="Times New Roman" w:cs="Times New Roman" w:eastAsia="Times New Roman" w:hAnsi="Times New Roman"/>
                <w:sz w:val="26"/>
                <w:szCs w:val="26"/>
                <w:color w:val="auto"/>
                <w:vertAlign w:val="superscript"/>
              </w:rPr>
              <w:t>(3)</w:t>
            </w: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2,785,000</w:t>
            </w:r>
          </w:p>
        </w:tc>
        <w:tc>
          <w:tcPr>
            <w:tcW w:w="10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2,785,000</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57"/>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Kevin Rakin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44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Matt Zuga</w:t>
            </w:r>
            <w:r>
              <w:rPr>
                <w:rFonts w:ascii="Times New Roman" w:cs="Times New Roman" w:eastAsia="Times New Roman" w:hAnsi="Times New Roman"/>
                <w:sz w:val="26"/>
                <w:szCs w:val="26"/>
                <w:color w:val="auto"/>
                <w:vertAlign w:val="superscript"/>
              </w:rPr>
              <w:t>(3)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2,785,000</w:t>
            </w:r>
          </w:p>
        </w:tc>
        <w:tc>
          <w:tcPr>
            <w:tcW w:w="10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2,785,000</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5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Colpman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22"/>
                <w:szCs w:val="22"/>
                <w:color w:val="auto"/>
              </w:rPr>
            </w:pPr>
          </w:p>
        </w:tc>
        <w:tc>
          <w:tcPr>
            <w:tcW w:w="84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Antony Loebel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4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Taub</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22"/>
                <w:szCs w:val="22"/>
                <w:color w:val="auto"/>
              </w:rPr>
            </w:pPr>
          </w:p>
        </w:tc>
        <w:tc>
          <w:tcPr>
            <w:tcW w:w="84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officers, directors and director nominees as a group</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 individuals)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2,875,000</w:t>
            </w:r>
          </w:p>
        </w:tc>
        <w:tc>
          <w:tcPr>
            <w:tcW w:w="1040" w:type="dxa"/>
            <w:vAlign w:val="bottom"/>
            <w:tcBorders>
              <w:bottom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-1473835</wp:posOffset>
            </wp:positionV>
            <wp:extent cx="137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-1473835</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-1473835</wp:posOffset>
            </wp:positionV>
            <wp:extent cx="1289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-1473835</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ind w:left="1620" w:hanging="358"/>
        <w:spacing w:after="0"/>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42" w:lineRule="exact"/>
        <w:rPr>
          <w:sz w:val="20"/>
          <w:szCs w:val="20"/>
          <w:color w:val="auto"/>
        </w:rPr>
      </w:pPr>
    </w:p>
    <w:p>
      <w:pPr>
        <w:ind w:left="1620" w:right="859" w:hanging="358"/>
        <w:spacing w:after="0" w:line="236"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is 452 Fifth Avenue,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10018.</w:t>
      </w:r>
    </w:p>
    <w:p>
      <w:pPr>
        <w:spacing w:after="0" w:line="63" w:lineRule="exact"/>
        <w:rPr>
          <w:rFonts w:ascii="Times New Roman" w:cs="Times New Roman" w:eastAsia="Times New Roman" w:hAnsi="Times New Roman"/>
          <w:sz w:val="18"/>
          <w:szCs w:val="18"/>
          <w:color w:val="auto"/>
        </w:rPr>
      </w:pPr>
    </w:p>
    <w:p>
      <w:pPr>
        <w:ind w:left="1620" w:right="779" w:hanging="358"/>
        <w:spacing w:after="0" w:line="282"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shown consist solely of founder shares, classified as Class B common stock. Such shares will automatically convert into Class A common stock concurrently with or immediately following the</w:t>
      </w:r>
    </w:p>
    <w:p>
      <w:pPr>
        <w:sectPr>
          <w:pgSz w:w="11900" w:h="16838" w:orient="portrait"/>
          <w:cols w:equalWidth="0" w:num="1">
            <w:col w:w="10139"/>
          </w:cols>
          <w:pgMar w:left="320" w:top="114"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18" w:name="page119"/>
    <w:bookmarkEnd w:id="11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right="1059"/>
        <w:spacing w:after="0" w:line="266" w:lineRule="auto"/>
        <w:rPr>
          <w:sz w:val="20"/>
          <w:szCs w:val="20"/>
          <w:color w:val="auto"/>
        </w:rPr>
      </w:pPr>
      <w:r>
        <w:rPr>
          <w:rFonts w:ascii="Times New Roman" w:cs="Times New Roman" w:eastAsia="Times New Roman" w:hAnsi="Times New Roman"/>
          <w:sz w:val="18"/>
          <w:szCs w:val="18"/>
          <w:color w:val="auto"/>
        </w:rPr>
        <w:t>consummation of our initial business combination on a one-for-one basis, subject to adjustment, as described in the section entitled “Description of Securities.”</w:t>
      </w:r>
    </w:p>
    <w:p>
      <w:pPr>
        <w:spacing w:after="0" w:line="14" w:lineRule="exact"/>
        <w:rPr>
          <w:sz w:val="20"/>
          <w:szCs w:val="20"/>
          <w:color w:val="auto"/>
        </w:rPr>
      </w:pPr>
    </w:p>
    <w:p>
      <w:pPr>
        <w:ind w:left="1620" w:right="719" w:hanging="358"/>
        <w:spacing w:after="0" w:line="256"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HighCape Capital Acquisition LLC is the record holder of the shares reported herein. HighCape Partners QP and HighCape Partners LP are the members of our sponsor. Matt Zuga is the sole manager of our sponsor, and he has voting and investment discretion with respect to the common stock held of record by our sponsor. Mr. Zuga disclaims any beneficial ownership of the securities held by HighCape Partners QP or HighCape Partners LP other than to the extent of any pecuniary interest he may have therein, directly or indirectly.</w:t>
      </w:r>
    </w:p>
    <w:p>
      <w:pPr>
        <w:spacing w:after="0" w:line="38" w:lineRule="exact"/>
        <w:rPr>
          <w:rFonts w:ascii="Times New Roman" w:cs="Times New Roman" w:eastAsia="Times New Roman" w:hAnsi="Times New Roman"/>
          <w:sz w:val="18"/>
          <w:szCs w:val="18"/>
          <w:color w:val="auto"/>
        </w:rPr>
      </w:pPr>
    </w:p>
    <w:p>
      <w:pPr>
        <w:ind w:left="1620" w:right="1199" w:hanging="358"/>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375,000 founder shares that will be forfeited depending on the extent to which the underwriters’ over-allotment option is exercised.</w:t>
      </w:r>
    </w:p>
    <w:p>
      <w:pPr>
        <w:spacing w:after="0" w:line="81" w:lineRule="exact"/>
        <w:rPr>
          <w:sz w:val="20"/>
          <w:szCs w:val="20"/>
          <w:color w:val="auto"/>
        </w:rPr>
      </w:pPr>
    </w:p>
    <w:p>
      <w:pPr>
        <w:ind w:left="1260" w:right="779" w:firstLine="360"/>
        <w:spacing w:after="0" w:line="241" w:lineRule="auto"/>
        <w:rPr>
          <w:sz w:val="20"/>
          <w:szCs w:val="20"/>
          <w:color w:val="auto"/>
        </w:rPr>
      </w:pPr>
      <w:r>
        <w:rPr>
          <w:rFonts w:ascii="Times New Roman" w:cs="Times New Roman" w:eastAsia="Times New Roman" w:hAnsi="Times New Roman"/>
          <w:sz w:val="18"/>
          <w:szCs w:val="18"/>
          <w:color w:val="auto"/>
        </w:rPr>
        <w:t>Immediately after this offering, our initial stockholders will beneficially own 20.0% of the then issued and outstanding common stock (assuming they do not purchase any units in this offering and excluding the private placement shares underlying the private placement units).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116"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Our sponsor has committed, pursuant to a written agreement, to purchase an aggregate of 375,000 private placement units (or 405,000 units if the underwriters’ over-allotment option is exercised in full), at a price of $10.00 per unit, or $3,750,000 in the aggregate (or $4,050,000 if the underwriters’ over-allotment option is exercised in full), in a private placement that will occur simultaneously with the closing of this offering. The private placement units will be identical to the units sold in this offering except that the underlying private placement warrants, so long as they are held by our sponsor or its permitted transferees,</w:t>
      </w:r>
    </w:p>
    <w:p>
      <w:pPr>
        <w:spacing w:after="0" w:line="3" w:lineRule="exact"/>
        <w:rPr>
          <w:sz w:val="20"/>
          <w:szCs w:val="20"/>
          <w:color w:val="auto"/>
        </w:rPr>
      </w:pPr>
    </w:p>
    <w:p>
      <w:pPr>
        <w:ind w:left="1260" w:right="719" w:firstLine="2"/>
        <w:spacing w:after="0" w:line="235" w:lineRule="auto"/>
        <w:tabs>
          <w:tab w:leader="none" w:pos="14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 by us, (ii) may not (including the Class A common stock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units (including the private placement shares, private placement warrants and the Class A common stock issuable upon exercise thereof) may not, subject to certain limited exceptions, be transferred, assigned or sold by the holder. A portion of the purchase price of the private placement units will be added to the proceeds from this offering to be held in the trust account such that at the time of closing of this offering $100 million (or $115 million if the underwriters exercise their over-allotment option in full) will be held in the trust account. If we do not complete our initial business combination within 24 months from the closing of this offering, the private placement units (and the underlying securities) will expire worthless. The private placement units are subject to the transfer restrictions described below.</w:t>
      </w:r>
    </w:p>
    <w:p>
      <w:pPr>
        <w:spacing w:after="0" w:line="113"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Our sponsor and our executive officers and directors are deemed to be our “promoters” as such term is defined under the federal securities laws.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Transfers of Founder Shares and Private Placement Units</w:t>
      </w:r>
    </w:p>
    <w:p>
      <w:pPr>
        <w:spacing w:after="0" w:line="162" w:lineRule="exact"/>
        <w:rPr>
          <w:sz w:val="20"/>
          <w:szCs w:val="20"/>
          <w:color w:val="auto"/>
        </w:rPr>
      </w:pPr>
    </w:p>
    <w:p>
      <w:pPr>
        <w:ind w:left="1260" w:right="719" w:firstLine="360"/>
        <w:spacing w:after="0" w:line="236" w:lineRule="auto"/>
        <w:rPr>
          <w:sz w:val="20"/>
          <w:szCs w:val="20"/>
          <w:color w:val="auto"/>
        </w:rPr>
      </w:pPr>
      <w:r>
        <w:rPr>
          <w:rFonts w:ascii="Times New Roman" w:cs="Times New Roman" w:eastAsia="Times New Roman" w:hAnsi="Times New Roman"/>
          <w:sz w:val="18"/>
          <w:szCs w:val="18"/>
          <w:color w:val="auto"/>
        </w:rPr>
        <w:t>The founder shares, private placement units, private placement shares, private placement warrants and any Class A common stock issued upon conversion or exercise thereof are each subject to transfer restrictions pursuant to lock-up provisions in the agreement entered into by our sponsor and management team. Those lock-up provisions provide that such securities are not transferable or salable (i) in the case of the founder shares, until the earlier of (A) one year after the completion of our initial business combination or earlier if, subsequent to our initial business combination, the closing price of the Class A common stock equals or exceeds $12.00 per share (as adjusted for share splits, share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share exchange or other similar transaction that results in all of our stockholders having the right to exchange their Class A common stock for cash, securities or other property and (ii) in the case of the private placement units, the private placement warrants and any Class A common stock issuable upon conversion or exercise thereof, until</w:t>
      </w:r>
    </w:p>
    <w:p>
      <w:pPr>
        <w:spacing w:after="0" w:line="7" w:lineRule="exact"/>
        <w:rPr>
          <w:sz w:val="20"/>
          <w:szCs w:val="20"/>
          <w:color w:val="auto"/>
        </w:rPr>
      </w:pPr>
    </w:p>
    <w:p>
      <w:pPr>
        <w:ind w:left="1260" w:right="699"/>
        <w:spacing w:after="0" w:line="239" w:lineRule="auto"/>
        <w:rPr>
          <w:sz w:val="20"/>
          <w:szCs w:val="20"/>
          <w:color w:val="auto"/>
        </w:rPr>
      </w:pPr>
      <w:r>
        <w:rPr>
          <w:rFonts w:ascii="Times New Roman" w:cs="Times New Roman" w:eastAsia="Times New Roman" w:hAnsi="Times New Roman"/>
          <w:sz w:val="18"/>
          <w:szCs w:val="18"/>
          <w:color w:val="auto"/>
        </w:rPr>
        <w:t>30 days after the completion of our initial business combination except in each case (a) to our officers or directors, any affiliate or family member of any of our officers or directors, any affiliate of our sponsor or to any member</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3" w:lineRule="auto"/>
        <w:rPr>
          <w:sz w:val="20"/>
          <w:szCs w:val="20"/>
          <w:color w:val="auto"/>
        </w:rPr>
      </w:pPr>
      <w:r>
        <w:rPr>
          <w:rFonts w:ascii="Times New Roman" w:cs="Times New Roman" w:eastAsia="Times New Roman" w:hAnsi="Times New Roman"/>
          <w:sz w:val="18"/>
          <w:szCs w:val="18"/>
          <w:color w:val="auto"/>
        </w:rPr>
        <w:t>of the sponsor or any of their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 (f) by virtue of the laws of the State of Delaware or our Sponsor’s limited liability company agreement upon dissolution of our sponsor,</w:t>
      </w:r>
    </w:p>
    <w:p>
      <w:pPr>
        <w:spacing w:after="0" w:line="1" w:lineRule="exact"/>
        <w:rPr>
          <w:sz w:val="20"/>
          <w:szCs w:val="20"/>
          <w:color w:val="auto"/>
        </w:rPr>
      </w:pPr>
    </w:p>
    <w:p>
      <w:pPr>
        <w:ind w:left="1260" w:right="899" w:firstLine="2"/>
        <w:spacing w:after="0" w:line="252" w:lineRule="auto"/>
        <w:tabs>
          <w:tab w:leader="none" w:pos="15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our liquidation prior to our consummation of our initial business combination; or (h) in the event that, subsequent to our consummation of an initial business combination, we complete a liquidation, merger, share exchange or other similar transaction which results in all of our stockholders having the right to exchange their Class A common stock for cash, securities or other property; provided, however, that in the case of clauses (a) through (f) these permitted transferees must enter into a written agreement agreeing to be bound by these transfer restrictions and the other restrictions contained in the letter agreements.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The holders of the founder shares (and any shares of Class A common stock issuable upon conversion of the founder shares), private placement units, private placement shares, private placement warrants (and any shares of Class A common stock issuable upon the exercise of the private placement warrants), and securities that may be issued upon conversion of working capital loans are entitled to registration rights pursuant to a registration rights agreement, requiring us to register such securities and any other securities of the company acquired by them prior to the consummation of our initial business combination for resale. Pursuant to the registration rights agreement and assuming the underwriters exercise their over-allotment option in full and $1.5 million of working capital loans are converted into private placement units, we will be obligated to register up to 3,707,500 shares of Class A common stock and 185,000 warrants. The number of shares of Class A common stock includes (i) 2,875,000 shares of Class A common stock to be issued upon conversion of the founder shares, (ii) 405,000 shares of Class A common stock underlying the private placement units, (iii) 150,000 shares of Class A common stock underlying the private placement units issued upon conversion of working capital loans, (iv) 202,500 shares of Class A common stock issuable upon the exercise of the private placement warrants underlying the private placement units and (v) 75,000 shares of Class A common stock issuable upon the exercise of the private placement warrants issued upon conversion of working capital loans. The number of warrants includes 135,000 private placement warrants and 50,000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48"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On June 10, 2020, our sponsor purchased an aggregate of 2,875,000 founder shares in exchange for a capital contribution of $25,000, or approximately $0.009 per share. In June 2020, our sponsor transferred 30,000 founder shares to each of David Colpman, Antony Loebel and Robert Taub, resulting in our sponsor holding 2,785,000 founder shares.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excluding the private placement shares underlying the private placement units. Up to 375,000 of the founder shares will be forfeited depending on the extent to which the underwriters’ over-allotment is exercised.</w:t>
      </w:r>
    </w:p>
    <w:p>
      <w:pPr>
        <w:spacing w:after="0" w:line="124"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Our sponsor has committed, pursuant to a written agreement, to purchase an aggregate of 375,000 private placement units (or 405,000 warrants if the underwriters’ over-allotment option is exercised in full), at a price of $10.00 per unit, or $3,750,000 in the aggregate (or $4,050,000 if the underwriters’ over-allotment option is exercised in full), in a private placement that will close simultaneously with the closing of this offering. The private placement units will be identical to the units sold in this offering except that the underlying private placement warrants, so long as they are held by our sponsor or its permitted transferees,</w:t>
      </w:r>
    </w:p>
    <w:p>
      <w:pPr>
        <w:spacing w:after="0" w:line="3" w:lineRule="exact"/>
        <w:rPr>
          <w:sz w:val="20"/>
          <w:szCs w:val="20"/>
          <w:color w:val="auto"/>
        </w:rPr>
      </w:pPr>
    </w:p>
    <w:p>
      <w:pPr>
        <w:ind w:left="1260" w:right="699" w:firstLine="2"/>
        <w:spacing w:after="0"/>
        <w:tabs>
          <w:tab w:leader="none" w:pos="14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redeemable by us, (ii) may not (including the Class A common stock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 The private placement units (including the private placement shares, private placement warrants and the shares of Class A common stock issuable upon exercise thereof) may not, subject to certain limited exceptions, be transferred, assigned or sold by the holder</w:t>
      </w:r>
    </w:p>
    <w:p>
      <w:pPr>
        <w:spacing w:after="0" w:line="304"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As more fully discussed in the section of this prospectus 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business combination opportunity to such entity. Our officers and directors currently have certain relevant fiduciary duties or contractual obligations that may take priority over their duties to us. We may pursue an affiliated joint acquisition opportunity with one or more affiliates of HighCape and/or one or more investors in HighCape or one of its affiliates, to which an officer or director has a fiduciary or contractual obligation. Any such entity may co-invest with us in the target business at the time of our initial business combination, or we could raise additional proceeds to complete the acquisition by issuing to such entity a class of equity or equity-linked securities.</w:t>
      </w:r>
    </w:p>
    <w:p>
      <w:pPr>
        <w:spacing w:after="0" w:line="293"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Commencing on the date of this prospectus, we will reimburse our sponsor, for office space, secretarial and administrative services provided to members of our management team in an amount not to exceed $10,000 per month. Upon completion of our initial business combination or our liquidation, we will cease paying these monthly fees.</w:t>
      </w:r>
    </w:p>
    <w:p>
      <w:pPr>
        <w:spacing w:after="0" w:line="112"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No compensation of any kind, including finder’s and consulting fees, will be paid by the company to our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1"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95"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w:t>
      </w:r>
    </w:p>
    <w:p>
      <w:pPr>
        <w:sectPr>
          <w:pgSz w:w="11900" w:h="16838" w:orient="portrait"/>
          <w:cols w:equalWidth="0" w:num="1">
            <w:col w:w="10139"/>
          </w:cols>
          <w:pgMar w:left="320" w:top="114"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38" w:lineRule="auto"/>
        <w:rPr>
          <w:sz w:val="20"/>
          <w:szCs w:val="20"/>
          <w:color w:val="auto"/>
        </w:rPr>
      </w:pPr>
      <w:r>
        <w:rPr>
          <w:rFonts w:ascii="Times New Roman" w:cs="Times New Roman" w:eastAsia="Times New Roman" w:hAnsi="Times New Roman"/>
          <w:sz w:val="18"/>
          <w:szCs w:val="18"/>
          <w:color w:val="auto"/>
        </w:rPr>
        <w:t>does not close, we may use a portion of the working capital held outside the trust account to repay such loaned amounts but no proceeds from our trust account would be used for such repayment. Up to $1,500,000 of such loans may be convertible into private placement-equivalent units of the post business combination entity at a price of $10.00 per unit at the option of the lender. The units would be identical to the private placement units.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10"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Any of the foregoing payments to an affiliate of our sponsor, repayments of loans from our sponsor or repayments of working capital loans prior to our initial business combination will be made using funds held outside the trust account and may be made from interest earned on the trust account and released to us to pay our taxes.</w:t>
      </w:r>
    </w:p>
    <w:p>
      <w:pPr>
        <w:spacing w:after="0" w:line="113"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proxy solicitation or tender offer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17" w:lineRule="exact"/>
        <w:rPr>
          <w:sz w:val="20"/>
          <w:szCs w:val="20"/>
          <w:color w:val="auto"/>
        </w:rPr>
      </w:pPr>
    </w:p>
    <w:p>
      <w:pPr>
        <w:ind w:left="1260" w:right="1039" w:firstLine="360"/>
        <w:spacing w:after="0" w:line="241" w:lineRule="auto"/>
        <w:rPr>
          <w:sz w:val="20"/>
          <w:szCs w:val="20"/>
          <w:color w:val="auto"/>
        </w:rPr>
      </w:pPr>
      <w:r>
        <w:rPr>
          <w:rFonts w:ascii="Times New Roman" w:cs="Times New Roman" w:eastAsia="Times New Roman" w:hAnsi="Times New Roman"/>
          <w:sz w:val="18"/>
          <w:szCs w:val="18"/>
          <w:color w:val="auto"/>
        </w:rPr>
        <w:t>Deerfield Management has indicated that one or more Deerfield Funds managed by Deerfield Management and its affiliates has an interest in purchasing 1,000,000 units in this offering at the public offering price. However, because indications of interest are not binding agreements or commitments to purchase, the Deerfield Funds may decide not to purchase any units in this offering. In addition, the underwriters could determine to sell fewer or not to sell any units to the Deerfield Funds. The Deerfield Funds are also investing in our sponsor.</w:t>
      </w:r>
    </w:p>
    <w:p>
      <w:pPr>
        <w:spacing w:after="0" w:line="103" w:lineRule="exact"/>
        <w:rPr>
          <w:sz w:val="20"/>
          <w:szCs w:val="20"/>
          <w:color w:val="auto"/>
        </w:rPr>
      </w:pPr>
    </w:p>
    <w:p>
      <w:pPr>
        <w:jc w:val="both"/>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a registration rights agreement with respect to the founder shares and private placement units, which is described under the heading “Principal Stockholders — Registration Rights.”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for Approval of Related Party Transactions</w:t>
      </w:r>
    </w:p>
    <w:p>
      <w:pPr>
        <w:spacing w:after="0" w:line="162" w:lineRule="exact"/>
        <w:rPr>
          <w:sz w:val="20"/>
          <w:szCs w:val="20"/>
          <w:color w:val="auto"/>
        </w:rPr>
      </w:pPr>
    </w:p>
    <w:p>
      <w:pPr>
        <w:ind w:left="1260" w:right="679" w:firstLine="360"/>
        <w:spacing w:after="0" w:line="236" w:lineRule="auto"/>
        <w:rPr>
          <w:sz w:val="20"/>
          <w:szCs w:val="20"/>
          <w:color w:val="auto"/>
        </w:rPr>
      </w:pPr>
      <w:r>
        <w:rPr>
          <w:rFonts w:ascii="Times New Roman" w:cs="Times New Roman" w:eastAsia="Times New Roman" w:hAnsi="Times New Roman"/>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w:t>
      </w:r>
    </w:p>
    <w:p>
      <w:pPr>
        <w:spacing w:after="0" w:line="6" w:lineRule="exact"/>
        <w:rPr>
          <w:sz w:val="20"/>
          <w:szCs w:val="20"/>
          <w:color w:val="auto"/>
        </w:rPr>
      </w:pPr>
    </w:p>
    <w:p>
      <w:pPr>
        <w:ind w:left="1260" w:right="719" w:firstLine="2"/>
        <w:spacing w:after="0" w:line="236" w:lineRule="auto"/>
        <w:tabs>
          <w:tab w:leader="none" w:pos="15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48" w:lineRule="exact"/>
        <w:rPr>
          <w:sz w:val="20"/>
          <w:szCs w:val="20"/>
          <w:color w:val="auto"/>
        </w:rPr>
      </w:pPr>
    </w:p>
    <w:p>
      <w:pPr>
        <w:ind w:left="1260" w:right="779" w:firstLine="360"/>
        <w:spacing w:after="0" w:line="239" w:lineRule="auto"/>
        <w:rPr>
          <w:sz w:val="20"/>
          <w:szCs w:val="20"/>
          <w:color w:val="auto"/>
        </w:rPr>
      </w:pPr>
      <w:r>
        <w:rPr>
          <w:rFonts w:ascii="Times New Roman" w:cs="Times New Roman" w:eastAsia="Times New Roman" w:hAnsi="Times New Roman"/>
          <w:sz w:val="18"/>
          <w:szCs w:val="18"/>
          <w:color w:val="auto"/>
        </w:rPr>
        <w:t>We are a Delaware corporation and our affairs are governed by our amended and restated certificate of incorporation and the DGCL. Pursuant to our amended and restated certificate of incorporation which will be adopted prior to the consummation of this offering, we will be authorized to issue 400,000,000 shares of common stock, $0.0001 par value each, including 380,000,000 shares of Class A common stock and 20,000,000 shares of Class B common stock, as well as 1,000,000 shares of preferred stock, $0.0001 par value each.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Public Units</w:t>
      </w:r>
    </w:p>
    <w:p>
      <w:pPr>
        <w:spacing w:after="0" w:line="16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in this prospectus. Pursuant to the warrant agreement, a warrant holder may exercise its warrants only for a whole number of the shares of Company’s Class A common stock. This means only a whole warrant may be exercised at any given time by a warrant holder. For example, if a warrant holder holds one-third or two-thirds of one warrant to purchase a share of Class A common stock, such warrant will not be exercisable. If a warrant holder holds three- thirds of one warrant, such whole warrant will be exercisable for one share of Class A common stock at a price of $11.50 per share. The Class A common stock and warrants comprising the units are expected to begin separate trading on the 52nd day following the date of this prospectus unless Cantor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Class A common stock and warrants. No fractional warrants will be issued upon separation of the units and only whole warrants will trade. Accordingly, unless you purchase at least three units, you will not be able to receive or trade a whole warrant.</w:t>
      </w:r>
    </w:p>
    <w:p>
      <w:pPr>
        <w:spacing w:after="0" w:line="275"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no event will the Class A common stock and warrants be traded separately until we have filed with the SEC a Current Report on Form 8-K which includes an audited balance sheet reflecting our receipt of the gross proceeds at closing of this offering. We will file a Current Report on Form 8- K which includes this audited balance sheet promptly after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Private Placement Units</w:t>
      </w:r>
    </w:p>
    <w:p>
      <w:pPr>
        <w:spacing w:after="0" w:line="148"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The private placement units (including the private placement shares, the private placement warrants and the Class A common stock issuable upon exercise of such warrants) will not be transferable, assignable or salable until 30 days after the completion of our initial business combination (except, among other limited exceptions as described under “Principal Stockholders — Restrictions on Transfers of Founder Shares and Private Placement Units,” to our officers and directors and other persons or entities affiliated with our sponsor) and they will not be redeemable by us so long as they are held by members of our sponsor or its permitted transferees. Otherwise, the private placement units are identical to the units sold in this offering except that the private placement warrants, so long as they are held by our sponsor or its permitted transferees, (i) will not be redeemable by us, (ii) may not (including the Class A common stock issuable upon exercise of these warrants), subject to certain limited exceptions, be transferred, assigned or sold by the holders until 30 days after the completion of our initial business combination, (iii) may be exercised by the holders on a cashless basis, and (iv) will be entitled to registration rights.</w:t>
      </w:r>
    </w:p>
    <w:p>
      <w:pPr>
        <w:spacing w:after="0" w:line="126" w:lineRule="exact"/>
        <w:rPr>
          <w:sz w:val="20"/>
          <w:szCs w:val="20"/>
          <w:color w:val="auto"/>
        </w:rPr>
      </w:pPr>
    </w:p>
    <w:p>
      <w:pPr>
        <w:jc w:val="both"/>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our sponsor or an affiliate of our sponsor or certain of our officers and directors may, but are not obligated to,</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7" w:lineRule="auto"/>
        <w:rPr>
          <w:sz w:val="20"/>
          <w:szCs w:val="20"/>
          <w:color w:val="auto"/>
        </w:rPr>
      </w:pPr>
      <w:r>
        <w:rPr>
          <w:rFonts w:ascii="Times New Roman" w:cs="Times New Roman" w:eastAsia="Times New Roman" w:hAnsi="Times New Roman"/>
          <w:sz w:val="18"/>
          <w:szCs w:val="18"/>
          <w:color w:val="auto"/>
        </w:rPr>
        <w:t>loan us funds as may be required. Up to $1,500,000 of such working capital loans may be convertible into private placement-equivalent units at a price of $10.00 per unit at the option of the lender. Such units would be identical to the private placement units, including as to exercise price, exercisability and exercise period of the underlying warrants. The terms of such working capital loans by our sponsor or its affiliates, or our officers and directors, if any, have not been determined and no written agreements exist with respect to such loans.</w:t>
      </w:r>
    </w:p>
    <w:p>
      <w:pPr>
        <w:spacing w:after="0" w:line="323"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Our sponsor has agreed not to transfer, assign or sell any of the private placement units (including the private placement warrants and the Class A common stock issuable upon exercise of any of the private placement warrants)until the date that is 30 days after the date we complete our initial business combination, except that, among other limited exceptions as described under the section of this prospectus entitled “Principal Stockholders — Restrictions on Transfers of Founder Shares and Private Placement Units” made to our officers and directors and other persons or entities affiliated with our sponsor.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Prior to the date of this prospectus, there were 2,875,000 shares of Class B common stock outstanding, all of which were held of record by our initial stockholders, so that our initial stockholders will own 20% of our issued and outstanding shares after this offering (assuming our initial stockholders do not purchase any units in this offering and excluding the private placement shares underlying the private</w:t>
      </w:r>
    </w:p>
    <w:p>
      <w:pPr>
        <w:spacing w:after="0" w:line="3" w:lineRule="exact"/>
        <w:rPr>
          <w:sz w:val="20"/>
          <w:szCs w:val="20"/>
          <w:color w:val="auto"/>
        </w:rPr>
      </w:pPr>
    </w:p>
    <w:p>
      <w:pPr>
        <w:ind w:left="1260" w:right="679"/>
        <w:spacing w:after="0" w:line="253" w:lineRule="auto"/>
        <w:rPr>
          <w:sz w:val="20"/>
          <w:szCs w:val="20"/>
          <w:color w:val="auto"/>
        </w:rPr>
      </w:pPr>
      <w:r>
        <w:rPr>
          <w:rFonts w:ascii="Times New Roman" w:cs="Times New Roman" w:eastAsia="Times New Roman" w:hAnsi="Times New Roman"/>
          <w:sz w:val="18"/>
          <w:szCs w:val="18"/>
          <w:color w:val="auto"/>
        </w:rPr>
        <w:t>placement units). Up to 375,000 of the founder shares will be forfeited by our initial stockholders depending on the extent to which the underwriters’ over-allotment is exercised. Upon the closing of this offering, 12,500,000 of our shares of common stock will be outstanding (assuming no exercise of the underwriters’ over-allotment option and the corresponding forfeiture of 375,000 founder shares by our initial stockholders) including:</w:t>
      </w:r>
    </w:p>
    <w:p>
      <w:pPr>
        <w:spacing w:after="0" w:line="297" w:lineRule="exact"/>
        <w:rPr>
          <w:sz w:val="20"/>
          <w:szCs w:val="20"/>
          <w:color w:val="auto"/>
        </w:rPr>
      </w:pPr>
    </w:p>
    <w:p>
      <w:pPr>
        <w:ind w:left="1800" w:hanging="178"/>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underlying units issued as part of this offering; and</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 shares of Class B common stock held by our initial stockholders.</w:t>
      </w:r>
    </w:p>
    <w:p>
      <w:pPr>
        <w:spacing w:after="0" w:line="144" w:lineRule="exact"/>
        <w:rPr>
          <w:sz w:val="20"/>
          <w:szCs w:val="20"/>
          <w:color w:val="auto"/>
        </w:rPr>
      </w:pPr>
    </w:p>
    <w:p>
      <w:pPr>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 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24" w:lineRule="exact"/>
        <w:rPr>
          <w:sz w:val="20"/>
          <w:szCs w:val="20"/>
          <w:color w:val="auto"/>
        </w:rPr>
      </w:pPr>
    </w:p>
    <w:p>
      <w:pPr>
        <w:ind w:left="1260" w:right="759" w:firstLine="360"/>
        <w:spacing w:after="0" w:line="255" w:lineRule="auto"/>
        <w:rPr>
          <w:sz w:val="20"/>
          <w:szCs w:val="20"/>
          <w:color w:val="auto"/>
        </w:rPr>
      </w:pPr>
      <w:r>
        <w:rPr>
          <w:rFonts w:ascii="Times New Roman" w:cs="Times New Roman" w:eastAsia="Times New Roman" w:hAnsi="Times New Roman"/>
          <w:sz w:val="18"/>
          <w:szCs w:val="18"/>
          <w:color w:val="auto"/>
        </w:rPr>
        <w:t>Because our amended and restated certificate of incorporation authorizes the issuance of up to 380,000,000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337"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Nasdaq corporate governance requirements, we are not required to hold an annual meeting until no later than one year after our first full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w:t>
      </w:r>
    </w:p>
    <w:p>
      <w:pPr>
        <w:sectPr>
          <w:pgSz w:w="11900" w:h="16838" w:orient="portrait"/>
          <w:cols w:equalWidth="0" w:num="1">
            <w:col w:w="10139"/>
          </w:cols>
          <w:pgMar w:left="320" w:top="114"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66" w:lineRule="auto"/>
        <w:rPr>
          <w:sz w:val="20"/>
          <w:szCs w:val="20"/>
          <w:color w:val="auto"/>
        </w:rPr>
      </w:pPr>
      <w:r>
        <w:rPr>
          <w:rFonts w:ascii="Times New Roman" w:cs="Times New Roman" w:eastAsia="Times New Roman" w:hAnsi="Times New Roman"/>
          <w:sz w:val="18"/>
          <w:szCs w:val="18"/>
          <w:color w:val="auto"/>
        </w:rPr>
        <w:t>hold an annual meeting prior to the consummation of our initial business combination, they may attempt to force us to hold one by submitting an application to the Delaware Court of Chancery in accordance with Section 211(c) of the DGCL.</w:t>
      </w:r>
    </w:p>
    <w:p>
      <w:pPr>
        <w:spacing w:after="0" w:line="95" w:lineRule="exact"/>
        <w:rPr>
          <w:sz w:val="20"/>
          <w:szCs w:val="20"/>
          <w:color w:val="auto"/>
        </w:rPr>
      </w:pPr>
    </w:p>
    <w:p>
      <w:pPr>
        <w:ind w:left="1260" w:right="679" w:firstLine="360"/>
        <w:spacing w:after="0" w:line="251" w:lineRule="auto"/>
        <w:rPr>
          <w:sz w:val="20"/>
          <w:szCs w:val="20"/>
          <w:color w:val="auto"/>
        </w:rPr>
      </w:pPr>
      <w:r>
        <w:rPr>
          <w:rFonts w:ascii="Times New Roman" w:cs="Times New Roman" w:eastAsia="Times New Roman" w:hAnsi="Times New Roman"/>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(net of permitted withdrawals),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initial business combination. For purposes of seeking approval of the majority of our outstanding shares of common stock, non-votes will have no effect on the approval of our initial business combination once a quorum is obtained.</w:t>
      </w:r>
    </w:p>
    <w:p>
      <w:pPr>
        <w:spacing w:after="0" w:line="350"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20"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If we seek stockholder approval in connection with our initial business combination, our initial stockholders, sponsor, officers and directors have agreed to vote any founder shares they hold and any public shares purchased during or after this offering in favor of our initial business combination. As a result, in addition to our initial stockholders’ founder shares and private placement shares, we would need 3,562,501, or 35.6%, of the 10,000,000 public shares sold in this offering to be voted in favor of an initial business combination in order to have our initial business combination approved (assuming all outstanding</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25" w:name="page126"/>
    <w:bookmarkEnd w:id="12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59"/>
        <w:spacing w:after="0" w:line="266" w:lineRule="auto"/>
        <w:rPr>
          <w:sz w:val="20"/>
          <w:szCs w:val="20"/>
          <w:color w:val="auto"/>
        </w:rPr>
      </w:pPr>
      <w:r>
        <w:rPr>
          <w:rFonts w:ascii="Times New Roman" w:cs="Times New Roman" w:eastAsia="Times New Roman" w:hAnsi="Times New Roman"/>
          <w:sz w:val="18"/>
          <w:szCs w:val="18"/>
          <w:color w:val="auto"/>
        </w:rPr>
        <w:t>shares are voted and the over-allotment option is not exercised) . Additionally, each public stockholder may elect to redeem their public shares irrespective of whether they vote for or against the proposed transaction.</w:t>
      </w:r>
    </w:p>
    <w:p>
      <w:pPr>
        <w:spacing w:after="0" w:line="81"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Pursuant to our amended and restated certificate of incorporation, if we do not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this offering.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279"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(net of permitted withdrawals), divided by the number of then outstanding public shares, upon the completion of our initial business combination, subject to the limitations described herein.</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62" w:lineRule="exact"/>
        <w:rPr>
          <w:sz w:val="20"/>
          <w:szCs w:val="20"/>
          <w:color w:val="auto"/>
        </w:rPr>
      </w:pPr>
    </w:p>
    <w:p>
      <w:pPr>
        <w:ind w:left="1260" w:right="699" w:firstLine="360"/>
        <w:spacing w:after="0" w:line="236" w:lineRule="auto"/>
        <w:rPr>
          <w:sz w:val="20"/>
          <w:szCs w:val="20"/>
          <w:color w:val="auto"/>
        </w:rPr>
      </w:pPr>
      <w:r>
        <w:rPr>
          <w:rFonts w:ascii="Times New Roman" w:cs="Times New Roman" w:eastAsia="Times New Roman" w:hAnsi="Times New Roman"/>
          <w:sz w:val="18"/>
          <w:szCs w:val="18"/>
          <w:color w:val="auto"/>
        </w:rPr>
        <w:t>The founder shares are designated as Class B common stock and, except as described below, are identical to the shares of Class A common stock included in the units being sold in this offering, and holders of founder shares have the same stockholder rights as public stockholders, except that (i) the founder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and public shares they hold in connection with the completion of our initial business combination, (B) to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such time period, and</w:t>
      </w:r>
    </w:p>
    <w:p>
      <w:pPr>
        <w:spacing w:after="0" w:line="3" w:lineRule="exact"/>
        <w:rPr>
          <w:sz w:val="20"/>
          <w:szCs w:val="20"/>
          <w:color w:val="auto"/>
        </w:rPr>
      </w:pPr>
    </w:p>
    <w:p>
      <w:pPr>
        <w:ind w:left="1260" w:right="679" w:firstLine="2"/>
        <w:spacing w:after="0" w:line="237" w:lineRule="auto"/>
        <w:tabs>
          <w:tab w:leader="none" w:pos="15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 agreed to vote their founder shares and any public shares purchased during or after this offering in favor of our initial business combination.</w:t>
      </w:r>
    </w:p>
    <w:p>
      <w:pPr>
        <w:spacing w:after="0" w:line="104"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founder shares will automatically convert into shares of Class A common stock concurrently with or immediately following the consummation of our initial business combination on a one-for-one basis,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and excluding the private placement shares underlying the private placement warrants),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 -linked securities or rights exercisable for or convertible into shares of Class A common stock issued, or to be issued, to any seller in the initial business combination and any private placement units issued to our sponsor, officers or directors upon conversion of working capital loans, provided that such conversion of founder shares will never occur on a less than one-for-one basis.</w:t>
      </w:r>
    </w:p>
    <w:p>
      <w:pPr>
        <w:spacing w:after="0" w:line="275"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375,000 founder shares will be forfeited by our initial stockholders depending on the exercise of the over-allotment option.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this offering.</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Public Stockholders’ Warrants</w:t>
      </w:r>
    </w:p>
    <w:p>
      <w:pPr>
        <w:spacing w:after="0" w:line="162"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color w:val="auto"/>
        </w:rPr>
        <w:t>Each whole warrant entitles the registered holder to purchase one share of Class A common stock at a price of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w:t>
      </w: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79"/>
        <w:spacing w:after="0" w:line="245" w:lineRule="auto"/>
        <w:rPr>
          <w:sz w:val="20"/>
          <w:szCs w:val="20"/>
          <w:color w:val="auto"/>
        </w:rPr>
      </w:pPr>
      <w:r>
        <w:rPr>
          <w:rFonts w:ascii="Times New Roman" w:cs="Times New Roman" w:eastAsia="Times New Roman" w:hAnsi="Times New Roman"/>
          <w:sz w:val="18"/>
          <w:szCs w:val="18"/>
          <w:color w:val="auto"/>
        </w:rPr>
        <w:t>holder. No fractional warrants will be issued upon separation of the units and only whole warrants will trade. Accordingly, unless you purchase at least three units, you will not be able to receive or trade a whole warrant. The warrants will expire five years after the completion of our initial business combination, at 5:00 p.m., New York City time, or earlier upon redemption or liquidation.</w:t>
      </w:r>
    </w:p>
    <w:p>
      <w:pPr>
        <w:spacing w:after="0" w:line="100"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our satisfying our obligations described below with respect to registration.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24"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3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Redemption of warrants for cash</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for cash:</w:t>
      </w:r>
    </w:p>
    <w:p>
      <w:pPr>
        <w:spacing w:after="0" w:line="104" w:lineRule="exact"/>
        <w:rPr>
          <w:sz w:val="20"/>
          <w:szCs w:val="20"/>
          <w:color w:val="auto"/>
        </w:rPr>
      </w:pPr>
    </w:p>
    <w:p>
      <w:pPr>
        <w:ind w:left="1800" w:hanging="178"/>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800" w:right="879" w:hanging="178"/>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53" w:lineRule="exact"/>
        <w:rPr>
          <w:rFonts w:ascii="Times New Roman" w:cs="Times New Roman" w:eastAsia="Times New Roman" w:hAnsi="Times New Roman"/>
          <w:sz w:val="18"/>
          <w:szCs w:val="18"/>
          <w:color w:val="auto"/>
        </w:rPr>
      </w:pPr>
    </w:p>
    <w:p>
      <w:pPr>
        <w:ind w:left="1800" w:right="699" w:hanging="178"/>
        <w:spacing w:after="0" w:line="261"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common stock equals or exceeds $18.00 per share (as adjusted for stock splits, stock capitalizations, reorganizations, recapitalizations and the like) for any 20 trading days within a 30-trading day period ending three business days before we send to the notice of redemption to the warrant holders.</w:t>
      </w:r>
    </w:p>
    <w:p>
      <w:pPr>
        <w:spacing w:after="0" w:line="99" w:lineRule="exact"/>
        <w:rPr>
          <w:sz w:val="20"/>
          <w:szCs w:val="20"/>
          <w:color w:val="auto"/>
        </w:rPr>
      </w:pPr>
    </w:p>
    <w:p>
      <w:pPr>
        <w:ind w:left="1260" w:right="1039" w:firstLine="360"/>
        <w:spacing w:after="0" w:line="250" w:lineRule="auto"/>
        <w:rPr>
          <w:sz w:val="20"/>
          <w:szCs w:val="20"/>
          <w:color w:val="auto"/>
        </w:rPr>
      </w:pPr>
      <w:r>
        <w:rPr>
          <w:rFonts w:ascii="Times New Roman" w:cs="Times New Roman" w:eastAsia="Times New Roman" w:hAnsi="Times New Roman"/>
          <w:sz w:val="18"/>
          <w:szCs w:val="18"/>
          <w:color w:val="auto"/>
        </w:rPr>
        <w:t>If and when the warrants become redeemable by us for cash, we may exercise our redemption right even if we are unable to register or qualify the underlying securities for sale under all applicable state securities laws.</w:t>
      </w:r>
    </w:p>
    <w:p>
      <w:pPr>
        <w:spacing w:after="0" w:line="109"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819"/>
        <w:spacing w:after="0" w:line="242" w:lineRule="auto"/>
        <w:rPr>
          <w:sz w:val="20"/>
          <w:szCs w:val="20"/>
          <w:color w:val="auto"/>
        </w:rPr>
      </w:pPr>
      <w:r>
        <w:rPr>
          <w:rFonts w:ascii="Times New Roman" w:cs="Times New Roman" w:eastAsia="Times New Roman" w:hAnsi="Times New Roman"/>
          <w:sz w:val="18"/>
          <w:szCs w:val="18"/>
          <w:color w:val="auto"/>
        </w:rPr>
        <w:t>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stock splits, stock capitalizations, reorganizations, recapitalizations and the like) as well as the $11.50 warrant exercise price after the redemption notice is issued.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4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takes advantage of this option, all holders of warrants would pay the exercise price by surrendering their warrants for that number of shares of Class A common stock equal to the quotient obtained by dividing (x) the product of the number of Class A common stock underlying the warrants, multiplied by the excess of the “fair market value” of our Class A common stock (defined below) over the exercise price of the warrants by (y) the fair market value. The “fair market value” will mean the average closing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257"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117"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share capitalization payable in shares of Class A common stock, or by a split- up of common stock or other similar event, then, on the effective date of such share capitalization, split-up or similar event, the number of shares of Class A common stock issuable on exercise of each warrant will be increased in proportion to such increase in the outstanding shares of common stock. A rights offering to holders of common stock entitling holders to purchase Class A common stock at a price less than the fair market value will be deemed a share capitalization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w:t>
      </w:r>
    </w:p>
    <w:p>
      <w:pPr>
        <w:spacing w:after="0" w:line="3" w:lineRule="exact"/>
        <w:rPr>
          <w:sz w:val="20"/>
          <w:szCs w:val="20"/>
          <w:color w:val="auto"/>
        </w:rPr>
      </w:pPr>
    </w:p>
    <w:p>
      <w:pPr>
        <w:ind w:left="1260" w:right="679" w:firstLine="2"/>
        <w:spacing w:after="0" w:line="236" w:lineRule="auto"/>
        <w:tabs>
          <w:tab w:leader="none" w:pos="154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of (x) the price per share of Class A common stock paid in such rights offering and (y) the fair market value. For these purposes (i) if the rights offering is for securities convertible into or exercisable for shares of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shares of Class A common stock as reported during the ten (10) trading day period ending on the trading day prior to the first date on which the Class A common stock trades on the applicable exchange or in the applicable market, regular way, without the right to receive such rights.</w:t>
      </w:r>
    </w:p>
    <w:p>
      <w:pPr>
        <w:spacing w:after="0" w:line="107"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a dividend or make a distribution in cash, securities or other assets to the holders of Class A common stock on account</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39" w:lineRule="auto"/>
        <w:rPr>
          <w:sz w:val="20"/>
          <w:szCs w:val="20"/>
          <w:color w:val="auto"/>
        </w:rPr>
      </w:pPr>
      <w:r>
        <w:rPr>
          <w:rFonts w:ascii="Times New Roman" w:cs="Times New Roman" w:eastAsia="Times New Roman" w:hAnsi="Times New Roman"/>
          <w:sz w:val="18"/>
          <w:szCs w:val="18"/>
          <w:color w:val="auto"/>
        </w:rPr>
        <w:t>of such Class A common stock (or other securities into which the warrants are convertible), other than (a) as described above, (b) certain ordinary cash dividends, (c) to satisfy the redemption rights of the holders of Class A common stock in connection with a proposed initial business combination or extension of the time period in which we must complete an initial business combination, or (d)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06" w:lineRule="exact"/>
        <w:rPr>
          <w:sz w:val="20"/>
          <w:szCs w:val="20"/>
          <w:color w:val="auto"/>
        </w:rPr>
      </w:pPr>
    </w:p>
    <w:p>
      <w:pPr>
        <w:ind w:left="1260" w:right="719" w:firstLine="360"/>
        <w:spacing w:after="0" w:line="242"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 of Class A common stock.</w:t>
      </w:r>
    </w:p>
    <w:p>
      <w:pPr>
        <w:spacing w:after="0" w:line="117"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16"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In addition, if (x) we issue additional shares of Class A common stock or equity-linked securities for capital raising purposes in connection with the closing of our initial business combination, at an issue price or effective issue price of less than $9.20 per share of Class A common stock (with such issue price or effective issue price to be determined in good faith by our board of directors and, in the case of any such issuance to our initial stockholders or their affiliates, without taking into account any founder shares held by our initial stockholders or such affiliates, as applicable, prior to such issuance), (the “Newly Issued Price”)</w:t>
      </w:r>
    </w:p>
    <w:p>
      <w:pPr>
        <w:spacing w:after="0" w:line="3" w:lineRule="exact"/>
        <w:rPr>
          <w:sz w:val="20"/>
          <w:szCs w:val="20"/>
          <w:color w:val="auto"/>
        </w:rPr>
      </w:pPr>
    </w:p>
    <w:p>
      <w:pPr>
        <w:ind w:left="1260" w:right="779" w:firstLine="2"/>
        <w:spacing w:after="0" w:line="236" w:lineRule="auto"/>
        <w:tabs>
          <w:tab w:leader="none" w:pos="152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for cash” will be adjusted (to the nearest cent) to be equal to 180% of the higher of the Market Value and the Newly Issued Price.</w:t>
      </w:r>
    </w:p>
    <w:p>
      <w:pPr>
        <w:spacing w:after="0" w:line="106"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w:t>
      </w:r>
    </w:p>
    <w:p>
      <w:pPr>
        <w:spacing w:after="0" w:line="200" w:lineRule="exact"/>
        <w:rPr>
          <w:sz w:val="20"/>
          <w:szCs w:val="20"/>
          <w:color w:val="auto"/>
        </w:r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50" w:lineRule="auto"/>
        <w:rPr>
          <w:sz w:val="20"/>
          <w:szCs w:val="20"/>
          <w:color w:val="auto"/>
        </w:rPr>
      </w:pPr>
      <w:r>
        <w:rPr>
          <w:rFonts w:ascii="Times New Roman" w:cs="Times New Roman" w:eastAsia="Times New Roman" w:hAnsi="Times New Roman"/>
          <w:sz w:val="18"/>
          <w:szCs w:val="18"/>
          <w:color w:val="auto"/>
        </w:rPr>
        <w:t>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96" w:lineRule="exact"/>
        <w:rPr>
          <w:sz w:val="20"/>
          <w:szCs w:val="20"/>
          <w:color w:val="auto"/>
        </w:rPr>
      </w:pPr>
    </w:p>
    <w:p>
      <w:pPr>
        <w:jc w:val="both"/>
        <w:ind w:left="1260" w:right="759" w:firstLine="360"/>
        <w:spacing w:after="0" w:line="239"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 and the warrant agreement set forth in this prospectus,</w:t>
      </w:r>
    </w:p>
    <w:p>
      <w:pPr>
        <w:spacing w:after="0" w:line="2" w:lineRule="exact"/>
        <w:rPr>
          <w:sz w:val="20"/>
          <w:szCs w:val="20"/>
          <w:color w:val="auto"/>
        </w:rPr>
      </w:pPr>
    </w:p>
    <w:p>
      <w:pPr>
        <w:ind w:left="1260" w:right="679" w:firstLine="2"/>
        <w:spacing w:after="0" w:line="236" w:lineRule="auto"/>
        <w:tabs>
          <w:tab w:leader="none" w:pos="154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provisions relating to cash dividends on shares of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 outstanding public warrants is required to make any change that adversely affects the interests of the registered holders of the public warrants, and, solely with respect to any amendment to terms of the private placement warrants, 50%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118" w:lineRule="exact"/>
        <w:rPr>
          <w:sz w:val="20"/>
          <w:szCs w:val="20"/>
          <w:color w:val="auto"/>
        </w:rPr>
      </w:pPr>
    </w:p>
    <w:p>
      <w:pPr>
        <w:ind w:left="1260" w:right="739" w:firstLine="360"/>
        <w:spacing w:after="0" w:line="239"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120"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9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62"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as described under “Principal Stockholders — Transfers of Founder Shares and Private Placement Units,” to our officers and directors and other persons or entities affiliated with the initial purchasers of the private placement warrants) and they will not be redeemable by us for cash so long as they are held by the initial stockholders or their permitted transferees. The initial purchasers, or their permitted transferees, have the option to exercise the private placement warrants on a cashless basis. Except as described in this section, the private placement warrants have terms and provisions that are identical to those of the warrants being sold as part of the units in this offering, including that they may be redeemed for shares of Class A common stock. If the private placement warrants are held by holders other than the initial purchasers or their permitted transferees, the private</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1279"/>
        <w:spacing w:after="0" w:line="266" w:lineRule="auto"/>
        <w:rPr>
          <w:sz w:val="20"/>
          <w:szCs w:val="20"/>
          <w:color w:val="auto"/>
        </w:rPr>
      </w:pPr>
      <w:r>
        <w:rPr>
          <w:rFonts w:ascii="Times New Roman" w:cs="Times New Roman" w:eastAsia="Times New Roman" w:hAnsi="Times New Roman"/>
          <w:sz w:val="18"/>
          <w:szCs w:val="18"/>
          <w:color w:val="auto"/>
        </w:rPr>
        <w:t>placement warrants will be redeemable by us and exercisable by the holders on the same basis as the warrants included in the units being sold in this offering.</w:t>
      </w:r>
    </w:p>
    <w:p>
      <w:pPr>
        <w:spacing w:after="0" w:line="81"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“fair market value” of our Class A common stock (defined below) over the exercise price of the warrants by (y) the fair market value. The “fair market value” will mean the average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the initial purchasers or their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and sell the shares of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275" w:lineRule="exact"/>
        <w:rPr>
          <w:sz w:val="20"/>
          <w:szCs w:val="20"/>
          <w:color w:val="auto"/>
        </w:rPr>
      </w:pPr>
    </w:p>
    <w:p>
      <w:pPr>
        <w:jc w:val="both"/>
        <w:ind w:left="1260" w:right="899" w:firstLine="360"/>
        <w:spacing w:after="0" w:line="242"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$1.00 per warrant at the option of the lender. Such warrants would be identical to the private placement warrants.</w:t>
      </w:r>
    </w:p>
    <w:p>
      <w:pPr>
        <w:spacing w:after="0" w:line="117"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Our initial stockholders have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as described under “Principal Stockholders — Transfers of Founder Shares and Private Placement Units,” transfers can be made to our officers and directors and other persons or entities affiliated with the sponsor.</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left="1260" w:right="919" w:firstLine="360"/>
        <w:spacing w:after="0"/>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Further, if we incur any indebtedness, our ability to declare dividends may be limited by restrictive covenants we may agree to in connection therewith.</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62" w:lineRule="exact"/>
        <w:rPr>
          <w:sz w:val="20"/>
          <w:szCs w:val="20"/>
          <w:color w:val="auto"/>
        </w:rPr>
      </w:pPr>
    </w:p>
    <w:p>
      <w:pPr>
        <w:ind w:left="1260" w:right="719" w:firstLine="360"/>
        <w:spacing w:after="0" w:line="238"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148" w:lineRule="exact"/>
        <w:rPr>
          <w:sz w:val="20"/>
          <w:szCs w:val="20"/>
          <w:color w:val="auto"/>
        </w:rPr>
      </w:pPr>
    </w:p>
    <w:p>
      <w:pPr>
        <w:ind w:left="1260" w:right="719" w:firstLine="360"/>
        <w:spacing w:after="0" w:line="239"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65% of our common stock. Our initial stockholders, who will collectively beneficially own 20% of our common stock upon the closing of this offering (assuming they do not purchase any units in this offering and excluding the private placement shares underlying the private placement units),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79" w:lineRule="exact"/>
        <w:rPr>
          <w:sz w:val="20"/>
          <w:szCs w:val="20"/>
          <w:color w:val="auto"/>
        </w:rPr>
      </w:pPr>
    </w:p>
    <w:p>
      <w:pPr>
        <w:ind w:left="1800" w:right="699" w:hanging="178"/>
        <w:spacing w:after="0" w:line="253"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299" w:lineRule="exact"/>
        <w:rPr>
          <w:rFonts w:ascii="Times New Roman" w:cs="Times New Roman" w:eastAsia="Times New Roman" w:hAnsi="Times New Roman"/>
          <w:sz w:val="18"/>
          <w:szCs w:val="18"/>
          <w:color w:val="auto"/>
        </w:rPr>
      </w:pPr>
    </w:p>
    <w:p>
      <w:pPr>
        <w:ind w:left="1800" w:right="679" w:hanging="178"/>
        <w:spacing w:after="0" w:line="257"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24 months from the closing of this offering or (y) amend the foregoing provisions;</w:t>
      </w:r>
    </w:p>
    <w:p>
      <w:pPr>
        <w:spacing w:after="0" w:line="295" w:lineRule="exact"/>
        <w:rPr>
          <w:rFonts w:ascii="Times New Roman" w:cs="Times New Roman" w:eastAsia="Times New Roman" w:hAnsi="Times New Roman"/>
          <w:sz w:val="18"/>
          <w:szCs w:val="18"/>
          <w:color w:val="auto"/>
        </w:rPr>
      </w:pPr>
    </w:p>
    <w:p>
      <w:pPr>
        <w:ind w:left="1800" w:right="799" w:hanging="178"/>
        <w:spacing w:after="0" w:line="257"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an independent accounting firm that such a business combination is fair to our company from a financial point of view;</w:t>
      </w:r>
    </w:p>
    <w:p>
      <w:pPr>
        <w:spacing w:after="0" w:line="295" w:lineRule="exact"/>
        <w:rPr>
          <w:rFonts w:ascii="Times New Roman" w:cs="Times New Roman" w:eastAsia="Times New Roman" w:hAnsi="Times New Roman"/>
          <w:sz w:val="18"/>
          <w:szCs w:val="18"/>
          <w:color w:val="auto"/>
        </w:rPr>
      </w:pPr>
    </w:p>
    <w:p>
      <w:pPr>
        <w:ind w:left="1800" w:right="739" w:hanging="178"/>
        <w:spacing w:after="0" w:line="254"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299" w:lineRule="exact"/>
        <w:rPr>
          <w:rFonts w:ascii="Times New Roman" w:cs="Times New Roman" w:eastAsia="Times New Roman" w:hAnsi="Times New Roman"/>
          <w:sz w:val="18"/>
          <w:szCs w:val="18"/>
          <w:color w:val="auto"/>
        </w:rPr>
      </w:pPr>
    </w:p>
    <w:p>
      <w:pPr>
        <w:ind w:left="1800" w:right="919" w:hanging="178"/>
        <w:spacing w:after="0" w:line="258"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agreement to enter into the initial business combination;</w:t>
      </w:r>
    </w:p>
    <w:p>
      <w:pPr>
        <w:spacing w:after="0" w:line="75" w:lineRule="exact"/>
        <w:rPr>
          <w:rFonts w:ascii="Times New Roman" w:cs="Times New Roman" w:eastAsia="Times New Roman" w:hAnsi="Times New Roman"/>
          <w:sz w:val="18"/>
          <w:szCs w:val="18"/>
          <w:color w:val="auto"/>
        </w:rPr>
      </w:pPr>
    </w:p>
    <w:p>
      <w:pPr>
        <w:ind w:left="1800" w:right="699" w:hanging="178"/>
        <w:spacing w:after="0" w:line="258"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stockholders approve an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we will provide our public stockholders with the opportunity to redeem all or a</w:t>
      </w:r>
    </w:p>
    <w:p>
      <w:pPr>
        <w:sectPr>
          <w:pgSz w:w="11900" w:h="16838" w:orient="portrait"/>
          <w:cols w:equalWidth="0" w:num="1">
            <w:col w:w="10139"/>
          </w:cols>
          <w:pgMar w:left="320" w:top="114"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3" w:name="page134"/>
    <w:bookmarkEnd w:id="13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899"/>
        <w:spacing w:after="0" w:line="245" w:lineRule="auto"/>
        <w:rPr>
          <w:sz w:val="20"/>
          <w:szCs w:val="20"/>
          <w:color w:val="auto"/>
        </w:rPr>
      </w:pPr>
      <w:r>
        <w:rPr>
          <w:rFonts w:ascii="Times New Roman" w:cs="Times New Roman" w:eastAsia="Times New Roman" w:hAnsi="Times New Roman"/>
          <w:sz w:val="18"/>
          <w:szCs w:val="18"/>
          <w:color w:val="auto"/>
        </w:rPr>
        <w:t>portion of their Class A common stock upon such approval at a per-share price, payable in cash, equal to the aggregate amount then on deposit in the trust account, including interest earned on the funds held in the trust account (net of permitted withdrawals), divided by the number of then outstanding public shares, subject to the limitations described herein; and</w:t>
      </w:r>
    </w:p>
    <w:p>
      <w:pPr>
        <w:spacing w:after="0" w:line="73" w:lineRule="exact"/>
        <w:rPr>
          <w:sz w:val="20"/>
          <w:szCs w:val="20"/>
          <w:color w:val="auto"/>
        </w:rPr>
      </w:pPr>
    </w:p>
    <w:p>
      <w:pPr>
        <w:ind w:left="1800" w:right="1179" w:hanging="178"/>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effectuate our initial business combination with another blank check company or a similar company with nominal operations.</w:t>
      </w:r>
    </w:p>
    <w:p>
      <w:pPr>
        <w:spacing w:after="0" w:line="81"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381" w:lineRule="exact"/>
        <w:rPr>
          <w:sz w:val="20"/>
          <w:szCs w:val="20"/>
          <w:color w:val="auto"/>
        </w:rPr>
      </w:pPr>
    </w:p>
    <w:p>
      <w:pPr>
        <w:ind w:left="1260" w:right="1719"/>
        <w:spacing w:after="0" w:line="271" w:lineRule="auto"/>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90"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68" w:lineRule="exact"/>
        <w:rPr>
          <w:sz w:val="20"/>
          <w:szCs w:val="20"/>
          <w:color w:val="auto"/>
        </w:rPr>
      </w:pPr>
    </w:p>
    <w:p>
      <w:pPr>
        <w:ind w:left="1800" w:right="1259" w:hanging="178"/>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117" w:lineRule="exact"/>
        <w:rPr>
          <w:rFonts w:ascii="Times New Roman" w:cs="Times New Roman" w:eastAsia="Times New Roman" w:hAnsi="Times New Roman"/>
          <w:sz w:val="18"/>
          <w:szCs w:val="18"/>
          <w:color w:val="auto"/>
        </w:rPr>
      </w:pPr>
    </w:p>
    <w:p>
      <w:pPr>
        <w:ind w:left="1800" w:right="1139" w:hanging="178"/>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81"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A “business combination” includes a merger or sale of more than 10% of our assets. However, the above provisions of Section 203 do not apply if:</w:t>
      </w:r>
    </w:p>
    <w:p>
      <w:pPr>
        <w:spacing w:after="0" w:line="54" w:lineRule="exact"/>
        <w:rPr>
          <w:sz w:val="20"/>
          <w:szCs w:val="20"/>
          <w:color w:val="auto"/>
        </w:rPr>
      </w:pPr>
    </w:p>
    <w:p>
      <w:pPr>
        <w:ind w:left="1800" w:right="679" w:hanging="178"/>
        <w:spacing w:after="0" w:line="282"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the transaction that made the stockholder an “interested stockholder,” prior to the date of the transaction;</w:t>
      </w:r>
    </w:p>
    <w:p>
      <w:pPr>
        <w:spacing w:after="0" w:line="53" w:lineRule="exact"/>
        <w:rPr>
          <w:rFonts w:ascii="Times New Roman" w:cs="Times New Roman" w:eastAsia="Times New Roman" w:hAnsi="Times New Roman"/>
          <w:sz w:val="18"/>
          <w:szCs w:val="18"/>
          <w:color w:val="auto"/>
        </w:rPr>
      </w:pPr>
    </w:p>
    <w:p>
      <w:pPr>
        <w:ind w:left="1800" w:right="1099" w:hanging="178"/>
        <w:spacing w:after="0" w:line="266"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67" w:lineRule="exact"/>
        <w:rPr>
          <w:rFonts w:ascii="Times New Roman" w:cs="Times New Roman" w:eastAsia="Times New Roman" w:hAnsi="Times New Roman"/>
          <w:sz w:val="18"/>
          <w:szCs w:val="18"/>
          <w:color w:val="auto"/>
        </w:rPr>
      </w:pPr>
    </w:p>
    <w:p>
      <w:pPr>
        <w:ind w:left="1800" w:right="739" w:hanging="178"/>
        <w:spacing w:after="0" w:line="261" w:lineRule="auto"/>
        <w:tabs>
          <w:tab w:leader="none" w:pos="1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1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0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 for certain lawsuits</w:t>
      </w:r>
    </w:p>
    <w:p>
      <w:pPr>
        <w:spacing w:after="0" w:line="14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require,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w:t>
      </w:r>
    </w:p>
    <w:p>
      <w:pPr>
        <w:sectPr>
          <w:pgSz w:w="11900" w:h="16838" w:orient="portrait"/>
          <w:cols w:equalWidth="0" w:num="1">
            <w:col w:w="10139"/>
          </w:cols>
          <w:pgMar w:left="320" w:top="114"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4" w:name="page135"/>
    <w:bookmarkEnd w:id="13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39"/>
        <w:spacing w:after="0" w:line="253" w:lineRule="auto"/>
        <w:rPr>
          <w:sz w:val="20"/>
          <w:szCs w:val="20"/>
          <w:color w:val="auto"/>
        </w:rPr>
      </w:pPr>
      <w:r>
        <w:rPr>
          <w:rFonts w:ascii="Times New Roman" w:cs="Times New Roman" w:eastAsia="Times New Roman" w:hAnsi="Times New Roman"/>
          <w:sz w:val="18"/>
          <w:szCs w:val="18"/>
          <w:color w:val="auto"/>
        </w:rPr>
        <w:t>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327"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provisions, and the enforceability of similar choice of forum provisions in other companies’ charter documents has been challenged in legal proceedings. While the Delaware courts have determined that such exclusive forum provisions are facially valid, a stockholder may nevertheless seek to bring a claim in a venue other than those designated in the exclusive forum provisions, and there can be no assurance that such provisions will be enforced by a court in those other jurisdictions. Any person or entity purchasing or otherwise acquiring any interest in our securities shall be deemed to have notice of an consented to these provisions; however, we note that investors cannot waive compliance with the federal securities laws and the rules and regulations thereunder.</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a majority vote of our board of directors, by our Chief Executive Officer or by our Chairman.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90th day nor earlier than the opening of business on the 120th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Action by written consent</w:t>
      </w:r>
    </w:p>
    <w:p>
      <w:pPr>
        <w:spacing w:after="0" w:line="148" w:lineRule="exact"/>
        <w:rPr>
          <w:sz w:val="20"/>
          <w:szCs w:val="20"/>
          <w:color w:val="auto"/>
        </w:rPr>
      </w:pPr>
    </w:p>
    <w:p>
      <w:pPr>
        <w:ind w:left="1260" w:right="779" w:firstLine="360"/>
        <w:spacing w:after="0" w:line="263" w:lineRule="auto"/>
        <w:rPr>
          <w:sz w:val="20"/>
          <w:szCs w:val="20"/>
          <w:color w:val="auto"/>
        </w:rPr>
      </w:pPr>
      <w:r>
        <w:rPr>
          <w:rFonts w:ascii="Times New Roman" w:cs="Times New Roman" w:eastAsia="Times New Roman" w:hAnsi="Times New Roman"/>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48"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Class B Common Stock Consent Right</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162"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Immediately after this offering we will have 12,875,000 (or 14,780,000 if the underwriters’ over-allotment option is exercised in full) shares of common stock outstanding. Of these shares, the shares of Class A common stock sold in this offering (10,000,000 Class A common stock if the underwriters’ over allotment option is not exercised and 11,500,000 shares if the underwriters’ over-allotment option is exercised in full) will be freely tradable without restriction or further registration under the Securities Act, except for any Class A common stock purchased by one of our affiliates within the meaning of Rule 144 under the Securities Act. All of the outstanding founder shares (2,500,000 founder shares if the underwriters’ over-allotment option is not exercised and 2,875,000 founder shares if the underwriters’ over-allotment option is exercised in full) and all of the outstanding private placement units (375,000 units if the underwriters’ over-allotment option is not exercised and 405,000 units if the underwriters’ over-allotment option is exercised in full) will be restricted securities under Rule 144, in that they were issued in private transactions not involving a public offering.</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0" w:lineRule="exact"/>
        <w:rPr>
          <w:sz w:val="20"/>
          <w:szCs w:val="20"/>
          <w:color w:val="auto"/>
        </w:rPr>
      </w:pPr>
    </w:p>
    <w:p>
      <w:pPr>
        <w:ind w:left="1260" w:right="779" w:firstLine="36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800" w:right="699" w:hanging="178"/>
        <w:spacing w:after="0" w:line="26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common stock then outstanding, which will equal 128,750 shares immediately after this offering (or 147,800 if the underwriters exercise in full their over-allotment option); or</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6" w:name="page137"/>
    <w:bookmarkEnd w:id="13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879" w:hanging="178"/>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81" w:lineRule="exact"/>
        <w:rPr>
          <w:sz w:val="20"/>
          <w:szCs w:val="20"/>
          <w:color w:val="auto"/>
        </w:rPr>
      </w:pPr>
    </w:p>
    <w:p>
      <w:pPr>
        <w:ind w:left="1260" w:right="139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Rule 144 by Shell Companies or Former Shell Companies</w:t>
      </w:r>
    </w:p>
    <w:p>
      <w:pPr>
        <w:spacing w:after="0" w:line="162" w:lineRule="exact"/>
        <w:rPr>
          <w:sz w:val="20"/>
          <w:szCs w:val="20"/>
          <w:color w:val="auto"/>
        </w:rPr>
      </w:pPr>
    </w:p>
    <w:p>
      <w:pPr>
        <w:ind w:left="1260" w:right="1099" w:firstLine="360"/>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72" w:lineRule="exact"/>
        <w:rPr>
          <w:sz w:val="20"/>
          <w:szCs w:val="20"/>
          <w:color w:val="auto"/>
        </w:rPr>
      </w:pPr>
    </w:p>
    <w:p>
      <w:pPr>
        <w:ind w:left="1800" w:hanging="178"/>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800" w:right="1159" w:hanging="178"/>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ind w:left="1800" w:right="699" w:hanging="178"/>
        <w:spacing w:after="0" w:line="26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800" w:right="1039" w:hanging="178"/>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As a result, our initial stockholders will be able to sell their founder shares and private placement units, as applicable, pursuant to Rule 144 without registration one year after we have completed our initial business combination.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The holders of the founder shares, private placement unit, private placement shares, private placement warrants (and any Class A common stock issuable upon the exercise of the private placement warrants) and securities that may be issued upon conversion of working capital loans (and any Class A common stock issuable upon the conversion of such securities) are entitled to registration rights pursuant to a registration rights agreement, requiring us to register such securities and any other securities of the Company acquired by them prior to the consummation of our initial business combination for resale. Pursuant to the registration rights agreement and assuming the underwriters exercise their over-allotment option in full and $1.5 million of working capital loans are converted into private placement units, we will be obligated to register up to 3,707,500 shares of Class A common stock and 185,000 warrants. The number of shares of Class A common stock includes (i) 2,875,000 shares of Class A common stock to be issued upon conversion of the founder shares, (ii) 405,000 shares of Class A common stock underlying the private placement units,</w:t>
      </w:r>
    </w:p>
    <w:p>
      <w:pPr>
        <w:spacing w:after="0" w:line="4" w:lineRule="exact"/>
        <w:rPr>
          <w:sz w:val="20"/>
          <w:szCs w:val="20"/>
          <w:color w:val="auto"/>
        </w:rPr>
      </w:pPr>
    </w:p>
    <w:p>
      <w:pPr>
        <w:ind w:left="1260" w:right="739" w:firstLine="2"/>
        <w:spacing w:after="0" w:line="251" w:lineRule="auto"/>
        <w:tabs>
          <w:tab w:leader="none" w:pos="159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 shares of Class A common stock underlying the private placement units issued upon conversion of working capital loans, (iv) 202,500 shares of Class A common stock issuable upon the exercise of the private placement warrants underlying the private placement units and (v) 75,000 shares of Class A common stock issuable upon the exercise of the private placement warrants issued upon conversion of working capital loans. The number of warrants includes 135,000 private placement warrants and 50,000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62" w:lineRule="exact"/>
        <w:rPr>
          <w:sz w:val="20"/>
          <w:szCs w:val="20"/>
          <w:color w:val="auto"/>
        </w:rPr>
      </w:pPr>
    </w:p>
    <w:p>
      <w:pPr>
        <w:jc w:val="both"/>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We have been approved to have our units listed on Nasdaq under the symbol “CAPAU” commencing on or promptly after the date of this prospectus. Once the securities comprising the units begin separate trading, we expect that the Class A common stock and warrants will be listed on Nasdaq under the symbols “CAPA” and “CAPAW,” respectively.</w:t>
      </w:r>
    </w:p>
    <w:p>
      <w:pPr>
        <w:sectPr>
          <w:pgSz w:w="11900" w:h="16838" w:orient="portrait"/>
          <w:cols w:equalWidth="0" w:num="1">
            <w:col w:w="10139"/>
          </w:cols>
          <w:pgMar w:left="320" w:top="114"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7" w:name="page138"/>
    <w:bookmarkEnd w:id="13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units, shares of Class A common stock and warrants, which we refer to collectively as our securities. Because the components of a unit are separable at the option of the holder, the holder of a unit generally should be treated, for U.S. federal income tax purposes, as the owner of the underlying Class A common stock and one-third of one redeemable warrant components of the unit, as the case may be. As a result, the discussion below with respect to actual holders of Class A common stock and warrants should also apply to holders of units (as the deemed owners of the underlying Class A common stock and warrants that comprise the units). This discussion applies only to securities that are held as capital assets for U.S. federal income tax purposes and is applicable only to holders who purchased units in this offering.</w:t>
      </w:r>
    </w:p>
    <w:p>
      <w:pPr>
        <w:spacing w:after="0" w:line="337"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72" w:lineRule="exact"/>
        <w:rPr>
          <w:sz w:val="20"/>
          <w:szCs w:val="20"/>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44"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44"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of our voting shares;</w:t>
      </w:r>
    </w:p>
    <w:p>
      <w:pPr>
        <w:spacing w:after="0" w:line="13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44"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130" w:lineRule="exact"/>
        <w:rPr>
          <w:rFonts w:ascii="Times New Roman" w:cs="Times New Roman" w:eastAsia="Times New Roman" w:hAnsi="Times New Roman"/>
          <w:sz w:val="18"/>
          <w:szCs w:val="18"/>
          <w:color w:val="auto"/>
        </w:rPr>
      </w:pPr>
    </w:p>
    <w:p>
      <w:pPr>
        <w:ind w:left="1800" w:right="1339" w:hanging="178"/>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44" w:lineRule="exact"/>
        <w:rPr>
          <w:rFonts w:ascii="Times New Roman" w:cs="Times New Roman" w:eastAsia="Times New Roman" w:hAnsi="Times New Roman"/>
          <w:sz w:val="18"/>
          <w:szCs w:val="18"/>
          <w:color w:val="auto"/>
        </w:rPr>
      </w:pPr>
    </w:p>
    <w:p>
      <w:pPr>
        <w:ind w:left="1800" w:right="899" w:hanging="178"/>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6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5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your partners will generally depend on the status of the partners and your activities.</w:t>
      </w:r>
    </w:p>
    <w:p>
      <w:pPr>
        <w:spacing w:after="0" w:line="81" w:lineRule="exact"/>
        <w:rPr>
          <w:sz w:val="20"/>
          <w:szCs w:val="20"/>
          <w:color w:val="auto"/>
        </w:rPr>
      </w:pPr>
    </w:p>
    <w:p>
      <w:pPr>
        <w:ind w:left="1260" w:right="859" w:firstLine="360"/>
        <w:spacing w:after="0" w:line="256"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20"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ectPr>
          <w:pgSz w:w="11900" w:h="16838" w:orient="portrait"/>
          <w:cols w:equalWidth="0" w:num="1">
            <w:col w:w="10139"/>
          </w:cols>
          <w:pgMar w:left="320" w:top="114"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Personal Holding Company Status</w:t>
      </w:r>
    </w:p>
    <w:p>
      <w:pPr>
        <w:spacing w:after="0" w:line="148"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We could be subject to a second level of U.S. federal income tax on a portion of our income if we are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27"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Allocation of Purchase Price and Characterization of a Unit</w:t>
      </w:r>
    </w:p>
    <w:p>
      <w:pPr>
        <w:spacing w:after="0" w:line="162"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common stock and one-third of one warrant to acquire one share of our Class A common stock. For U.S. federal income tax purposes, each holder of a unit must allocate the purchase price paid by such holder for such unit between the one share of Class A common stock and the one-third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adviser regarding the determination of value for these purposes. The price allocated to each share of Class A common stock and the one-third of one warrant should be the stockholder’s initial tax basis in such share or warrant, as the case may be. Any disposition of a unit should be treated for U.S. federal income tax purposes as a disposition of the share of Class A common stock and one-third of one warrant comprising the unit, and the amount realized on the disposition should be allocated between the Class A common stock and the one-third of one warrant based on their respective relative fair market values (as determined by each such unit holder on all the relevant facts and circumstances) at the time of disposition. The separation of shares of Class A common stock and warrants comprising units should not be a taxable event for U.S. federal income tax purposes.</w:t>
      </w:r>
    </w:p>
    <w:p>
      <w:pPr>
        <w:spacing w:after="0" w:line="328"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The foregoing treatment of the shares of Class A common stock and warrants and a holder’s purchase price allocation are not binding on the Internal Revenue Service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units, shares of Class A common stock or warrants who or that is, for U.S. federal income tax purposes: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 individual who is a citizen or resident of the United States;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859" w:hanging="178"/>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800" w:right="1059" w:hanging="178"/>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40" w:lineRule="exact"/>
        <w:rPr>
          <w:rFonts w:ascii="Times New Roman" w:cs="Times New Roman" w:eastAsia="Times New Roman" w:hAnsi="Times New Roman"/>
          <w:sz w:val="18"/>
          <w:szCs w:val="18"/>
          <w:color w:val="auto"/>
        </w:rPr>
      </w:pPr>
    </w:p>
    <w:p>
      <w:pPr>
        <w:ind w:left="1800" w:right="899" w:hanging="178"/>
        <w:spacing w:after="0" w:line="261"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08"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b w:val="1"/>
          <w:bCs w:val="1"/>
          <w:color w:val="auto"/>
        </w:rPr>
        <w:t xml:space="preserve">Taxation of Distributions. </w:t>
      </w:r>
      <w:r>
        <w:rPr>
          <w:rFonts w:ascii="Times New Roman" w:cs="Times New Roman" w:eastAsia="Times New Roman" w:hAnsi="Times New Roman"/>
          <w:sz w:val="18"/>
          <w:szCs w:val="18"/>
          <w:color w:val="auto"/>
        </w:rPr>
        <w:t>If we pay distributions in cash or other property (other than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and Warrants” below.</w:t>
      </w:r>
    </w:p>
    <w:p>
      <w:pPr>
        <w:spacing w:after="0" w:line="315" w:lineRule="exact"/>
        <w:rPr>
          <w:sz w:val="20"/>
          <w:szCs w:val="20"/>
          <w:color w:val="auto"/>
        </w:rPr>
      </w:pPr>
    </w:p>
    <w:p>
      <w:pPr>
        <w:ind w:left="1260" w:right="679" w:firstLine="360"/>
        <w:spacing w:after="0" w:line="237"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 corporate holders may be subject to tax on such dividend at regular ordinary income tax rates instead of the preferential rate that applies to qualified dividend income.</w:t>
      </w:r>
    </w:p>
    <w:p>
      <w:pPr>
        <w:spacing w:after="0" w:line="108" w:lineRule="exact"/>
        <w:rPr>
          <w:sz w:val="20"/>
          <w:szCs w:val="20"/>
          <w:color w:val="auto"/>
        </w:rPr>
      </w:pPr>
    </w:p>
    <w:p>
      <w:pPr>
        <w:ind w:left="1260" w:right="67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Gain or Loss on Sale, Taxable Exchange or Other Taxable Disposition of Class A Common Stock and Warrants. </w:t>
      </w:r>
      <w:r>
        <w:rPr>
          <w:rFonts w:ascii="Times New Roman" w:cs="Times New Roman" w:eastAsia="Times New Roman" w:hAnsi="Times New Roman"/>
          <w:sz w:val="18"/>
          <w:szCs w:val="18"/>
          <w:color w:val="auto"/>
        </w:rPr>
        <w:t>Upon a sale or other taxable disposition of our Class A common stock or warrants which,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would include a redemption of Class A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Class A common stock or warrants. Any such capital gain or loss generally will be long-term capital gain or loss if the U.S. holder’s holding period for the Class A common stock or warrants so disposed of exceeds one year. It is unclear, however, whether the redemption rights with respect to the Class A common stock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348" w:lineRule="exact"/>
        <w:rPr>
          <w:sz w:val="20"/>
          <w:szCs w:val="20"/>
          <w:color w:val="auto"/>
        </w:rPr>
      </w:pPr>
    </w:p>
    <w:p>
      <w:pPr>
        <w:ind w:left="1260" w:right="779" w:firstLine="360"/>
        <w:spacing w:after="0" w:line="256"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(or, if the Class A common stock or warrants are held as part of units at the time of the disposition, the portion of the amount realized on such disposition that is allocated to the Class A common stock or the warrants based upon the then fair market values of the Class A common stock and the warrants included in the units) and (ii) the U.S. holder’s adjusted tax basis in its Class A common stock or</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line="241" w:lineRule="auto"/>
        <w:rPr>
          <w:sz w:val="20"/>
          <w:szCs w:val="20"/>
          <w:color w:val="auto"/>
        </w:rPr>
      </w:pPr>
      <w:r>
        <w:rPr>
          <w:rFonts w:ascii="Times New Roman" w:cs="Times New Roman" w:eastAsia="Times New Roman" w:hAnsi="Times New Roman"/>
          <w:sz w:val="18"/>
          <w:szCs w:val="18"/>
          <w:color w:val="auto"/>
        </w:rPr>
        <w:t>warrants so disposed of. A U.S. holder’s adjusted tax basis in its Class A common stock or warrants generally will equal the U.S. holder’s acquisition cost (that is, as discussed above, the portion of the purchase price of a unit allocated to a share of Class A common stock or one-third of one warrant or, as discussed below, the U.S. holder’s initial basis for Class A common stock received upon exercise of warrants) less, in the case of a share of Class A common stock, any prior distributions treated as a return of capital.</w:t>
      </w:r>
    </w:p>
    <w:p>
      <w:pPr>
        <w:spacing w:after="0" w:line="307"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b w:val="1"/>
          <w:bCs w:val="1"/>
          <w:color w:val="auto"/>
        </w:rPr>
        <w:t xml:space="preserve">Redemption of Class A Common Stock. </w:t>
      </w:r>
      <w:r>
        <w:rPr>
          <w:rFonts w:ascii="Times New Roman" w:cs="Times New Roman" w:eastAsia="Times New Roman" w:hAnsi="Times New Roman"/>
          <w:sz w:val="18"/>
          <w:szCs w:val="18"/>
          <w:color w:val="auto"/>
        </w:rPr>
        <w:t>In the event that a U.S. holder’s Class A common stock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redeemed pursuant to the redemption provisions described in this prospectus under the section of this prospectus entitled “Description of Securities — Common Stock” or if we purchase a U.S. holder’s Class A common stock in an open market transaction, the treatment of the transaction for U.S. federal income tax purposes will depend on whether the redemption or purchase by us qualifies as a sale of the Class A common stock under Section 302 of the Code. If the redemption or purchase by us qualifies as a sale of common stock, the U.S. holder will be treated as described under “U.S. Holders — Gain or Loss on Sale, Taxable Exchange or Other Taxable Disposition of Class A Common Stock and Warrants” above. If the redemption or purchase by us does not qualify as a sale of common stock, the U.S. holder will be treated as receiving a corporate distribution with the tax consequences described above under “U.S. Holders — Taxation of Distributions”. Whether a redemption or purchase by us qualifies for sale treatment will depend largely on the total number of shares of our stock treated as held by the U.S. holder (including any stock constructively owned by the U.S. holder as a result of owning warrants) relative to all of our shares outstanding both before and after the redemption. The redemption or purchase by us of Class A common stock generally will be treated as a sale of the Class A common stock (rather than as a corporate distribution) if the redemption or purchase by us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274" w:lineRule="exact"/>
        <w:rPr>
          <w:sz w:val="20"/>
          <w:szCs w:val="20"/>
          <w:color w:val="auto"/>
        </w:rPr>
      </w:pPr>
    </w:p>
    <w:p>
      <w:pPr>
        <w:ind w:left="1260" w:right="739" w:firstLine="360"/>
        <w:spacing w:after="0" w:line="251"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Class A common stock which could be acquired pursuant to the exercise of the warrants. In order to meet the substantially disproportionate test, the percentage of our outstanding voting stock actually and constructively owned by the U.S. holder immediately following the redemption of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The redemption or purchase by us of the Class A common stock will not be essentially equivalent to a dividend if the redemption or purchase by us results in a “meaningful reduction” of the U.S. holder’s proportionate interest in us. Whether the redemption or purchase by us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354" w:lineRule="exact"/>
        <w:rPr>
          <w:sz w:val="20"/>
          <w:szCs w:val="20"/>
          <w:color w:val="auto"/>
        </w:rPr>
      </w:pPr>
    </w:p>
    <w:p>
      <w:pPr>
        <w:ind w:left="1260" w:right="679" w:firstLine="360"/>
        <w:spacing w:after="0" w:line="257" w:lineRule="auto"/>
        <w:rPr>
          <w:sz w:val="20"/>
          <w:szCs w:val="20"/>
          <w:color w:val="auto"/>
        </w:rPr>
      </w:pPr>
      <w:r>
        <w:rPr>
          <w:rFonts w:ascii="Times New Roman" w:cs="Times New Roman" w:eastAsia="Times New Roman" w:hAnsi="Times New Roman"/>
          <w:sz w:val="18"/>
          <w:szCs w:val="18"/>
          <w:color w:val="auto"/>
        </w:rPr>
        <w:t>If none of the foregoing tests is satisfied, then the redemption or purchase by us will be treated as a corporate distribution and the tax effects will be as described under “U.S. Holders — Taxation of Distributions,” above. After the application of those rules, any remaining tax basis of the U.S. holder in the redeemed Class A common stock will be added to the U.S. holder’s adjusted tax basis in its remaining stock, or, if it has none, to the U.S. holder’s adjusted tax basis in its warrants or possibly in other stock constructively owned by it.</w:t>
      </w:r>
    </w:p>
    <w:p>
      <w:pPr>
        <w:spacing w:after="0" w:line="319" w:lineRule="exact"/>
        <w:rPr>
          <w:sz w:val="20"/>
          <w:szCs w:val="20"/>
          <w:color w:val="auto"/>
        </w:rPr>
      </w:pPr>
    </w:p>
    <w:p>
      <w:pPr>
        <w:ind w:left="1260" w:right="9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Exercise, Lapse or Redemption of a Warrant. </w:t>
      </w:r>
      <w:r>
        <w:rPr>
          <w:rFonts w:ascii="Times New Roman" w:cs="Times New Roman" w:eastAsia="Times New Roman" w:hAnsi="Times New Roman"/>
          <w:sz w:val="18"/>
          <w:szCs w:val="18"/>
          <w:color w:val="auto"/>
        </w:rPr>
        <w:t>Except as discussed below with respect to the cashless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 warrant, a U.S. holder generally will not recognize taxable gain or loss on the acquisition of</w:t>
      </w:r>
    </w:p>
    <w:p>
      <w:pPr>
        <w:sectPr>
          <w:pgSz w:w="11900" w:h="16838" w:orient="portrait"/>
          <w:cols w:equalWidth="0" w:num="1">
            <w:col w:w="10139"/>
          </w:cols>
          <w:pgMar w:left="320" w:top="114" w:right="1440" w:bottom="1440" w:gutter="0" w:footer="0" w:header="0"/>
        </w:sect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spacing w:after="0" w:line="238" w:lineRule="auto"/>
        <w:rPr>
          <w:sz w:val="20"/>
          <w:szCs w:val="20"/>
          <w:color w:val="auto"/>
        </w:rPr>
      </w:pPr>
      <w:r>
        <w:rPr>
          <w:rFonts w:ascii="Times New Roman" w:cs="Times New Roman" w:eastAsia="Times New Roman" w:hAnsi="Times New Roman"/>
          <w:sz w:val="18"/>
          <w:szCs w:val="18"/>
          <w:color w:val="auto"/>
        </w:rPr>
        <w:t>common stock upon exercise of a warrant for cash. The U.S. holder’s tax basis in the share of our Class A common stock received upon exercise of the warrant generally will be an amount equal to the sum of the U.S. holder’s initial investment in the warrant (i.e., the portion of the U.S. holder’s purchase price for units that is allocated to the warrant, as described above under “— Allocation of Purchase Price and Characterization of a Unit”) and the exercise price.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10" w:lineRule="exact"/>
        <w:rPr>
          <w:sz w:val="20"/>
          <w:szCs w:val="20"/>
          <w:color w:val="auto"/>
        </w:rPr>
      </w:pPr>
    </w:p>
    <w:p>
      <w:pPr>
        <w:ind w:left="1260" w:right="699" w:firstLine="360"/>
        <w:spacing w:after="0" w:line="238"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Class A common stock received would equal the holder’s basis in the warrants exercised therefor. If the cashless exercise were treated as not being a realization event (and not a recapitalization),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21"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warrants equal to the number of shares of Class A common stock having a value equal to the exercise price for the total number of warrants to be exercised. The U.S. holder would recognize capital gain or loss in an amount equal to the difference between the fair market value of the Class A common stock received in respect of the warrants deemed surrendered and the U.S. holder’s adjusted tax basis in the warrants deemed surrendered. In this case, a U.S. holder’s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302"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04" w:lineRule="exact"/>
        <w:rPr>
          <w:sz w:val="20"/>
          <w:szCs w:val="20"/>
          <w:color w:val="auto"/>
        </w:rPr>
      </w:pPr>
    </w:p>
    <w:p>
      <w:pPr>
        <w:ind w:left="1260" w:right="699" w:firstLine="360"/>
        <w:spacing w:after="0" w:line="241" w:lineRule="auto"/>
        <w:rPr>
          <w:sz w:val="20"/>
          <w:szCs w:val="20"/>
          <w:color w:val="auto"/>
        </w:rPr>
      </w:pPr>
      <w:r>
        <w:rPr>
          <w:rFonts w:ascii="Times New Roman" w:cs="Times New Roman" w:eastAsia="Times New Roman" w:hAnsi="Times New Roman"/>
          <w:sz w:val="18"/>
          <w:szCs w:val="18"/>
          <w:color w:val="auto"/>
        </w:rPr>
        <w:t>If we redeem warrants for cash pursuant to the redemption provisions described in the section of this prospectus entitled “Description of Securities — Redeemable Warrants — Public Stockholders’ Warrants — Redemption of warrants for cash” or if we purchase warrants in an open market transaction, such redemption or purchase generally will be treated as a taxable disposition to the U.S. holder, taxed as described above under “— Gain or Loss on Sale, Taxable Exchange or Other Taxable Disposition of Class A Common Stock and Warrants.”</w:t>
      </w:r>
    </w:p>
    <w:p>
      <w:pPr>
        <w:spacing w:after="0" w:line="112" w:lineRule="exact"/>
        <w:rPr>
          <w:sz w:val="20"/>
          <w:szCs w:val="20"/>
          <w:color w:val="auto"/>
        </w:rPr>
      </w:pPr>
    </w:p>
    <w:p>
      <w:pPr>
        <w:ind w:left="1260" w:right="679" w:firstLine="360"/>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of common stock for which the warrant may be exercised or to the exercise price of the warrant in certain events, as discussed in the section of this prospectus entitled “Description of Securities — Redeemable Warrants — Public Stockholders’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19"/>
        <w:spacing w:after="0" w:line="250" w:lineRule="auto"/>
        <w:rPr>
          <w:sz w:val="20"/>
          <w:szCs w:val="20"/>
          <w:color w:val="auto"/>
        </w:rPr>
      </w:pPr>
      <w:r>
        <w:rPr>
          <w:rFonts w:ascii="Times New Roman" w:cs="Times New Roman" w:eastAsia="Times New Roman" w:hAnsi="Times New Roman"/>
          <w:sz w:val="18"/>
          <w:szCs w:val="18"/>
          <w:color w:val="auto"/>
        </w:rPr>
        <w:t>taxable to the holders of such shares as a distribution. Such constructive distribution would be subject to tax as described under that section in the same manner as if the U.S. holders of the warrants received a cash distribution from us equal to the fair market value of such increased interest.</w:t>
      </w:r>
    </w:p>
    <w:p>
      <w:pPr>
        <w:spacing w:after="0" w:line="92" w:lineRule="exact"/>
        <w:rPr>
          <w:sz w:val="20"/>
          <w:szCs w:val="20"/>
          <w:color w:val="auto"/>
        </w:rPr>
      </w:pPr>
    </w:p>
    <w:p>
      <w:pPr>
        <w:ind w:left="1260" w:right="67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Information Reporting and Backup Withholding. </w:t>
      </w:r>
      <w:r>
        <w:rPr>
          <w:rFonts w:ascii="Times New Roman" w:cs="Times New Roman" w:eastAsia="Times New Roman" w:hAnsi="Times New Roman"/>
          <w:sz w:val="18"/>
          <w:szCs w:val="18"/>
          <w:color w:val="auto"/>
        </w:rPr>
        <w:t>In general, information reporting requirements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15" w:lineRule="exact"/>
        <w:rPr>
          <w:sz w:val="20"/>
          <w:szCs w:val="20"/>
          <w:color w:val="auto"/>
        </w:rPr>
      </w:pPr>
    </w:p>
    <w:p>
      <w:pPr>
        <w:ind w:left="1260" w:right="1179" w:firstLine="360"/>
        <w:spacing w:after="0" w:line="250" w:lineRule="auto"/>
        <w:rPr>
          <w:sz w:val="20"/>
          <w:szCs w:val="20"/>
          <w:color w:val="auto"/>
        </w:rPr>
      </w:pPr>
      <w:r>
        <w:rPr>
          <w:rFonts w:ascii="Times New Roman" w:cs="Times New Roman" w:eastAsia="Times New Roman" w:hAnsi="Times New Roman"/>
          <w:sz w:val="18"/>
          <w:szCs w:val="18"/>
          <w:color w:val="auto"/>
        </w:rPr>
        <w:t>Any amounts withheld under the backup withholding rules will be allowed as a refund or a credit against a U.S. holder’s U.S. federal income tax liability provided the required information is timely furnished to the IRS.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units, Class A common stock or warrants who or that is for U.S. federal income tax purposes:</w:t>
      </w:r>
    </w:p>
    <w:p>
      <w:pPr>
        <w:spacing w:after="0" w:line="55" w:lineRule="exact"/>
        <w:rPr>
          <w:sz w:val="20"/>
          <w:szCs w:val="20"/>
          <w:color w:val="auto"/>
        </w:rPr>
      </w:pPr>
    </w:p>
    <w:p>
      <w:pPr>
        <w:ind w:left="1800" w:right="719" w:hanging="178"/>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53"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44" w:lineRule="exact"/>
        <w:rPr>
          <w:sz w:val="20"/>
          <w:szCs w:val="20"/>
          <w:color w:val="auto"/>
        </w:rPr>
      </w:pPr>
    </w:p>
    <w:p>
      <w:pPr>
        <w:ind w:left="1260" w:right="759"/>
        <w:spacing w:after="0" w:line="250"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05" w:lineRule="exact"/>
        <w:rPr>
          <w:sz w:val="20"/>
          <w:szCs w:val="20"/>
          <w:color w:val="auto"/>
        </w:rPr>
      </w:pPr>
    </w:p>
    <w:p>
      <w:pPr>
        <w:ind w:left="1260" w:right="699" w:firstLine="360"/>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Taxation of Distributions. </w:t>
      </w:r>
      <w:r>
        <w:rPr>
          <w:rFonts w:ascii="Times New Roman" w:cs="Times New Roman" w:eastAsia="Times New Roman" w:hAnsi="Times New Roman"/>
          <w:sz w:val="18"/>
          <w:szCs w:val="18"/>
          <w:color w:val="auto"/>
        </w:rPr>
        <w:t>In general, any distributions we make to a Non-U.S. holder of shares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W- 8BEN or W- 8BEN-E).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likely to be classified as a “U.S.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122"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99" w:lineRule="exact"/>
        <w:rPr>
          <w:sz w:val="20"/>
          <w:szCs w:val="20"/>
          <w:color w:val="auto"/>
        </w:rPr>
      </w:pPr>
    </w:p>
    <w:p>
      <w:pPr>
        <w:ind w:left="1260" w:right="69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Exercise, Lapse or Redemption of a Warrant. </w:t>
      </w:r>
      <w:r>
        <w:rPr>
          <w:rFonts w:ascii="Times New Roman" w:cs="Times New Roman" w:eastAsia="Times New Roman" w:hAnsi="Times New Roman"/>
          <w:sz w:val="18"/>
          <w:szCs w:val="18"/>
          <w:color w:val="auto"/>
        </w:rPr>
        <w:t>The U.S. federal income tax treatment of a Non-U.S.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exercise of a warrant, or the lapse of a warrant held by a Non -U.S. holder, generally will correspond to the U.S. federal income tax treatment of the exercise or lapse of a warrant by a U.S. holder, as described under “U.S. holders — Exercise, Lapse or Redemption” above, although to the extent a cashless exercise</w:t>
      </w: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99"/>
        <w:spacing w:after="0"/>
        <w:rPr>
          <w:sz w:val="20"/>
          <w:szCs w:val="20"/>
          <w:color w:val="auto"/>
        </w:rPr>
      </w:pPr>
      <w:r>
        <w:rPr>
          <w:rFonts w:ascii="Times New Roman" w:cs="Times New Roman" w:eastAsia="Times New Roman" w:hAnsi="Times New Roman"/>
          <w:sz w:val="18"/>
          <w:szCs w:val="18"/>
          <w:color w:val="auto"/>
        </w:rPr>
        <w:t>results in a taxable exchange, the consequences would be similar to those described below in “Non-U.S. Holders — Gain on Sale, Taxable Exchange or Other Taxable Disposition of Class A Common Stock and Warrants.” The U.S. federal income tax treatment for a Non-U.S. holder of a redemption of warrants for cash described in the section of this prospectus entitled “Description of Securities — Redeemable Warrants</w:t>
      </w:r>
    </w:p>
    <w:p>
      <w:pPr>
        <w:spacing w:after="0" w:line="2" w:lineRule="exact"/>
        <w:rPr>
          <w:sz w:val="20"/>
          <w:szCs w:val="20"/>
          <w:color w:val="auto"/>
        </w:rPr>
      </w:pPr>
    </w:p>
    <w:p>
      <w:pPr>
        <w:ind w:left="1260" w:right="919"/>
        <w:spacing w:after="0" w:line="239" w:lineRule="auto"/>
        <w:rPr>
          <w:sz w:val="20"/>
          <w:szCs w:val="20"/>
          <w:color w:val="auto"/>
        </w:rPr>
      </w:pPr>
      <w:r>
        <w:rPr>
          <w:rFonts w:ascii="Times New Roman" w:cs="Times New Roman" w:eastAsia="Times New Roman" w:hAnsi="Times New Roman"/>
          <w:sz w:val="18"/>
          <w:szCs w:val="18"/>
          <w:color w:val="auto"/>
        </w:rPr>
        <w:t>— Public Stockholders’ Warrants — Redemption of warrants for cash” (or if we purchase warrants in an open market transaction) would be similar to that described below in “Non-U.S. Holders — Gain on Sale, Taxable Exchange or Other Taxable Disposition of Class A Common Stock and Warrants.”</w:t>
      </w:r>
    </w:p>
    <w:p>
      <w:pPr>
        <w:spacing w:after="0" w:line="100" w:lineRule="exact"/>
        <w:rPr>
          <w:sz w:val="20"/>
          <w:szCs w:val="20"/>
          <w:color w:val="auto"/>
        </w:rPr>
      </w:pPr>
    </w:p>
    <w:p>
      <w:pPr>
        <w:ind w:left="1260" w:right="739" w:firstLine="360"/>
        <w:spacing w:after="0"/>
        <w:rPr>
          <w:sz w:val="20"/>
          <w:szCs w:val="20"/>
          <w:color w:val="auto"/>
        </w:rPr>
      </w:pPr>
      <w:r>
        <w:rPr>
          <w:rFonts w:ascii="Times New Roman" w:cs="Times New Roman" w:eastAsia="Times New Roman" w:hAnsi="Times New Roman"/>
          <w:sz w:val="18"/>
          <w:szCs w:val="18"/>
          <w:b w:val="1"/>
          <w:bCs w:val="1"/>
          <w:color w:val="auto"/>
        </w:rPr>
        <w:t xml:space="preserve">Gain on Sale, Taxable Exchange or Other Taxable Disposition of Class A Common Stock and Warrants. </w:t>
      </w:r>
      <w:r>
        <w:rPr>
          <w:rFonts w:ascii="Times New Roman" w:cs="Times New Roman" w:eastAsia="Times New Roman" w:hAnsi="Times New Roman"/>
          <w:sz w:val="18"/>
          <w:szCs w:val="18"/>
          <w:color w:val="auto"/>
        </w:rPr>
        <w:t>A Non-U.S. holder generally will not be subject to U.S. federal income or withholding tax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gain recognized on a sale, taxable exchange or other taxable disposition of our Class A common stock, which would include a dissolution and liquidation in the event we do not complete an initial business combination within 24 months from the closing of this offering, or warrants (including an expiration or redemption of our warrants), in each case without regard to whether those securities were held as part of a unit, unless:</w:t>
      </w:r>
    </w:p>
    <w:p>
      <w:pPr>
        <w:spacing w:after="0" w:line="288" w:lineRule="exact"/>
        <w:rPr>
          <w:sz w:val="20"/>
          <w:szCs w:val="20"/>
          <w:color w:val="auto"/>
        </w:rPr>
      </w:pPr>
    </w:p>
    <w:p>
      <w:pPr>
        <w:ind w:left="1800" w:right="1059" w:hanging="178"/>
        <w:spacing w:after="0" w:line="266"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67" w:lineRule="exact"/>
        <w:rPr>
          <w:rFonts w:ascii="Times New Roman" w:cs="Times New Roman" w:eastAsia="Times New Roman" w:hAnsi="Times New Roman"/>
          <w:sz w:val="18"/>
          <w:szCs w:val="18"/>
          <w:color w:val="auto"/>
        </w:rPr>
      </w:pPr>
    </w:p>
    <w:p>
      <w:pPr>
        <w:ind w:left="1800" w:right="679" w:hanging="178"/>
        <w:spacing w:after="0" w:line="254"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11" w:lineRule="exact"/>
        <w:rPr>
          <w:sz w:val="20"/>
          <w:szCs w:val="20"/>
          <w:color w:val="auto"/>
        </w:rPr>
      </w:pPr>
    </w:p>
    <w:p>
      <w:pPr>
        <w:ind w:left="1260" w:right="999" w:firstLine="360"/>
        <w:spacing w:after="0" w:line="245"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 -U.S. holder that is a foreign corporation may also be subject to an additional “branch profits tax” at a 30% rate (or lower treaty rate).</w:t>
      </w:r>
    </w:p>
    <w:p>
      <w:pPr>
        <w:spacing w:after="0" w:line="113" w:lineRule="exact"/>
        <w:rPr>
          <w:sz w:val="20"/>
          <w:szCs w:val="20"/>
          <w:color w:val="auto"/>
        </w:rPr>
      </w:pPr>
    </w:p>
    <w:p>
      <w:pPr>
        <w:ind w:left="1260" w:right="899" w:firstLine="360"/>
        <w:spacing w:after="0"/>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We will be classified as a U.S. real property holding corporation if the fair market value of our “United States real property interests” equals or exceeds 50 percent of the sum of the fair market value of our worldwide real property interests plus our other assets used or held for use in a trade or business, as determined for U.S. federal income tax purposes.</w:t>
      </w:r>
    </w:p>
    <w:p>
      <w:pPr>
        <w:spacing w:after="0" w:line="307"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Redemption of Class A Common Stock. </w:t>
      </w:r>
      <w:r>
        <w:rPr>
          <w:rFonts w:ascii="Times New Roman" w:cs="Times New Roman" w:eastAsia="Times New Roman" w:hAnsi="Times New Roman"/>
          <w:sz w:val="18"/>
          <w:szCs w:val="18"/>
          <w:color w:val="auto"/>
        </w:rPr>
        <w:t>The characterization for U.S. federal income tax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redemption of a Non-U.S. holder’s Class A common stock pursuant to the redemption provisions described in the section of this prospectus entitled “Description of Securities — Common Stock” generally will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 -U.S. Holders — Gain on Sale, Taxable Exchange or Other Taxable Disposition of Class A Common Stock and Warrants,” as applicable.</w:t>
      </w:r>
    </w:p>
    <w:p>
      <w:pPr>
        <w:spacing w:after="0" w:line="106" w:lineRule="exact"/>
        <w:rPr>
          <w:sz w:val="20"/>
          <w:szCs w:val="20"/>
          <w:color w:val="auto"/>
        </w:rPr>
      </w:pPr>
    </w:p>
    <w:p>
      <w:pPr>
        <w:ind w:left="1260" w:right="67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Possible Constructive Distributions. </w:t>
      </w:r>
      <w:r>
        <w:rPr>
          <w:rFonts w:ascii="Times New Roman" w:cs="Times New Roman" w:eastAsia="Times New Roman" w:hAnsi="Times New Roman"/>
          <w:sz w:val="18"/>
          <w:szCs w:val="18"/>
          <w:color w:val="auto"/>
        </w:rPr>
        <w:t>The terms of each warrant provide for an adjustment to the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of Class A common stock for which the warrant may be exercised or to the exercise price of the warrant in certain events, as discussed in the section of this prospectus captioned “Description of Securities</w:t>
      </w:r>
    </w:p>
    <w:p>
      <w:pPr>
        <w:ind w:left="1260" w:right="859"/>
        <w:spacing w:after="0" w:line="239" w:lineRule="auto"/>
        <w:rPr>
          <w:sz w:val="20"/>
          <w:szCs w:val="20"/>
          <w:color w:val="auto"/>
        </w:rPr>
      </w:pPr>
      <w:r>
        <w:rPr>
          <w:rFonts w:ascii="Times New Roman" w:cs="Times New Roman" w:eastAsia="Times New Roman" w:hAnsi="Times New Roman"/>
          <w:sz w:val="18"/>
          <w:szCs w:val="18"/>
          <w:color w:val="auto"/>
        </w:rPr>
        <w:t>— Redeemable Warrants — Public Stockholders’ Warrants.” An adjustment which has the effect of preventing dilution is generally not a taxable event. Nevertheless, a Non-U.S. holder of warrants would be treated as receiving a constructive distribution from us if, for example, the adjustment increases the</w:t>
      </w:r>
    </w:p>
    <w:p>
      <w:pPr>
        <w:sectPr>
          <w:pgSz w:w="11900" w:h="16838" w:orient="portrait"/>
          <w:cols w:equalWidth="0" w:num="1">
            <w:col w:w="10139"/>
          </w:cols>
          <w:pgMar w:left="320" w:top="114"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99"/>
        <w:spacing w:after="0" w:line="255" w:lineRule="auto"/>
        <w:rPr>
          <w:sz w:val="20"/>
          <w:szCs w:val="20"/>
          <w:color w:val="auto"/>
        </w:rPr>
      </w:pPr>
      <w:r>
        <w:rPr>
          <w:rFonts w:ascii="Times New Roman" w:cs="Times New Roman" w:eastAsia="Times New Roman" w:hAnsi="Times New Roman"/>
          <w:sz w:val="18"/>
          <w:szCs w:val="18"/>
          <w:color w:val="auto"/>
        </w:rPr>
        <w:t>holder’s proportionate interest in our assets or earnings and profits (e.g., through an increase in the number of shares of Class A common stock that would be obtained upon exercise) as a result of a distribution of cash or other property, such as other securities, to the holders of shares of our Class A common stock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w:t>
      </w:r>
    </w:p>
    <w:p>
      <w:pPr>
        <w:spacing w:after="0" w:line="104"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Information Reporting and Backup Withholding. </w:t>
      </w:r>
      <w:r>
        <w:rPr>
          <w:rFonts w:ascii="Times New Roman" w:cs="Times New Roman" w:eastAsia="Times New Roman" w:hAnsi="Times New Roman"/>
          <w:sz w:val="18"/>
          <w:szCs w:val="18"/>
          <w:color w:val="auto"/>
        </w:rPr>
        <w:t>Information returns will be filed with the IRS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payments of dividends and the proceeds from a sale or other disposition of our units,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21"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FATCA Withholding Taxes. </w:t>
      </w:r>
      <w:r>
        <w:rPr>
          <w:rFonts w:ascii="Times New Roman" w:cs="Times New Roman" w:eastAsia="Times New Roman" w:hAnsi="Times New Roman"/>
          <w:sz w:val="18"/>
          <w:szCs w:val="18"/>
          <w:color w:val="auto"/>
        </w:rPr>
        <w:t>Provisions commonly referred to as “FATCA” impose withholding of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units, shares of Class A common stock and warrants.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Cantor is acting as the sole bookrunner and representative of the underwriters. Subject to the terms and conditions stated in the underwriting agreement dated the date of this prospectus, each underwriter named below has severally agreed to purchase, and we have agreed to sell to that underwriter, the number of units set forth opposite the underwriter’s name.:</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90"/>
        </w:trPr>
        <w:tc>
          <w:tcPr>
            <w:tcW w:w="6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Units</w:t>
            </w:r>
          </w:p>
        </w:tc>
      </w:tr>
      <w:tr>
        <w:trPr>
          <w:trHeight w:val="23"/>
        </w:trPr>
        <w:tc>
          <w:tcPr>
            <w:tcW w:w="6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r>
      <w:tr>
        <w:trPr>
          <w:trHeight w:val="264"/>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10,000,000</w:t>
            </w: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-385445</wp:posOffset>
            </wp:positionV>
            <wp:extent cx="137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units included in this offering are subject to approval of legal matters by counsel and to other conditions. The underwriters are obligated to purchase all of the units (other than those covered by the over-allotment option described below) if they purchase any of the units.</w:t>
      </w:r>
    </w:p>
    <w:p>
      <w:pPr>
        <w:spacing w:after="0" w:line="112"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initial public offering price set forth on the cover of this prospectus. If all of the units are not sold at the initial offering price, the underwriters may change the offering price and the other selling terms. The representative has advised us that the underwriters do not intend to make sales to discretionary accounts.</w:t>
      </w:r>
    </w:p>
    <w:p>
      <w:pPr>
        <w:spacing w:after="0" w:line="99" w:lineRule="exact"/>
        <w:rPr>
          <w:sz w:val="20"/>
          <w:szCs w:val="20"/>
          <w:color w:val="auto"/>
        </w:rPr>
      </w:pP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If the underwriters sell more units than the total number set forth in the table above, we have granted to the underwriters an option, exercisable for 45 days from the date of this prospectus, to purchase up to 1,500,000 additional units at the public offering price less the underwriting discount. The underwriters may exercise this option solely for the purpose of covering over-allotments, if any, in connection with this offering. To the extent the option is exercised, each underwriter must purchase a number of additional units approximately proportionate to that underwriter’s initial purchase commitment. Any units issued or sold under the option will be issued and sold on the same terms and conditions as the other units that are the subject of this offering.</w:t>
      </w:r>
    </w:p>
    <w:p>
      <w:pPr>
        <w:spacing w:after="0" w:line="337"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We, our sponsor and our officers and directors have agreed that, for a period of 180 days from the date of this prospectus, we and they will not, without the prior written consent of the representative, offer, sell, contract to sell, pledge or otherwise dispose of, directly or indirectly, any units, warrants, shares of common stock or any other securities convertible into, or exercisable, or exchangeable for, shares of common stock, subject to certain exceptions. The representative in its sole discretion may release any of the securities subject to these lock-up agreements at any time without notice. Our sponsor, officers and directors are also subject to separate transfer restrictions on their founder shares and private placement units pursuant to the insider letters as described herein.</w:t>
      </w:r>
    </w:p>
    <w:p>
      <w:pPr>
        <w:spacing w:after="0" w:line="337" w:lineRule="exact"/>
        <w:rPr>
          <w:sz w:val="20"/>
          <w:szCs w:val="20"/>
          <w:color w:val="auto"/>
        </w:rPr>
      </w:pPr>
    </w:p>
    <w:p>
      <w:pPr>
        <w:ind w:left="1260" w:right="699" w:firstLine="360"/>
        <w:spacing w:after="0" w:line="252" w:lineRule="auto"/>
        <w:rPr>
          <w:sz w:val="20"/>
          <w:szCs w:val="20"/>
          <w:color w:val="auto"/>
        </w:rPr>
      </w:pPr>
      <w:r>
        <w:rPr>
          <w:rFonts w:ascii="Times New Roman" w:cs="Times New Roman" w:eastAsia="Times New Roman" w:hAnsi="Times New Roman"/>
          <w:sz w:val="18"/>
          <w:szCs w:val="18"/>
          <w:color w:val="auto"/>
        </w:rPr>
        <w:t>Our sponsor, founder, officers and directors have agreed not to transfer, assign or sell any founder shares held by them until the earlier to occur of: (1) one year after the completion of our initial business combination; or (2) the date on which we complete a liquidation, merger, stock exchange, reorganization or other similar transaction after our initial business combination that results in all of our public stockholders having the right to exchange their shares of common stock for cash, securities or other property (except as described herein under “Principal Stockholders — Transfers of Founder Shares and Private Placement Units”). Any permitted transferees would be subject to the same restrictions and other agreements of our sponsor with respect to any founder shares. We refer to such transfer restrictions throughout this prospectus as the lock-up. Notwithstanding the foregoing, if the closing price of our common stock equals or exceeds $12.00 per share (as adjusted for stock splits, stock dividends, reorganizations, recapitalizations and the like) for any 20 trading days within any 30-trading day period commencing at least 150 days after our initial business combination, the founder shares will be released from the lock-up. The private placement units (including the underlying private placement shares, private placement warrants and Class A common stock issuable upon exercise of the private placement warrants) will not be transferable, assignable or saleable until 30 days after the completion of our initial business combination (except with respect to permitted transferees as described herein under the section of this prospectus entitled “Principal Stockholders — Transfers of Founder Shares and Private Placement Units”).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6" w:name="page147"/>
    <w:bookmarkEnd w:id="146"/>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securities. Consequently, the initial public offering price for the units was determined by negotiations between us and the representative.</w:t>
      </w:r>
    </w:p>
    <w:p>
      <w:pPr>
        <w:spacing w:after="0" w:line="81" w:lineRule="exact"/>
        <w:rPr>
          <w:sz w:val="20"/>
          <w:szCs w:val="20"/>
          <w:color w:val="auto"/>
        </w:rPr>
      </w:pPr>
    </w:p>
    <w:p>
      <w:pPr>
        <w:ind w:left="1260" w:right="799" w:firstLine="360"/>
        <w:spacing w:after="0" w:line="254" w:lineRule="auto"/>
        <w:rPr>
          <w:sz w:val="20"/>
          <w:szCs w:val="20"/>
          <w:color w:val="auto"/>
        </w:rPr>
      </w:pPr>
      <w:r>
        <w:rPr>
          <w:rFonts w:ascii="Times New Roman" w:cs="Times New Roman" w:eastAsia="Times New Roman" w:hAnsi="Times New Roman"/>
          <w:sz w:val="18"/>
          <w:szCs w:val="18"/>
          <w:color w:val="auto"/>
        </w:rPr>
        <w:t>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the equity securities markets, including current market valuations of publicly traded companies considered comparable to our company. We cannot assure you, however, that the price at which the units, Class A common stock or warrants will sell in the public market after this offering will not be lower than the initial public offering price or that an active trading market in our units, Class A common stock or warrants will develop and continue after this offering.</w:t>
      </w:r>
    </w:p>
    <w:p>
      <w:pPr>
        <w:spacing w:after="0" w:line="124"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We have been approved to list our units on Nasdaq under the symbol “CAPAU.” We expect that our Class A common stock and warrants will be listed under the symbols “CAPA” and “CAPAW,” respectively, once the Class A common stock and warrants begin separate trading.</w:t>
      </w:r>
    </w:p>
    <w:p>
      <w:pPr>
        <w:spacing w:after="0" w:line="10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underwriting discounts and commissions that we are to pay to the underwriters in connection with this offering. These amounts are shown assuming both no exercise and full exercise of the underwriters’ over-allotment option.</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27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Paid by HighCape Capital Acquisition Corp.</w:t>
            </w:r>
          </w:p>
        </w:tc>
      </w:tr>
      <w:tr>
        <w:trPr>
          <w:trHeight w:val="23"/>
        </w:trPr>
        <w:tc>
          <w:tcPr>
            <w:tcW w:w="476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99"/>
        </w:trPr>
        <w:tc>
          <w:tcPr>
            <w:tcW w:w="4760" w:type="dxa"/>
            <w:vAlign w:val="bottom"/>
          </w:tcPr>
          <w:p>
            <w:pPr>
              <w:spacing w:after="0"/>
              <w:rPr>
                <w:sz w:val="17"/>
                <w:szCs w:val="17"/>
                <w:color w:val="auto"/>
              </w:rPr>
            </w:pPr>
          </w:p>
        </w:tc>
        <w:tc>
          <w:tcPr>
            <w:tcW w:w="14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3"/>
        </w:trPr>
        <w:tc>
          <w:tcPr>
            <w:tcW w:w="4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476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Per Unit</w:t>
            </w:r>
            <w:r>
              <w:rPr>
                <w:rFonts w:ascii="Times New Roman" w:cs="Times New Roman" w:eastAsia="Times New Roman" w:hAnsi="Times New Roman"/>
                <w:sz w:val="26"/>
                <w:szCs w:val="26"/>
                <w:color w:val="auto"/>
                <w:vertAlign w:val="superscript"/>
              </w:rPr>
              <w:t>(1)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0.55</w:t>
            </w:r>
          </w:p>
        </w:tc>
      </w:tr>
      <w:tr>
        <w:trPr>
          <w:trHeight w:val="35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6"/>
                <w:szCs w:val="26"/>
                <w:color w:val="auto"/>
                <w:vertAlign w:val="superscript"/>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5,500,000</w:t>
            </w: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6,325,000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-404495</wp:posOffset>
            </wp:positionV>
            <wp:extent cx="39516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9516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92075</wp:posOffset>
            </wp:positionV>
            <wp:extent cx="12344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8" w:lineRule="exact"/>
        <w:rPr>
          <w:sz w:val="20"/>
          <w:szCs w:val="20"/>
          <w:color w:val="auto"/>
        </w:rPr>
      </w:pPr>
    </w:p>
    <w:p>
      <w:pPr>
        <w:ind w:left="1620" w:right="719" w:hanging="358"/>
        <w:spacing w:after="0" w:line="256"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$0.35 per unit, or $3,500,000 in the aggregate (or $4,025,000 in the aggregate if the over-allotment option is exercised in full) payable to the underwriters for deferred underwriting commissions will be placed in a trust account located in the United States as described herein. The deferred commissions will be released to the underwriters only on completion of an initial business combination, in an amount equal to $0.35 multiplied by the number of shares of Class A common stock sold as part of the units in this offering, as described in this prospectus.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do not complete our initial business combination and subsequently liquidate, the trustee and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have agreed that (i) they will forfeit any rights or claims to their deferred underwriting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discounts and commissions, including any accrued interest thereon, then in the trust account upon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liquidation, and (ii) that the deferred underwriters’ discounts and commissions will be distributed on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 rata basis, including interest earned on the funds held in the trust account and not previously released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us to pay our taxes to the public stockholders.</w:t>
      </w:r>
    </w:p>
    <w:p>
      <w:pPr>
        <w:spacing w:after="0" w:line="139"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units in the open market. Purchases and sales in the open market may include short sales, purchases to cover short positions, which may include purchases pursuant to the over-allotment option and stabilizing purchases, in accordance with Regulation M under the Exchange Act.</w:t>
      </w:r>
    </w:p>
    <w:p>
      <w:pPr>
        <w:spacing w:after="0" w:line="72" w:lineRule="exact"/>
        <w:rPr>
          <w:sz w:val="20"/>
          <w:szCs w:val="20"/>
          <w:color w:val="auto"/>
        </w:rPr>
      </w:pPr>
    </w:p>
    <w:p>
      <w:pPr>
        <w:ind w:left="1800" w:right="699" w:hanging="178"/>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units than they are required to purchase in the offering.</w:t>
      </w:r>
    </w:p>
    <w:p>
      <w:pPr>
        <w:spacing w:after="0" w:line="53" w:lineRule="exact"/>
        <w:rPr>
          <w:rFonts w:ascii="Times New Roman" w:cs="Times New Roman" w:eastAsia="Times New Roman" w:hAnsi="Times New Roman"/>
          <w:sz w:val="18"/>
          <w:szCs w:val="18"/>
          <w:color w:val="auto"/>
        </w:rPr>
      </w:pPr>
    </w:p>
    <w:p>
      <w:pPr>
        <w:ind w:left="1800" w:right="959" w:hanging="178"/>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short sales are sales of units in an amount up to the number of units represented by the underwriters’ over-allotment option.</w:t>
      </w:r>
    </w:p>
    <w:p>
      <w:pPr>
        <w:spacing w:after="0" w:line="53" w:lineRule="exact"/>
        <w:rPr>
          <w:rFonts w:ascii="Times New Roman" w:cs="Times New Roman" w:eastAsia="Times New Roman" w:hAnsi="Times New Roman"/>
          <w:sz w:val="18"/>
          <w:szCs w:val="18"/>
          <w:color w:val="auto"/>
        </w:rPr>
      </w:pPr>
    </w:p>
    <w:p>
      <w:pPr>
        <w:ind w:left="1800" w:right="879" w:hanging="178"/>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“Naked” short sales are sales of units in an amount in excess of the number of units represented by the underwriters’ over-allotment option.</w:t>
      </w:r>
    </w:p>
    <w:p>
      <w:pPr>
        <w:spacing w:after="0" w:line="67" w:lineRule="exact"/>
        <w:rPr>
          <w:rFonts w:ascii="Times New Roman" w:cs="Times New Roman" w:eastAsia="Times New Roman" w:hAnsi="Times New Roman"/>
          <w:sz w:val="18"/>
          <w:szCs w:val="18"/>
          <w:color w:val="auto"/>
        </w:rPr>
      </w:pPr>
    </w:p>
    <w:p>
      <w:pPr>
        <w:ind w:left="1800" w:right="919" w:hanging="178"/>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units either pursuant to the over-allotment option or in the open market after the distribution has been completed in order to cover short positions.</w:t>
      </w:r>
    </w:p>
    <w:p>
      <w:pPr>
        <w:spacing w:after="0" w:line="53" w:lineRule="exact"/>
        <w:rPr>
          <w:rFonts w:ascii="Times New Roman" w:cs="Times New Roman" w:eastAsia="Times New Roman" w:hAnsi="Times New Roman"/>
          <w:sz w:val="18"/>
          <w:szCs w:val="18"/>
          <w:color w:val="auto"/>
        </w:rPr>
      </w:pPr>
    </w:p>
    <w:p>
      <w:pPr>
        <w:ind w:left="1800" w:right="999" w:hanging="178"/>
        <w:spacing w:after="0" w:line="266"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naked short position, the underwriters must purchase units in the open market after the distribution has been completed. A naked short position is more likely to be created if the underwriters</w:t>
      </w:r>
    </w:p>
    <w:p>
      <w:pPr>
        <w:sectPr>
          <w:pgSz w:w="11900" w:h="16838" w:orient="portrait"/>
          <w:cols w:equalWidth="0" w:num="1">
            <w:col w:w="10139"/>
          </w:cols>
          <w:pgMar w:left="320" w:top="114"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0" w:right="719"/>
        <w:spacing w:after="0" w:line="282" w:lineRule="auto"/>
        <w:rPr>
          <w:sz w:val="20"/>
          <w:szCs w:val="20"/>
          <w:color w:val="auto"/>
        </w:rPr>
      </w:pPr>
      <w:r>
        <w:rPr>
          <w:rFonts w:ascii="Times New Roman" w:cs="Times New Roman" w:eastAsia="Times New Roman" w:hAnsi="Times New Roman"/>
          <w:sz w:val="18"/>
          <w:szCs w:val="18"/>
          <w:color w:val="auto"/>
        </w:rPr>
        <w:t>are concerned that there may be downward pressure on the price of the units in the open market after pricing that could adversely affect investors who purchase in the offering.</w:t>
      </w:r>
    </w:p>
    <w:p>
      <w:pPr>
        <w:spacing w:after="0" w:line="54" w:lineRule="exact"/>
        <w:rPr>
          <w:sz w:val="20"/>
          <w:szCs w:val="20"/>
          <w:color w:val="auto"/>
        </w:rPr>
      </w:pPr>
    </w:p>
    <w:p>
      <w:pPr>
        <w:ind w:left="1800" w:right="739" w:hanging="178"/>
        <w:spacing w:after="0" w:line="258"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a covered short position, the underwriters must purchase units in the open market after the distribution has been completed or must exercise the over-allotment option. In determining the source of units to close the covered short position, the underwriters will consider, among other things, the price of units available for purchase in the open market as compared to the price at which they may purchase units through the over-allotment option.</w:t>
      </w:r>
    </w:p>
    <w:p>
      <w:pPr>
        <w:spacing w:after="0" w:line="75" w:lineRule="exact"/>
        <w:rPr>
          <w:rFonts w:ascii="Times New Roman" w:cs="Times New Roman" w:eastAsia="Times New Roman" w:hAnsi="Times New Roman"/>
          <w:sz w:val="18"/>
          <w:szCs w:val="18"/>
          <w:color w:val="auto"/>
        </w:rPr>
      </w:pPr>
    </w:p>
    <w:p>
      <w:pPr>
        <w:ind w:left="1800" w:right="759" w:hanging="178"/>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units so long as the stabilizing bids do not exceed a specified maximum.</w:t>
      </w:r>
    </w:p>
    <w:p>
      <w:pPr>
        <w:spacing w:after="0" w:line="94"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units. They may also cause the price of the units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20"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We estimate that the total expenses of this offering payable by us will be $1,000,000, excluding underwriting discounts and commissions. We have also agreed to pay certain expenses of the underwriter, including the FINRA-related fees and expenses of the underwriters’ legal counsel and background searches, not to exceed an aggregate reimbursement of $50,000.</w:t>
      </w:r>
    </w:p>
    <w:p>
      <w:pPr>
        <w:spacing w:after="0" w:line="99"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and until the completion of the initial business combination (but in no event longer than three years from the commencement of sales for this offering), we will grant Cantor a right of first refusal to act as an underwriter or co-manager with at least 25% of the economics for any and all public and private equity and debt offerings of the company that we may undertake in connection with the business combination.</w:t>
      </w:r>
    </w:p>
    <w:p>
      <w:pPr>
        <w:spacing w:after="0" w:line="116"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95"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27" w:lineRule="exact"/>
        <w:rPr>
          <w:sz w:val="20"/>
          <w:szCs w:val="20"/>
          <w:color w:val="auto"/>
        </w:rPr>
      </w:pPr>
    </w:p>
    <w:p>
      <w:pPr>
        <w:ind w:left="1260" w:right="1179" w:firstLine="360"/>
        <w:spacing w:after="0" w:line="261"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2"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48" w:name="page149"/>
    <w:bookmarkEnd w:id="148"/>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48"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units described in this prospectus may not be made to the public in that relevant member state prior to the publication of a prospectus in relation to the units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our units may be made to the public in that relevant member state at any time:</w:t>
      </w:r>
    </w:p>
    <w:p>
      <w:pPr>
        <w:spacing w:after="0" w:line="124" w:lineRule="exact"/>
        <w:rPr>
          <w:sz w:val="20"/>
          <w:szCs w:val="20"/>
          <w:color w:val="auto"/>
        </w:rPr>
      </w:pPr>
    </w:p>
    <w:p>
      <w:pPr>
        <w:ind w:left="1980" w:hanging="358"/>
        <w:spacing w:after="0"/>
        <w:tabs>
          <w:tab w:leader="none" w:pos="1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44" w:lineRule="exact"/>
        <w:rPr>
          <w:rFonts w:ascii="Times New Roman" w:cs="Times New Roman" w:eastAsia="Times New Roman" w:hAnsi="Times New Roman"/>
          <w:sz w:val="18"/>
          <w:szCs w:val="18"/>
          <w:color w:val="auto"/>
        </w:rPr>
      </w:pPr>
    </w:p>
    <w:p>
      <w:pPr>
        <w:ind w:left="1980" w:right="779" w:hanging="358"/>
        <w:spacing w:after="0" w:line="256" w:lineRule="auto"/>
        <w:tabs>
          <w:tab w:leader="none" w:pos="1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natural or legal persons (other than qualified investors as defined below) subject to obtaining the prior consent of the underwriters for any such offer; or</w:t>
      </w:r>
    </w:p>
    <w:p>
      <w:pPr>
        <w:spacing w:after="0" w:line="106" w:lineRule="exact"/>
        <w:rPr>
          <w:rFonts w:ascii="Times New Roman" w:cs="Times New Roman" w:eastAsia="Times New Roman" w:hAnsi="Times New Roman"/>
          <w:sz w:val="18"/>
          <w:szCs w:val="18"/>
          <w:color w:val="auto"/>
        </w:rPr>
      </w:pPr>
    </w:p>
    <w:p>
      <w:pPr>
        <w:ind w:left="1980" w:right="999" w:hanging="358"/>
        <w:spacing w:after="0" w:line="282" w:lineRule="auto"/>
        <w:tabs>
          <w:tab w:leader="none" w:pos="1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that do not require the publication by us of a prospectus pursuant to Article 3 of the Prospectus Directive.</w:t>
      </w:r>
    </w:p>
    <w:p>
      <w:pPr>
        <w:spacing w:after="0" w:line="9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Each purchaser of units described in this prospectus located within a relevant member state will be deemed to have represented, acknowledged and agreed that it is a “qualified investor” within the meaning of Article 2(1)(e) of the Prospectus Directive.</w:t>
      </w:r>
    </w:p>
    <w:p>
      <w:pPr>
        <w:spacing w:after="0" w:line="109" w:lineRule="exact"/>
        <w:rPr>
          <w:sz w:val="20"/>
          <w:szCs w:val="20"/>
          <w:color w:val="auto"/>
        </w:rPr>
      </w:pPr>
    </w:p>
    <w:p>
      <w:pPr>
        <w:ind w:left="1260" w:right="879" w:firstLine="360"/>
        <w:spacing w:after="0" w:line="239" w:lineRule="auto"/>
        <w:rPr>
          <w:sz w:val="20"/>
          <w:szCs w:val="20"/>
          <w:color w:val="auto"/>
        </w:rPr>
      </w:pPr>
      <w:r>
        <w:rPr>
          <w:rFonts w:ascii="Times New Roman" w:cs="Times New Roman" w:eastAsia="Times New Roman" w:hAnsi="Times New Roman"/>
          <w:sz w:val="18"/>
          <w:szCs w:val="18"/>
          <w:color w:val="auto"/>
        </w:rPr>
        <w:t>For the purpose of this provision, the expression an “offer of units to the public” in any relevant member state means the communication in any form and by any means of sufficient information on the terms of the offer and the units to be offered so as to enable an investor to decide to purchase or subscribe for the units,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by the relevant member state) and includes any relevant implementing measure in each relevant member state. The expression 2010 PD Amending Directive means Directive 2010/73/EU.</w:t>
      </w:r>
    </w:p>
    <w:p>
      <w:pPr>
        <w:spacing w:after="0" w:line="106" w:lineRule="exact"/>
        <w:rPr>
          <w:sz w:val="20"/>
          <w:szCs w:val="20"/>
          <w:color w:val="auto"/>
        </w:rPr>
      </w:pPr>
    </w:p>
    <w:p>
      <w:pPr>
        <w:ind w:left="1260" w:right="839" w:firstLine="360"/>
        <w:spacing w:after="0" w:line="245" w:lineRule="auto"/>
        <w:rPr>
          <w:sz w:val="20"/>
          <w:szCs w:val="20"/>
          <w:color w:val="auto"/>
        </w:rPr>
      </w:pPr>
      <w:r>
        <w:rPr>
          <w:rFonts w:ascii="Times New Roman" w:cs="Times New Roman" w:eastAsia="Times New Roman" w:hAnsi="Times New Roman"/>
          <w:sz w:val="18"/>
          <w:szCs w:val="18"/>
          <w:color w:val="auto"/>
        </w:rPr>
        <w:t>We have not authorized and do not authorize the making of any offer of units through any financial intermediary on their behalf, other than offers made by the underwriters with a view to the final placement of the units as contemplated in this prospectus. Accordingly, no purchaser of the units, other than the underwriters, is authorized to make any further offer of the units on behalf of us or the underwriters.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62" w:lineRule="exact"/>
        <w:rPr>
          <w:sz w:val="20"/>
          <w:szCs w:val="20"/>
          <w:color w:val="auto"/>
        </w:rPr>
      </w:pPr>
    </w:p>
    <w:p>
      <w:pPr>
        <w:ind w:left="1260" w:right="699" w:firstLine="360"/>
        <w:spacing w:after="0" w:line="246" w:lineRule="auto"/>
        <w:rPr>
          <w:sz w:val="20"/>
          <w:szCs w:val="20"/>
          <w:color w:val="auto"/>
        </w:rPr>
      </w:pPr>
      <w:r>
        <w:rPr>
          <w:rFonts w:ascii="Times New Roman" w:cs="Times New Roman" w:eastAsia="Times New Roman" w:hAnsi="Times New Roman"/>
          <w:sz w:val="18"/>
          <w:szCs w:val="18"/>
          <w:color w:val="auto"/>
        </w:rPr>
        <w:t>This prospectus is only being distributed to, and is only directed at, persons in the United Kingdom that are qualified investors within the meaning of Article 2(1)(e) of the Prospectus Directive that are also</w:t>
      </w:r>
    </w:p>
    <w:p>
      <w:pPr>
        <w:spacing w:after="0" w:line="1" w:lineRule="exact"/>
        <w:rPr>
          <w:sz w:val="20"/>
          <w:szCs w:val="20"/>
          <w:color w:val="auto"/>
        </w:rPr>
      </w:pPr>
    </w:p>
    <w:p>
      <w:pPr>
        <w:ind w:left="1260" w:right="679" w:firstLine="2"/>
        <w:spacing w:after="0" w:line="236" w:lineRule="auto"/>
        <w:tabs>
          <w:tab w:leader="none" w:pos="148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units are only available to, and any invitation, offer or agreement to purchase or otherwise acquire such units will be engaged in only with, relevant persons.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units described in this prospectus has been submitted to the clearance procedures of the Autorité des Marchés Financiers or by the competent</w:t>
      </w:r>
    </w:p>
    <w:p>
      <w:pPr>
        <w:spacing w:after="0" w:line="33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60" w:right="739"/>
        <w:spacing w:after="0" w:line="263" w:lineRule="auto"/>
        <w:rPr>
          <w:sz w:val="20"/>
          <w:szCs w:val="20"/>
          <w:color w:val="auto"/>
        </w:rPr>
      </w:pPr>
      <w:r>
        <w:rPr>
          <w:rFonts w:ascii="Times New Roman" w:cs="Times New Roman" w:eastAsia="Times New Roman" w:hAnsi="Times New Roman"/>
          <w:sz w:val="18"/>
          <w:szCs w:val="18"/>
          <w:color w:val="auto"/>
        </w:rPr>
        <w:t>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292" w:lineRule="exact"/>
        <w:rPr>
          <w:sz w:val="20"/>
          <w:szCs w:val="20"/>
          <w:color w:val="auto"/>
        </w:rPr>
      </w:pPr>
    </w:p>
    <w:p>
      <w:pPr>
        <w:ind w:left="1800" w:hanging="178"/>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800" w:right="899" w:hanging="178"/>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units to the public in France. Such offers, sales and distributions will be made in France only:</w:t>
      </w:r>
    </w:p>
    <w:p>
      <w:pPr>
        <w:spacing w:after="0" w:line="80" w:lineRule="exact"/>
        <w:rPr>
          <w:rFonts w:ascii="Times New Roman" w:cs="Times New Roman" w:eastAsia="Times New Roman" w:hAnsi="Times New Roman"/>
          <w:sz w:val="18"/>
          <w:szCs w:val="18"/>
          <w:color w:val="auto"/>
        </w:rPr>
      </w:pPr>
    </w:p>
    <w:p>
      <w:pPr>
        <w:ind w:left="1800" w:right="799" w:hanging="178"/>
        <w:spacing w:after="0" w:line="261"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85" w:lineRule="exact"/>
        <w:rPr>
          <w:rFonts w:ascii="Times New Roman" w:cs="Times New Roman" w:eastAsia="Times New Roman" w:hAnsi="Times New Roman"/>
          <w:sz w:val="18"/>
          <w:szCs w:val="18"/>
          <w:color w:val="auto"/>
        </w:rPr>
      </w:pPr>
    </w:p>
    <w:p>
      <w:pPr>
        <w:ind w:left="1800" w:right="999" w:hanging="178"/>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67" w:lineRule="exact"/>
        <w:rPr>
          <w:rFonts w:ascii="Times New Roman" w:cs="Times New Roman" w:eastAsia="Times New Roman" w:hAnsi="Times New Roman"/>
          <w:sz w:val="18"/>
          <w:szCs w:val="18"/>
          <w:color w:val="auto"/>
        </w:rPr>
      </w:pPr>
    </w:p>
    <w:p>
      <w:pPr>
        <w:ind w:left="1800" w:right="1179" w:hanging="178"/>
        <w:spacing w:after="0" w:line="266"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08"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The units may be resold directly or indirectly, only in compliance with Articles L.411-1, L.411-2, L.412-1 and L.621-8 through L.621-8-3 of the French Code monétaire et financier.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62" w:lineRule="exact"/>
        <w:rPr>
          <w:sz w:val="20"/>
          <w:szCs w:val="20"/>
          <w:color w:val="auto"/>
        </w:rPr>
      </w:pPr>
    </w:p>
    <w:p>
      <w:pPr>
        <w:ind w:left="1260" w:right="699" w:firstLine="360"/>
        <w:spacing w:after="0" w:line="253" w:lineRule="auto"/>
        <w:rPr>
          <w:sz w:val="20"/>
          <w:szCs w:val="20"/>
          <w:color w:val="auto"/>
        </w:rPr>
      </w:pPr>
      <w:r>
        <w:rPr>
          <w:rFonts w:ascii="Times New Roman" w:cs="Times New Roman" w:eastAsia="Times New Roman" w:hAnsi="Times New Roman"/>
          <w:sz w:val="18"/>
          <w:szCs w:val="18"/>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48"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units offered in this prospectus have not been and will not be registered under the Financial Instruments and Exchange Law of Japan. The units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62" w:lineRule="exact"/>
        <w:rPr>
          <w:sz w:val="20"/>
          <w:szCs w:val="20"/>
          <w:color w:val="auto"/>
        </w:rPr>
      </w:pPr>
    </w:p>
    <w:p>
      <w:pPr>
        <w:ind w:left="1260" w:right="779" w:firstLine="36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in Section 275 of the SFA or (iii) otherwise pursuant to, and in accordance with the conditions of, any other applicable provision of the SFA, in each case subject to compliance with conditions set forth in the SFA.</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units are subscribed or purchased under Section 275 of the SFA by a relevant person which</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84" w:lineRule="exact"/>
        <w:rPr>
          <w:sz w:val="20"/>
          <w:szCs w:val="20"/>
          <w:color w:val="auto"/>
        </w:rPr>
      </w:pPr>
    </w:p>
    <w:p>
      <w:pPr>
        <w:jc w:val="both"/>
        <w:ind w:left="1800" w:right="1019" w:hanging="178"/>
        <w:spacing w:after="0" w:line="266"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800" w:right="699" w:hanging="178"/>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is an accredited investor,</w:t>
      </w:r>
    </w:p>
    <w:p>
      <w:pPr>
        <w:spacing w:after="0" w:line="94" w:lineRule="exact"/>
        <w:rPr>
          <w:sz w:val="20"/>
          <w:szCs w:val="20"/>
          <w:color w:val="auto"/>
        </w:rPr>
      </w:pPr>
    </w:p>
    <w:p>
      <w:pPr>
        <w:ind w:left="1260" w:right="819"/>
        <w:spacing w:after="0" w:line="266" w:lineRule="auto"/>
        <w:rPr>
          <w:sz w:val="20"/>
          <w:szCs w:val="20"/>
          <w:color w:val="auto"/>
        </w:rPr>
      </w:pPr>
      <w:r>
        <w:rPr>
          <w:rFonts w:ascii="Times New Roman" w:cs="Times New Roman" w:eastAsia="Times New Roman" w:hAnsi="Times New Roman"/>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8" w:lineRule="exact"/>
        <w:rPr>
          <w:sz w:val="20"/>
          <w:szCs w:val="20"/>
          <w:color w:val="auto"/>
        </w:rPr>
      </w:pPr>
    </w:p>
    <w:p>
      <w:pPr>
        <w:ind w:left="1800" w:right="719" w:hanging="178"/>
        <w:spacing w:after="0" w:line="255"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S$300,000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80"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17"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48" w:lineRule="exact"/>
        <w:rPr>
          <w:sz w:val="20"/>
          <w:szCs w:val="20"/>
          <w:color w:val="auto"/>
        </w:rPr>
      </w:pPr>
    </w:p>
    <w:p>
      <w:pPr>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units may be sold in Canada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 or</w:t>
      </w:r>
      <w:r>
        <w:rPr>
          <w:rFonts w:ascii="Times New Roman" w:cs="Times New Roman" w:eastAsia="Times New Roman" w:hAnsi="Times New Roman"/>
          <w:sz w:val="18"/>
          <w:szCs w:val="18"/>
          <w:color w:val="auto"/>
        </w:rPr>
        <w:t xml:space="preserve">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units must be made in accordance with an exemption from, or in a transaction not subject to, the prospectus requirements of applicable securities laws.</w:t>
      </w:r>
    </w:p>
    <w:p>
      <w:pPr>
        <w:spacing w:after="0" w:line="120" w:lineRule="exact"/>
        <w:rPr>
          <w:sz w:val="20"/>
          <w:szCs w:val="20"/>
          <w:color w:val="auto"/>
        </w:rPr>
      </w:pPr>
    </w:p>
    <w:p>
      <w:pPr>
        <w:ind w:left="1260" w:right="81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8" w:lineRule="exact"/>
        <w:rPr>
          <w:sz w:val="20"/>
          <w:szCs w:val="20"/>
          <w:color w:val="auto"/>
        </w:rPr>
      </w:pPr>
    </w:p>
    <w:p>
      <w:pPr>
        <w:ind w:left="1260" w:right="1239" w:firstLine="360"/>
        <w:spacing w:after="0" w:line="267"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ectPr>
          <w:pgSz w:w="11900" w:h="16838" w:orient="portrait"/>
          <w:cols w:equalWidth="0" w:num="1">
            <w:col w:w="10139"/>
          </w:cols>
          <w:pgMar w:left="320" w:top="114"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1" w:name="page152"/>
    <w:bookmarkEnd w:id="151"/>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48" w:lineRule="exact"/>
        <w:rPr>
          <w:sz w:val="20"/>
          <w:szCs w:val="20"/>
          <w:color w:val="auto"/>
        </w:rPr>
      </w:pPr>
    </w:p>
    <w:p>
      <w:pPr>
        <w:ind w:left="1260" w:right="719" w:firstLine="360"/>
        <w:spacing w:after="0" w:line="257"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336"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6" w:lineRule="exact"/>
        <w:rPr>
          <w:sz w:val="20"/>
          <w:szCs w:val="20"/>
          <w:color w:val="auto"/>
        </w:rPr>
      </w:pPr>
    </w:p>
    <w:p>
      <w:pPr>
        <w:ind w:left="1260" w:right="799" w:firstLine="360"/>
        <w:spacing w:after="0" w:line="253"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48"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21"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White &amp; Case LLP, New York, New York, is acting as counsel in connection with the registration of our securities under the Securities Act, and as such, will pass upon the validity of the securities offered in this prospectus. Ellenoff Grossman &amp; Schole LLP, New York, New York, is acting as counsel to the underwriters in connection with the offering of the securities.</w:t>
      </w:r>
    </w:p>
    <w:p>
      <w:pPr>
        <w:spacing w:after="0" w:line="17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 financial statements of HighCape Capital Acquisition Corp. as of June 30, 2020 and for the period from June 10, 2020 (inception) through June 30, 2020 appearing in this prospectus have been audited by WithumSmith+Brown, PC, independent registered public accounting firm, as set forth in their report thereon, appearing elsewhere in this prospectus, and are included in reliance upon such report given on the authority of such firm as experts in accounting and auditing.</w:t>
      </w:r>
    </w:p>
    <w:p>
      <w:pPr>
        <w:spacing w:after="0" w:line="17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11" w:lineRule="exact"/>
        <w:rPr>
          <w:sz w:val="20"/>
          <w:szCs w:val="20"/>
          <w:color w:val="auto"/>
        </w:rPr>
      </w:pPr>
    </w:p>
    <w:p>
      <w:pPr>
        <w:jc w:val="both"/>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68">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7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3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Report of Independent Registered Public Accounting Firm</w:t>
              </w:r>
            </w:hyperlink>
          </w:p>
        </w:tc>
        <w:tc>
          <w:tcPr>
            <w:tcW w:w="84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F-2</w:t>
              </w:r>
            </w:hyperlink>
          </w:p>
        </w:tc>
      </w:tr>
      <w:tr>
        <w:trPr>
          <w:trHeight w:val="257"/>
        </w:trPr>
        <w:tc>
          <w:tcPr>
            <w:tcW w:w="7380" w:type="dxa"/>
            <w:vAlign w:val="bottom"/>
          </w:tcPr>
          <w:p>
            <w:pPr>
              <w:spacing w:after="0"/>
              <w:rPr>
                <w:rFonts w:ascii="Times New Roman" w:cs="Times New Roman" w:eastAsia="Times New Roman" w:hAnsi="Times New Roman"/>
                <w:sz w:val="18"/>
                <w:szCs w:val="18"/>
                <w:u w:val="single" w:color="auto"/>
                <w:color w:val="0000EE"/>
              </w:rPr>
            </w:pPr>
            <w:hyperlink w:anchor="page155">
              <w:r>
                <w:rPr>
                  <w:rFonts w:ascii="Times New Roman" w:cs="Times New Roman" w:eastAsia="Times New Roman" w:hAnsi="Times New Roman"/>
                  <w:sz w:val="18"/>
                  <w:szCs w:val="18"/>
                  <w:u w:val="single" w:color="auto"/>
                  <w:color w:val="0000EE"/>
                </w:rPr>
                <w:t>Balance Sheet</w:t>
              </w:r>
            </w:hyperlink>
          </w:p>
        </w:tc>
        <w:tc>
          <w:tcPr>
            <w:tcW w:w="840" w:type="dxa"/>
            <w:vAlign w:val="bottom"/>
          </w:tcPr>
          <w:p>
            <w:pPr>
              <w:jc w:val="center"/>
              <w:spacing w:after="0"/>
              <w:rPr>
                <w:rFonts w:ascii="Times New Roman" w:cs="Times New Roman" w:eastAsia="Times New Roman" w:hAnsi="Times New Roman"/>
                <w:sz w:val="18"/>
                <w:szCs w:val="18"/>
                <w:u w:val="single" w:color="auto"/>
                <w:color w:val="0000EE"/>
              </w:rPr>
            </w:pPr>
            <w:hyperlink w:anchor="page155">
              <w:r>
                <w:rPr>
                  <w:rFonts w:ascii="Times New Roman" w:cs="Times New Roman" w:eastAsia="Times New Roman" w:hAnsi="Times New Roman"/>
                  <w:sz w:val="18"/>
                  <w:szCs w:val="18"/>
                  <w:u w:val="single" w:color="auto"/>
                  <w:color w:val="0000EE"/>
                </w:rPr>
                <w:t>F-3</w:t>
              </w:r>
            </w:hyperlink>
          </w:p>
        </w:tc>
      </w:tr>
      <w:tr>
        <w:trPr>
          <w:trHeight w:val="256"/>
        </w:trPr>
        <w:tc>
          <w:tcPr>
            <w:tcW w:w="73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Statement of Operations</w:t>
              </w:r>
            </w:hyperlink>
          </w:p>
        </w:tc>
        <w:tc>
          <w:tcPr>
            <w:tcW w:w="84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F-4</w:t>
              </w:r>
            </w:hyperlink>
          </w:p>
        </w:tc>
      </w:tr>
      <w:tr>
        <w:trPr>
          <w:trHeight w:val="270"/>
        </w:trPr>
        <w:tc>
          <w:tcPr>
            <w:tcW w:w="7380" w:type="dxa"/>
            <w:vAlign w:val="bottom"/>
          </w:tcPr>
          <w:p>
            <w:pPr>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Statement of Changes in Stockholder’s Equity</w:t>
              </w:r>
            </w:hyperlink>
          </w:p>
        </w:tc>
        <w:tc>
          <w:tcPr>
            <w:tcW w:w="840" w:type="dxa"/>
            <w:vAlign w:val="bottom"/>
          </w:tcPr>
          <w:p>
            <w:pPr>
              <w:jc w:val="center"/>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F-5</w:t>
              </w:r>
            </w:hyperlink>
          </w:p>
        </w:tc>
      </w:tr>
      <w:tr>
        <w:trPr>
          <w:trHeight w:val="270"/>
        </w:trPr>
        <w:tc>
          <w:tcPr>
            <w:tcW w:w="7380" w:type="dxa"/>
            <w:vAlign w:val="bottom"/>
            <w:shd w:val="clear" w:color="auto" w:fill="CCEEFF"/>
          </w:tcPr>
          <w:p>
            <w:pPr>
              <w:spacing w:after="0"/>
              <w:rPr>
                <w:rFonts w:ascii="Times New Roman" w:cs="Times New Roman" w:eastAsia="Times New Roman" w:hAnsi="Times New Roman"/>
                <w:sz w:val="18"/>
                <w:szCs w:val="18"/>
                <w:u w:val="single" w:color="auto"/>
                <w:color w:val="0000EE"/>
              </w:rPr>
            </w:pPr>
            <w:hyperlink w:anchor="page158">
              <w:r>
                <w:rPr>
                  <w:rFonts w:ascii="Times New Roman" w:cs="Times New Roman" w:eastAsia="Times New Roman" w:hAnsi="Times New Roman"/>
                  <w:sz w:val="18"/>
                  <w:szCs w:val="18"/>
                  <w:u w:val="single" w:color="auto"/>
                  <w:color w:val="0000EE"/>
                </w:rPr>
                <w:t>Statement of Cash Flows</w:t>
              </w:r>
            </w:hyperlink>
          </w:p>
        </w:tc>
        <w:tc>
          <w:tcPr>
            <w:tcW w:w="840" w:type="dxa"/>
            <w:vAlign w:val="bottom"/>
            <w:shd w:val="clear" w:color="auto" w:fill="CCEEFF"/>
          </w:tcPr>
          <w:p>
            <w:pPr>
              <w:jc w:val="center"/>
              <w:spacing w:after="0"/>
              <w:rPr>
                <w:rFonts w:ascii="Times New Roman" w:cs="Times New Roman" w:eastAsia="Times New Roman" w:hAnsi="Times New Roman"/>
                <w:sz w:val="18"/>
                <w:szCs w:val="18"/>
                <w:u w:val="single" w:color="auto"/>
                <w:color w:val="0000EE"/>
              </w:rPr>
            </w:pPr>
            <w:hyperlink w:anchor="page158">
              <w:r>
                <w:rPr>
                  <w:rFonts w:ascii="Times New Roman" w:cs="Times New Roman" w:eastAsia="Times New Roman" w:hAnsi="Times New Roman"/>
                  <w:sz w:val="18"/>
                  <w:szCs w:val="18"/>
                  <w:u w:val="single" w:color="auto"/>
                  <w:color w:val="0000EE"/>
                </w:rPr>
                <w:t>F-6</w:t>
              </w:r>
            </w:hyperlink>
          </w:p>
        </w:tc>
      </w:tr>
      <w:tr>
        <w:trPr>
          <w:trHeight w:val="270"/>
        </w:trPr>
        <w:tc>
          <w:tcPr>
            <w:tcW w:w="7380" w:type="dxa"/>
            <w:vAlign w:val="bottom"/>
          </w:tcPr>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Notes to Financial Statements</w:t>
              </w:r>
            </w:hyperlink>
          </w:p>
        </w:tc>
        <w:tc>
          <w:tcPr>
            <w:tcW w:w="840" w:type="dxa"/>
            <w:vAlign w:val="bottom"/>
          </w:tcPr>
          <w:p>
            <w:pPr>
              <w:jc w:val="center"/>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u w:val="single" w:color="auto"/>
                  <w:color w:val="0000EE"/>
                </w:rPr>
                <w:t>F-7</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w:t>
            </w:r>
            <w:r>
              <w:rPr>
                <w:rFonts w:ascii="Times New Roman" w:cs="Times New Roman" w:eastAsia="Times New Roman" w:hAnsi="Times New Roman"/>
                <w:sz w:val="18"/>
                <w:szCs w:val="18"/>
                <w:color w:val="0000EE"/>
              </w:rPr>
              <w:t xml:space="preserve"> </w:t>
            </w:r>
            <w:hyperlink w:anchor="page167">
              <w:r>
                <w:rPr>
                  <w:rFonts w:ascii="Times New Roman" w:cs="Times New Roman" w:eastAsia="Times New Roman" w:hAnsi="Times New Roman"/>
                  <w:sz w:val="18"/>
                  <w:szCs w:val="18"/>
                  <w:u w:val="single" w:color="auto"/>
                  <w:color w:val="0000EE"/>
                </w:rPr>
                <w:t>15</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-1010920</wp:posOffset>
            </wp:positionV>
            <wp:extent cx="46805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HighCape Capital Acquisition Corp.</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HighCape Capital Acquisition Corp. (the “Company”) as of June 30, 2020, the related statements of operations, changes in stockholder’s equity and cash flows for the period from June 10,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10, 2020 (inception) through June 30, 2020, in conformity with accounting principles generally accepted in the United States of America.</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left="1260" w:right="67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1260" w:right="839" w:firstLine="360"/>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July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5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5"/>
              </w:rPr>
              <w:t>HIGHCAPE CAPITAL ACQUISITION CORP.</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580" w:type="dxa"/>
            <w:vAlign w:val="bottom"/>
          </w:tcPr>
          <w:p>
            <w:pPr>
              <w:jc w:val="center"/>
              <w:ind w:right="1210"/>
              <w:spacing w:after="0"/>
              <w:rPr>
                <w:sz w:val="20"/>
                <w:szCs w:val="20"/>
                <w:color w:val="auto"/>
              </w:rPr>
            </w:pPr>
            <w:r>
              <w:rPr>
                <w:rFonts w:ascii="Times New Roman" w:cs="Times New Roman" w:eastAsia="Times New Roman" w:hAnsi="Times New Roman"/>
                <w:sz w:val="18"/>
                <w:szCs w:val="18"/>
                <w:b w:val="1"/>
                <w:bCs w:val="1"/>
                <w:color w:val="auto"/>
                <w:w w:val="96"/>
              </w:rPr>
              <w:t>BALANCE SHEET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5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6"/>
              </w:rPr>
              <w:t>JUNE 30, 2020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19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asset –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115,000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offering costs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Class A common stock, $0.0001 par value; 100,000,000 shares authorized; none issued and</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 $0.0001 par value; 10,000,000 shares authorized; 2,875,000 shares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500" w:type="dxa"/>
            <w:vAlign w:val="bottom"/>
            <w:gridSpan w:val="2"/>
            <w:shd w:val="clear" w:color="auto" w:fill="CCEEFF"/>
          </w:tcPr>
          <w:p>
            <w:pPr>
              <w:ind w:left="160"/>
              <w:spacing w:after="0" w:line="296" w:lineRule="exact"/>
              <w:rPr>
                <w:sz w:val="20"/>
                <w:szCs w:val="20"/>
                <w:color w:val="auto"/>
              </w:rPr>
            </w:pPr>
            <w:r>
              <w:rPr>
                <w:rFonts w:ascii="Times New Roman" w:cs="Times New Roman" w:eastAsia="Times New Roman" w:hAnsi="Times New Roman"/>
                <w:sz w:val="18"/>
                <w:szCs w:val="18"/>
                <w:color w:val="auto"/>
              </w:rPr>
              <w:t>issued and outstanding</w:t>
            </w:r>
            <w:r>
              <w:rPr>
                <w:rFonts w:ascii="Times New Roman" w:cs="Times New Roman" w:eastAsia="Times New Roman" w:hAnsi="Times New Roman"/>
                <w:sz w:val="26"/>
                <w:szCs w:val="26"/>
                <w:color w:val="auto"/>
                <w:vertAlign w:val="superscript"/>
              </w:rPr>
              <w:t>(1)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115,000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-290830</wp:posOffset>
            </wp:positionV>
            <wp:extent cx="47745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-1962150</wp:posOffset>
            </wp:positionV>
            <wp:extent cx="47745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97" w:lineRule="exact"/>
        <w:rPr>
          <w:sz w:val="20"/>
          <w:szCs w:val="20"/>
          <w:color w:val="auto"/>
        </w:rPr>
      </w:pPr>
    </w:p>
    <w:p>
      <w:pPr>
        <w:ind w:left="1620" w:right="739" w:hanging="358"/>
        <w:spacing w:after="0" w:line="282"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375,000 Class B shares subject to forfeiture if the over-allotment option is not exercised in full or in part by the underwriters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0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3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STATEMENT OF OPERATIONS</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FOR THE PERIOD FROM JUNE 10, 2020 (INCEPTION) THROUGH JUNE 30, 2020</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60" w:type="dxa"/>
            <w:vAlign w:val="bottom"/>
            <w:tcBorders>
              <w:top w:val="single" w:sz="8" w:color="CCEEFF"/>
              <w:bottom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26"/>
                <w:szCs w:val="26"/>
                <w:color w:val="auto"/>
                <w:vertAlign w:val="superscript"/>
              </w:rPr>
              <w:t>(1)</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2,500,000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7380" w:type="dxa"/>
            <w:vAlign w:val="bottom"/>
            <w:gridSpan w:val="3"/>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620" w:right="699" w:hanging="358"/>
        <w:spacing w:after="0" w:line="282" w:lineRule="auto"/>
        <w:tabs>
          <w:tab w:leader="none" w:pos="1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up to 375,000 Class B shares subject to forfeiture if the over-allotment option is not exercised in full or in part by the underwriters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0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1580" w:right="880"/>
        <w:spacing w:after="0" w:line="268" w:lineRule="auto"/>
        <w:rPr>
          <w:sz w:val="20"/>
          <w:szCs w:val="20"/>
          <w:color w:val="auto"/>
        </w:rPr>
      </w:pPr>
      <w:r>
        <w:rPr>
          <w:rFonts w:ascii="Times New Roman" w:cs="Times New Roman" w:eastAsia="Times New Roman" w:hAnsi="Times New Roman"/>
          <w:sz w:val="18"/>
          <w:szCs w:val="18"/>
          <w:b w:val="1"/>
          <w:bCs w:val="1"/>
          <w:color w:val="auto"/>
        </w:rPr>
        <w:t>HIGHCAPE CAPITAL ACQUISITION CORP. STATEMENT OF CHANGES IN STOCKHOLDER’S EQUITY FOR THE PERIOD FROM JUNE 10, 2020 (INCEPTION) THROUGH JUNE 30, 2020</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3"/>
              </w:rPr>
              <w:t>Additional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60" w:type="dxa"/>
            <w:vAlign w:val="bottom"/>
            <w:gridSpan w:val="4"/>
          </w:tcPr>
          <w:p>
            <w:pPr>
              <w:jc w:val="right"/>
              <w:ind w:right="220"/>
              <w:spacing w:after="0" w:line="162" w:lineRule="exact"/>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gridSpan w:val="2"/>
          </w:tcPr>
          <w:p>
            <w:pPr>
              <w:jc w:val="right"/>
              <w:ind w:right="34"/>
              <w:spacing w:after="0" w:line="75" w:lineRule="exact"/>
              <w:rPr>
                <w:sz w:val="20"/>
                <w:szCs w:val="20"/>
                <w:color w:val="auto"/>
              </w:rPr>
            </w:pPr>
            <w:r>
              <w:rPr>
                <w:rFonts w:ascii="Times New Roman" w:cs="Times New Roman" w:eastAsia="Times New Roman" w:hAnsi="Times New Roman"/>
                <w:sz w:val="8"/>
                <w:szCs w:val="8"/>
                <w:b w:val="1"/>
                <w:bCs w:val="1"/>
                <w:color w:val="auto"/>
              </w:rPr>
              <w:t>Paid-In</w:t>
            </w:r>
          </w:p>
        </w:tc>
        <w:tc>
          <w:tcPr>
            <w:tcW w:w="220" w:type="dxa"/>
            <w:vAlign w:val="bottom"/>
          </w:tcPr>
          <w:p>
            <w:pPr>
              <w:spacing w:after="0"/>
              <w:rPr>
                <w:sz w:val="7"/>
                <w:szCs w:val="7"/>
                <w:color w:val="auto"/>
              </w:rPr>
            </w:pPr>
          </w:p>
        </w:tc>
        <w:tc>
          <w:tcPr>
            <w:tcW w:w="1040" w:type="dxa"/>
            <w:vAlign w:val="bottom"/>
            <w:gridSpan w:val="5"/>
          </w:tcPr>
          <w:p>
            <w:pPr>
              <w:jc w:val="center"/>
              <w:ind w:right="260"/>
              <w:spacing w:after="0" w:line="7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860" w:type="dxa"/>
            <w:vAlign w:val="bottom"/>
            <w:gridSpan w:val="4"/>
          </w:tcPr>
          <w:p>
            <w:pPr>
              <w:jc w:val="center"/>
              <w:ind w:right="40"/>
              <w:spacing w:after="0" w:line="7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200"/>
        </w:trPr>
        <w:tc>
          <w:tcPr>
            <w:tcW w:w="1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81"/>
              </w:rPr>
              <w:t>Amount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10, 2020 (inception)</w:t>
            </w: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37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Issuance of Class B common stock to</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3760" w:type="dxa"/>
            <w:vAlign w:val="bottom"/>
            <w:gridSpan w:val="2"/>
          </w:tcPr>
          <w:p>
            <w:pPr>
              <w:ind w:left="180"/>
              <w:spacing w:after="0" w:line="296" w:lineRule="exact"/>
              <w:rPr>
                <w:sz w:val="20"/>
                <w:szCs w:val="20"/>
                <w:color w:val="auto"/>
              </w:rPr>
            </w:pPr>
            <w:r>
              <w:rPr>
                <w:rFonts w:ascii="Times New Roman" w:cs="Times New Roman" w:eastAsia="Times New Roman" w:hAnsi="Times New Roman"/>
                <w:sz w:val="18"/>
                <w:szCs w:val="18"/>
                <w:color w:val="auto"/>
              </w:rPr>
              <w:t>Sponsor</w:t>
            </w:r>
            <w:r>
              <w:rPr>
                <w:rFonts w:ascii="Times New Roman" w:cs="Times New Roman" w:eastAsia="Times New Roman" w:hAnsi="Times New Roman"/>
                <w:sz w:val="26"/>
                <w:szCs w:val="26"/>
                <w:color w:val="auto"/>
                <w:vertAlign w:val="superscript"/>
              </w:rPr>
              <w:t>(1)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2,875,000</w:t>
            </w:r>
          </w:p>
        </w:tc>
        <w:tc>
          <w:tcPr>
            <w:tcW w:w="2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right w:val="single" w:sz="8" w:color="CCEEFF"/>
            </w:tcBorders>
            <w:shd w:val="clear" w:color="auto" w:fill="CCEEFF"/>
          </w:tcPr>
          <w:p>
            <w:pPr>
              <w:spacing w:after="0"/>
              <w:rPr>
                <w:sz w:val="22"/>
                <w:szCs w:val="22"/>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(1,000)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2,875,000</w:t>
            </w:r>
          </w:p>
        </w:tc>
        <w:tc>
          <w:tcPr>
            <w:tcW w:w="2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$288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24,712</w:t>
            </w:r>
          </w:p>
        </w:tc>
        <w:tc>
          <w:tcPr>
            <w:tcW w:w="34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(1,000)</w:t>
            </w:r>
          </w:p>
        </w:tc>
        <w:tc>
          <w:tcPr>
            <w:tcW w:w="2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-933450</wp:posOffset>
            </wp:positionV>
            <wp:extent cx="46716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97" w:lineRule="exact"/>
        <w:rPr>
          <w:sz w:val="20"/>
          <w:szCs w:val="20"/>
          <w:color w:val="auto"/>
        </w:rPr>
      </w:pPr>
    </w:p>
    <w:p>
      <w:pPr>
        <w:ind w:left="1620" w:right="739" w:hanging="358"/>
        <w:spacing w:after="0" w:line="282" w:lineRule="auto"/>
        <w:tabs>
          <w:tab w:leader="none" w:pos="1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375,000 Class B shares subject to forfeiture if the over-allotment option is not exercised in full or in part by the underwriters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0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58" w:name="page159"/>
    <w:bookmarkEnd w:id="158"/>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3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FOR THE PERIOD FROM JUNE 10, 2020 (INCEPTION) THROUGH JUNE 30, 2020</w:t>
      </w:r>
    </w:p>
    <w:p>
      <w:pPr>
        <w:sectPr>
          <w:pgSz w:w="11900" w:h="16838" w:orient="portrait"/>
          <w:cols w:equalWidth="0" w:num="1">
            <w:col w:w="10139"/>
          </w:cols>
          <w:pgMar w:left="320" w:top="114" w:right="1440" w:bottom="1440" w:gutter="0" w:footer="0" w:header="0"/>
        </w:sectPr>
      </w:pP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-107950</wp:posOffset>
            </wp:positionV>
            <wp:extent cx="5212080"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521208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wp:posOffset>
            </wp:positionV>
            <wp:extent cx="521208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19685</wp:posOffset>
            </wp:positionV>
            <wp:extent cx="5212080"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from issuance of Class B common stock to Sponsor</w:t>
      </w:r>
    </w:p>
    <w:p>
      <w:pPr>
        <w:spacing w:after="0" w:line="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28575</wp:posOffset>
            </wp:positionV>
            <wp:extent cx="52120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wp:posOffset>
            </wp:positionV>
            <wp:extent cx="521208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27305</wp:posOffset>
            </wp:positionV>
            <wp:extent cx="52120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9" w:lineRule="exact"/>
        <w:rPr>
          <w:sz w:val="20"/>
          <w:szCs w:val="20"/>
          <w:color w:val="auto"/>
        </w:rPr>
      </w:pPr>
    </w:p>
    <w:p>
      <w:pPr>
        <w:ind w:left="1260" w:right="2380"/>
        <w:spacing w:after="0" w:line="391" w:lineRule="auto"/>
        <w:rPr>
          <w:sz w:val="20"/>
          <w:szCs w:val="20"/>
          <w:color w:val="auto"/>
        </w:rPr>
      </w:pPr>
      <w:r>
        <w:rPr>
          <w:rFonts w:ascii="Times New Roman" w:cs="Times New Roman" w:eastAsia="Times New Roman" w:hAnsi="Times New Roman"/>
          <w:sz w:val="18"/>
          <w:szCs w:val="18"/>
          <w:color w:val="auto"/>
        </w:rPr>
        <w:t>Payment of deferred offering costs through promissory note Deferred offering costs included in accrued offering costs</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(1,000)</w:t>
      </w:r>
    </w:p>
    <w:p>
      <w:pPr>
        <w:spacing w:after="0" w:line="318"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1,000</w:t>
      </w:r>
    </w:p>
    <w:p>
      <w:pPr>
        <w:spacing w:after="0" w:line="73"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25,000</w:t>
      </w:r>
    </w:p>
    <w:p>
      <w:pPr>
        <w:spacing w:after="0" w:line="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25,000</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25,000</w:t>
      </w:r>
    </w:p>
    <w:p>
      <w:pPr>
        <w:spacing w:after="0" w:line="54"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right"/>
        <w:ind w:right="659"/>
        <w:spacing w:after="0"/>
        <w:rPr>
          <w:sz w:val="20"/>
          <w:szCs w:val="20"/>
          <w:color w:val="auto"/>
        </w:rPr>
      </w:pPr>
      <w:r>
        <w:rPr>
          <w:rFonts w:ascii="Times New Roman" w:cs="Times New Roman" w:eastAsia="Times New Roman" w:hAnsi="Times New Roman"/>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3771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43180</wp:posOffset>
            </wp:positionV>
            <wp:extent cx="3771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3771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3771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8160" w:space="720"/>
            <w:col w:w="1259"/>
          </w:cols>
          <w:pgMar w:left="32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0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48"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HighCape Capital Acquisition Corp. (the “Company”) was incorporated in Delaware on June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16" w:lineRule="exact"/>
        <w:rPr>
          <w:sz w:val="20"/>
          <w:szCs w:val="20"/>
          <w:color w:val="auto"/>
        </w:rPr>
      </w:pPr>
    </w:p>
    <w:p>
      <w:pPr>
        <w:ind w:left="1260" w:right="679" w:firstLine="360"/>
        <w:spacing w:after="0" w:line="241" w:lineRule="auto"/>
        <w:rPr>
          <w:sz w:val="20"/>
          <w:szCs w:val="20"/>
          <w:color w:val="auto"/>
        </w:rPr>
      </w:pPr>
      <w:r>
        <w:rPr>
          <w:rFonts w:ascii="Times New Roman" w:cs="Times New Roman" w:eastAsia="Times New Roman" w:hAnsi="Times New Roman"/>
          <w:sz w:val="18"/>
          <w:szCs w:val="18"/>
          <w:color w:val="auto"/>
        </w:rPr>
        <w:t>As of June 30, 2020, the Company had not commenced any operations. All activity for the period from June 10, 2020 (inception) through June 30,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11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Company’s ability to commence operations is contingent upon obtaining adequate financial resources through the Proposed Public Offering of 10,000,000 units (the “Units” and, with respect to the shares of Class A common stock included in the Units being offered, the “Public Shares”) at $10.00 per Unit (or 11,500,000 Units if the underwriters’ over-allotment option is exercised in full), which is discussed in Note 3, and the sale of 375,000 units (or 405,000 units if the underwriters’ over-allotment option is exercised in full) (each, a “Private Placement Unit” and collectively, the “Private Placement Units”) at a price of $ 10.00 per Private Placement Unit in a private placement to HighCape Capital Acquisition, LLC, a Delaware limited liability company (the “Sponsor”), that will close simultaneously with the Proposed Public Offering.</w:t>
      </w:r>
    </w:p>
    <w:p>
      <w:pPr>
        <w:spacing w:after="0" w:line="302"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Private Placement Units,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(as defined below)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Upon the closing of the Proposed Public Offering, management has agreed that an amount equal to at least $ 10.00 per Unit sold in the Proposed Public Offering, including proceeds of the Private Placement Units, will be held in a trust account (“Trust Account”), located in the United States and invested only in U.S. government securities, within the meaning set forth in Section 2(a)(16) of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270"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$10.00 per Public Share, plus any pro rata interest then in the Trust Account, net of taxes payable). There will be no redemption rights upon the completion of a Business Combination with respect to the Company’s warrants. The Public Shares subject to redemption will be</w:t>
      </w:r>
    </w:p>
    <w:p>
      <w:pPr>
        <w:spacing w:after="0" w:line="200" w:lineRule="exact"/>
        <w:rPr>
          <w:sz w:val="20"/>
          <w:szCs w:val="20"/>
          <w:color w:val="auto"/>
        </w:rPr>
      </w:pPr>
    </w:p>
    <w:p>
      <w:pPr>
        <w:spacing w:after="0" w:line="35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left="1260" w:right="1079"/>
        <w:spacing w:after="0" w:line="250" w:lineRule="auto"/>
        <w:rPr>
          <w:sz w:val="20"/>
          <w:szCs w:val="20"/>
          <w:color w:val="auto"/>
        </w:rPr>
      </w:pPr>
      <w:r>
        <w:rPr>
          <w:rFonts w:ascii="Times New Roman" w:cs="Times New Roman" w:eastAsia="Times New Roman" w:hAnsi="Times New Roman"/>
          <w:sz w:val="18"/>
          <w:szCs w:val="18"/>
          <w:color w:val="auto"/>
        </w:rPr>
        <w:t>recorded at a redemption value and classified as temporary equity upon the completion of the Proposed Public Offering in accordance with the Accounting Standards Codification (“ASC”) Topic 480 “Distinguishing Liabilities from Equity.”</w:t>
      </w:r>
    </w:p>
    <w:p>
      <w:pPr>
        <w:spacing w:after="0" w:line="96"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Company will only proceed with a Business Combination if the Company has net tangible assets of at least $ 5,000,001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Proposed Public Offering (the “initial stockholders”) have agreed to vote their Founder Shares (as defined in Note 5), Private Placement Shares (as defined in Note 4) and any Public Shares purchased during or after the Proposed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275" w:lineRule="exact"/>
        <w:rPr>
          <w:sz w:val="20"/>
          <w:szCs w:val="20"/>
          <w:color w:val="auto"/>
        </w:rPr>
      </w:pPr>
    </w:p>
    <w:p>
      <w:pPr>
        <w:ind w:left="1260" w:right="719" w:firstLine="360"/>
        <w:spacing w:after="0" w:line="241" w:lineRule="auto"/>
        <w:rPr>
          <w:sz w:val="20"/>
          <w:szCs w:val="20"/>
          <w:color w:val="auto"/>
        </w:rPr>
      </w:pPr>
      <w:r>
        <w:rPr>
          <w:rFonts w:ascii="Times New Roman" w:cs="Times New Roman" w:eastAsia="Times New Roman" w:hAnsi="Times New Roman"/>
          <w:sz w:val="18"/>
          <w:szCs w:val="18"/>
          <w:color w:val="auto"/>
        </w:rPr>
        <w:t>If the Company seeks stockholder approval of a Business Combination and it does not conduct redemptions pursuant to the tender offer rules, 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16"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The Sponsor has agreed (a) to waive its redemption rights with respect to the Founder Shares, Private Placement Shares and Public Shares held by it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 -business combination activity, unless the Company provides the Public Stockholders with the opportunity to redeem their Public Shares in conjunction with any such amendment.</w:t>
      </w:r>
    </w:p>
    <w:p>
      <w:pPr>
        <w:spacing w:after="0" w:line="106" w:lineRule="exact"/>
        <w:rPr>
          <w:sz w:val="20"/>
          <w:szCs w:val="20"/>
          <w:color w:val="auto"/>
        </w:rPr>
      </w:pPr>
    </w:p>
    <w:p>
      <w:pPr>
        <w:ind w:left="1260" w:right="739" w:firstLine="360"/>
        <w:spacing w:after="0" w:line="237" w:lineRule="auto"/>
        <w:rPr>
          <w:sz w:val="20"/>
          <w:szCs w:val="20"/>
          <w:color w:val="auto"/>
        </w:rPr>
      </w:pPr>
      <w:r>
        <w:rPr>
          <w:rFonts w:ascii="Times New Roman" w:cs="Times New Roman" w:eastAsia="Times New Roman" w:hAnsi="Times New Roman"/>
          <w:sz w:val="18"/>
          <w:szCs w:val="18"/>
          <w:color w:val="auto"/>
        </w:rPr>
        <w:t>If the Company has not completed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2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Sponsor has agreed to waive its liquidation rights with respect to the Founder Shares and Private Placement Shares if the Company fails to complete a Business Combination within the Combination Period.</w:t>
      </w:r>
    </w:p>
    <w:p>
      <w:pPr>
        <w:spacing w:after="0" w:line="33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left="1260" w:right="699"/>
        <w:spacing w:after="0" w:line="239" w:lineRule="auto"/>
        <w:rPr>
          <w:sz w:val="20"/>
          <w:szCs w:val="20"/>
          <w:color w:val="auto"/>
        </w:rPr>
      </w:pPr>
      <w:r>
        <w:rPr>
          <w:rFonts w:ascii="Times New Roman" w:cs="Times New Roman" w:eastAsia="Times New Roman" w:hAnsi="Times New Roman"/>
          <w:sz w:val="18"/>
          <w:szCs w:val="18"/>
          <w:color w:val="auto"/>
        </w:rPr>
        <w:t>However, if the Sponsor acquires Public Shares in or after the Proposed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06" w:lineRule="exact"/>
        <w:rPr>
          <w:sz w:val="20"/>
          <w:szCs w:val="20"/>
          <w:color w:val="auto"/>
        </w:rPr>
      </w:pPr>
    </w:p>
    <w:p>
      <w:pPr>
        <w:ind w:left="1260" w:right="719" w:firstLine="360"/>
        <w:spacing w:after="0"/>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accounting firm), prospective target businesses and other entities with which the Company does business, execute agreements with the Company waiving any right, title, interest or claim of any kind in or to monies held in the Trust Account.</w:t>
      </w: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accompanying audited financial statements are presented in conformity with accounting principles generally accepted in the United States of America (“GAAP”) and pursuant to the rules and regulations of the SEC.</w:t>
      </w:r>
    </w:p>
    <w:p>
      <w:pPr>
        <w:spacing w:after="0" w:line="109" w:lineRule="exact"/>
        <w:rPr>
          <w:sz w:val="20"/>
          <w:szCs w:val="20"/>
          <w:color w:val="auto"/>
        </w:rPr>
      </w:pPr>
    </w:p>
    <w:p>
      <w:pPr>
        <w:ind w:left="1260" w:right="819" w:firstLine="360"/>
        <w:spacing w:after="0"/>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date of issuance of these financial statements.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3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12"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6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24" w:lineRule="exact"/>
        <w:rPr>
          <w:sz w:val="20"/>
          <w:szCs w:val="20"/>
          <w:color w:val="auto"/>
        </w:rPr>
      </w:pPr>
    </w:p>
    <w:p>
      <w:pPr>
        <w:ind w:left="1260" w:right="839" w:firstLine="360"/>
        <w:spacing w:after="0" w:line="254"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2020. The Company is currently not aware of any issues under review that could result in significant payments, accruals or material deviation from its position. The Company is subject to income tax examinations by major taxing authorities since inception.</w:t>
      </w:r>
    </w:p>
    <w:p>
      <w:pPr>
        <w:sectPr>
          <w:pgSz w:w="11900" w:h="16838" w:orient="portrait"/>
          <w:cols w:equalWidth="0" w:num="1">
            <w:col w:w="10139"/>
          </w:cols>
          <w:pgMar w:left="320" w:top="114"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The provision for income taxes was deemed to be de minimis for the period from June 10, 2020 (inception) through June 30, 2020.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48"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Net loss per share is computed by dividing net loss by the weighted average number of shares of common stock outstanding during the period, excluding shares of common stock subject to forfeiture by the Sponsor. Weighted average shares were reduced for the effect of an aggregate of 375,000 shares of Class B common stock that are subject to forfeiture if the over-allotment option is not exercised by the underwriters (see Note 5).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6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 approximates the carrying amounts represented in the balance sheet, primarily due to their short-term nature.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 Proposed Public Offering</w:t>
      </w:r>
    </w:p>
    <w:p>
      <w:pPr>
        <w:spacing w:after="0" w:line="16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10,000,000 Units (or 11,500,000 Units if the underwriters’ over-allotment option is exercised in full) at a price of $10.00 per Unit. Each Unit will consist of one share of Class A common stock and one-third of one redeemable warrant (“Public Warrant”). Each whole Public Warrant will entitle the holder to purchase one share of Class A common stock at a price of $11.50 per share, subject to adjustment (see Note 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6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Sponsor has agreed to purchase an aggregate of 375,000 Private Placement Units (or 405,000 Private Placement Units if the over-allotment option is exercised in full) at a price of $10.00 per Private Placement Unit, for an aggregate purchase price of $3,750,000 (or $4,050,000 if the over-allotment option is exercised in full), in a private placement that will occur simultaneously with the closing of the Proposed Public Offering. Each Private Placement Unit will consist of one share of Class A common stock (“Private Placement Share” or, collectively, “Private Placement Shares”) and one-third of one warrant (each, a “Private Placement Warrant”). Each whole Private Placement Warrant is exercisable to purchase one share of Class A common stock at a price of $11.50 per share, subject to adjustment. A portion of the proceeds from the Private Placement Units will be added to the proceeds from the Proposed Public Offering to be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Private Placement Units and all underlying securities will expire worthless.</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48" w:lineRule="exact"/>
        <w:rPr>
          <w:sz w:val="20"/>
          <w:szCs w:val="20"/>
          <w:color w:val="auto"/>
        </w:rPr>
      </w:pPr>
    </w:p>
    <w:p>
      <w:pPr>
        <w:ind w:left="1260" w:right="759" w:firstLine="360"/>
        <w:spacing w:after="0" w:line="237" w:lineRule="auto"/>
        <w:rPr>
          <w:sz w:val="20"/>
          <w:szCs w:val="20"/>
          <w:color w:val="auto"/>
        </w:rPr>
      </w:pPr>
      <w:r>
        <w:rPr>
          <w:rFonts w:ascii="Times New Roman" w:cs="Times New Roman" w:eastAsia="Times New Roman" w:hAnsi="Times New Roman"/>
          <w:sz w:val="18"/>
          <w:szCs w:val="18"/>
          <w:color w:val="auto"/>
        </w:rPr>
        <w:t>On June 10, 2020, the Company issued an aggregate of 2,875,000 shares of Class B common stock to the Sponsor (the “Founder Shares”) for an aggregate price of $25,000. On June 30, 2020, the Sponsor transferred 30,000 Founder Shares to each of its three independent directors, or an aggregate of 90,000 Founder Shares, resulting in the Sponsor holding an aggregate of 2,785,000 Founder Shares. The Founder Shares include an aggregate of up to 375,000 shares subject to forfeiture to the extent that the underwriters’ over-allotment option is not exercised in full or in part, so that the number of Founder Shares will equal 20% of the Company’s issued and outstanding shares after the Proposed Public Offering (not including the Private Placement Shares) . If the Company increases or decreases the size of the Proposed Public Offering, the Company will effect a share capitalization or a share repurchase or redemption or other appropriate mechanism, as applicable, with respect to the shares of common stock prior to the consummation of the Proposed Public Offering in such amount as to maintain the number of Founder Shares at 20% of the Company’s issued and outstanding common stock upon the consummation of the Proposed Public Offering.</w:t>
      </w:r>
    </w:p>
    <w:p>
      <w:pPr>
        <w:spacing w:after="0" w:line="126"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The Sponsor has agreed, subject to limited exceptions, not to transfer, assign or sell any of the Founder Shares until the earlier to occur of: (A) one year after the completion of a Business Combination and</w:t>
      </w:r>
    </w:p>
    <w:p>
      <w:pPr>
        <w:spacing w:after="0" w:line="1" w:lineRule="exact"/>
        <w:rPr>
          <w:sz w:val="20"/>
          <w:szCs w:val="20"/>
          <w:color w:val="auto"/>
        </w:rPr>
      </w:pPr>
    </w:p>
    <w:p>
      <w:pPr>
        <w:ind w:left="1260" w:right="719" w:firstLine="2"/>
        <w:spacing w:after="0" w:line="237" w:lineRule="auto"/>
        <w:tabs>
          <w:tab w:leader="none" w:pos="155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a Business Combination, (x) if the last reported sale price of the Class A common stock equals or exceeds $12.00 per share (as adjusted for stock splits, stock dividends,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 Related Party</w:t>
      </w:r>
    </w:p>
    <w:p>
      <w:pPr>
        <w:spacing w:after="0" w:line="162" w:lineRule="exact"/>
        <w:rPr>
          <w:sz w:val="20"/>
          <w:szCs w:val="20"/>
          <w:color w:val="auto"/>
        </w:rPr>
      </w:pPr>
    </w:p>
    <w:p>
      <w:pPr>
        <w:ind w:left="1260" w:right="799" w:firstLine="360"/>
        <w:spacing w:after="0" w:line="242" w:lineRule="auto"/>
        <w:rPr>
          <w:sz w:val="20"/>
          <w:szCs w:val="20"/>
          <w:color w:val="auto"/>
        </w:rPr>
      </w:pPr>
      <w:r>
        <w:rPr>
          <w:rFonts w:ascii="Times New Roman" w:cs="Times New Roman" w:eastAsia="Times New Roman" w:hAnsi="Times New Roman"/>
          <w:sz w:val="18"/>
          <w:szCs w:val="18"/>
          <w:color w:val="auto"/>
        </w:rPr>
        <w:t>On June 10, 2020, the Sponsor issued an unsecured promissory note to the Company (the “Promissory Note”), pursuant to which the Company may borrow up to an aggregate principal amount of $300,000, of which $25,000 was outstanding under the Promissory Note as of June 30, 2020. The Promissory Note is non-interest bearing and payable on the earlier of June 10, 2021 or the consummation of the Proposed Public Offering.</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ind w:left="1260" w:right="679" w:firstLine="360"/>
        <w:spacing w:after="0"/>
        <w:rPr>
          <w:sz w:val="20"/>
          <w:szCs w:val="20"/>
          <w:color w:val="auto"/>
        </w:rPr>
      </w:pPr>
      <w:r>
        <w:rPr>
          <w:rFonts w:ascii="Times New Roman" w:cs="Times New Roman" w:eastAsia="Times New Roman" w:hAnsi="Times New Roman"/>
          <w:sz w:val="18"/>
          <w:szCs w:val="18"/>
          <w:color w:val="auto"/>
        </w:rPr>
        <w:t>In addition, in order to fund working capital deficiencies or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$1,500,000 of such Working Capital Loans may be convertible into units upon consummation of the Business Combination at a price of $10.00 per unit. The units would be identical to the Private Placement Units. Except for the foregoing, the terms of such Working Capital Loans, if any, have not been determined and no written agreements exist with respect to such loans. As of June 30, 2020, there were no amounts outstanding under the Working Capital Loans.</w:t>
      </w:r>
    </w:p>
    <w:p>
      <w:pPr>
        <w:spacing w:after="0" w:line="3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Company will enter into an agreement, commencing on the effective date of the Proposed Public Offering through the earlier of the Company’s consummation of a Business Combination and its liquidation,</w:t>
      </w:r>
    </w:p>
    <w:p>
      <w:pPr>
        <w:sectPr>
          <w:pgSz w:w="11900" w:h="16838" w:orient="portrait"/>
          <w:cols w:equalWidth="0" w:num="1">
            <w:col w:w="10139"/>
          </w:cols>
          <w:pgMar w:left="320" w:top="114" w:right="1440" w:bottom="1440" w:gutter="0" w:footer="0" w:header="0"/>
        </w:sectPr>
      </w:pPr>
    </w:p>
    <w:p>
      <w:pPr>
        <w:spacing w:after="0" w:line="33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5" w:name="page166"/>
    <w:bookmarkEnd w:id="165"/>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left="1260" w:right="1359"/>
        <w:spacing w:after="0" w:line="266" w:lineRule="auto"/>
        <w:rPr>
          <w:sz w:val="20"/>
          <w:szCs w:val="20"/>
          <w:color w:val="auto"/>
        </w:rPr>
      </w:pPr>
      <w:r>
        <w:rPr>
          <w:rFonts w:ascii="Times New Roman" w:cs="Times New Roman" w:eastAsia="Times New Roman" w:hAnsi="Times New Roman"/>
          <w:sz w:val="18"/>
          <w:szCs w:val="18"/>
          <w:color w:val="auto"/>
        </w:rPr>
        <w:t>to pay an affiliate of the Sponsor a total of up to $10,000 per month for office space, secretarial and administrative services.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94" w:lineRule="exact"/>
        <w:rPr>
          <w:sz w:val="20"/>
          <w:szCs w:val="20"/>
          <w:color w:val="auto"/>
        </w:rPr>
      </w:pPr>
    </w:p>
    <w:p>
      <w:pPr>
        <w:ind w:left="1260" w:right="819" w:firstLine="360"/>
        <w:spacing w:after="0" w:line="242"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08" w:lineRule="exact"/>
        <w:rPr>
          <w:sz w:val="20"/>
          <w:szCs w:val="20"/>
          <w:color w:val="auto"/>
        </w:rPr>
      </w:pPr>
    </w:p>
    <w:p>
      <w:pPr>
        <w:ind w:left="1260" w:right="759" w:firstLine="360"/>
        <w:spacing w:after="0" w:line="238" w:lineRule="auto"/>
        <w:rPr>
          <w:sz w:val="20"/>
          <w:szCs w:val="20"/>
          <w:color w:val="auto"/>
        </w:rPr>
      </w:pPr>
      <w:r>
        <w:rPr>
          <w:rFonts w:ascii="Times New Roman" w:cs="Times New Roman" w:eastAsia="Times New Roman" w:hAnsi="Times New Roman"/>
          <w:sz w:val="18"/>
          <w:szCs w:val="18"/>
          <w:color w:val="auto"/>
        </w:rPr>
        <w:t>The holders of the Founder Shares, Private Placement Units, Private Placement Shares, Private Placement Warrants and securities that may be issued upon conversion of Working Capital Loans (and any Class A common stock issuable upon the exercise of the Private Placement Warrants and warrants that may be issued upon conversion of Working Capital Loans and upon conversion of the Founder Shares) are entitled to registration rights pursuant to a registration rights agreement, requiring the Company to register such securities and any other securities of the Company acquired by them prior to the consummation of our initial business combination for resale.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08" w:lineRule="exact"/>
        <w:rPr>
          <w:sz w:val="20"/>
          <w:szCs w:val="20"/>
          <w:color w:val="auto"/>
        </w:rPr>
      </w:pPr>
    </w:p>
    <w:p>
      <w:pPr>
        <w:jc w:val="both"/>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The Company will grant the underwriters a 45 -day option from the date of Proposed Public Offering to purchase up to 1,500,000 additional Units to cover over-allotments, if any, at the Proposed Public Offering price less the underwriting discounts and commissions.</w:t>
      </w:r>
    </w:p>
    <w:p>
      <w:pPr>
        <w:spacing w:after="0" w:line="96"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The underwriters will be entitled to a cash underwriting discount of $0.20 per Unit, or $2,000,000 in the aggregate (or $2,300,000 in the aggregate if the underwriters’ over-allotment option is exercised in full), payable upon the closing of the Proposed Public Offering. In addition, the underwriters will be entitled to a deferred fee of $0.35 per Unit, or $3,500,000 in the aggregate (or $4,025,000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104" w:lineRule="exact"/>
        <w:rPr>
          <w:sz w:val="20"/>
          <w:szCs w:val="20"/>
          <w:color w:val="auto"/>
        </w:rPr>
      </w:pPr>
    </w:p>
    <w:p>
      <w:pPr>
        <w:ind w:left="1260" w:right="8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with such designations, voting and other rights and preferences as may be determined from time to time by the Company’s board of directors. At June 30, 2020, there were no shares of preferred stock issued or outstanding.</w:t>
      </w:r>
    </w:p>
    <w:p>
      <w:pPr>
        <w:spacing w:after="0" w:line="56" w:lineRule="exact"/>
        <w:rPr>
          <w:sz w:val="20"/>
          <w:szCs w:val="20"/>
          <w:color w:val="auto"/>
        </w:rPr>
      </w:pPr>
    </w:p>
    <w:p>
      <w:pPr>
        <w:jc w:val="both"/>
        <w:ind w:left="1260" w:right="8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with a par value of $0.0001 per share. Holders of Class A common stock are entitled to one vote for each share. At June 30, 2020, there were no shares of Class A common stock issued or outstanding.</w:t>
      </w:r>
    </w:p>
    <w:p>
      <w:pPr>
        <w:spacing w:after="0" w:line="36"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with a par value of $0.0001 per share. Holders of Class B common stock are entitled to one vote for each share. At June 30, 2020, there were 2,875,000 shares of Class B common stock issued and outstanding, of which an aggregate of up to 375,000 shares are subject to forfeiture to the extent that the underwriters’ over-allotment option is not exercised in full or in part, so that the number of shares of Class B common stock</w:t>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left="1260" w:right="799"/>
        <w:spacing w:after="0" w:line="266" w:lineRule="auto"/>
        <w:rPr>
          <w:sz w:val="20"/>
          <w:szCs w:val="20"/>
          <w:color w:val="auto"/>
        </w:rPr>
      </w:pPr>
      <w:r>
        <w:rPr>
          <w:rFonts w:ascii="Times New Roman" w:cs="Times New Roman" w:eastAsia="Times New Roman" w:hAnsi="Times New Roman"/>
          <w:sz w:val="18"/>
          <w:szCs w:val="18"/>
          <w:color w:val="auto"/>
        </w:rPr>
        <w:t>will equal 20% of the Company’s issued and outstanding common stock after the Proposed Public Offering (not including the Private Placement Shares).</w:t>
      </w:r>
    </w:p>
    <w:p>
      <w:pPr>
        <w:spacing w:after="0" w:line="81" w:lineRule="exact"/>
        <w:rPr>
          <w:sz w:val="20"/>
          <w:szCs w:val="20"/>
          <w:color w:val="auto"/>
        </w:rPr>
      </w:pPr>
    </w:p>
    <w:p>
      <w:pPr>
        <w:ind w:left="1260" w:right="799" w:firstLine="360"/>
        <w:spacing w:after="0" w:line="245" w:lineRule="auto"/>
        <w:rPr>
          <w:sz w:val="20"/>
          <w:szCs w:val="20"/>
          <w:color w:val="auto"/>
        </w:rPr>
      </w:pPr>
      <w:r>
        <w:rPr>
          <w:rFonts w:ascii="Times New Roman" w:cs="Times New Roman" w:eastAsia="Times New Roman" w:hAnsi="Times New Roman"/>
          <w:sz w:val="18"/>
          <w:szCs w:val="18"/>
          <w:color w:val="auto"/>
        </w:rPr>
        <w:t>Only holders of the Class B common stock will have the right to vote on the election of directors prior to the Business Combination. Holders of Class A common stock and holders of Class B common stock will vote together as a single class on all matters submitted to a vote of our shareholders except as otherwise required by law.</w:t>
      </w:r>
    </w:p>
    <w:p>
      <w:pPr>
        <w:spacing w:after="0" w:line="113" w:lineRule="exact"/>
        <w:rPr>
          <w:sz w:val="20"/>
          <w:szCs w:val="20"/>
          <w:color w:val="auto"/>
        </w:rPr>
      </w:pPr>
    </w:p>
    <w:p>
      <w:pPr>
        <w:ind w:left="1260" w:right="739" w:firstLine="360"/>
        <w:spacing w:after="0" w:line="237" w:lineRule="auto"/>
        <w:rPr>
          <w:sz w:val="20"/>
          <w:szCs w:val="20"/>
          <w:color w:val="auto"/>
        </w:rPr>
      </w:pPr>
      <w:r>
        <w:rPr>
          <w:rFonts w:ascii="Times New Roman" w:cs="Times New Roman" w:eastAsia="Times New Roman" w:hAnsi="Times New Roman"/>
          <w:sz w:val="18"/>
          <w:szCs w:val="18"/>
          <w:color w:val="auto"/>
        </w:rPr>
        <w:t>The shares of Class B common stock will automatically convert into Class A common stock immediately following the completion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and excluding the Private Placement Shares underlying the Private Placement Warrants), including the total number of shares of Class A common stock issued, or deemed issued or issuable upon conversion or exercise of any equity -linked securities or rights issued or deemed issued, by the Company in connection with or in relation to the consummation of a Business Combination, excluding any shares of Class A common stock or equity- linked securities or rights exercisable for or convertible into shares of Class A common stock issued, or to be issued, to any seller in a Business Combination and any Private Placement Units issued to the Sponsor, officers or directors upon conversion of Working Capital Loans, provided that such conversion of Founder Shares will never occur on a less than one-for-one basis.</w:t>
      </w:r>
    </w:p>
    <w:p>
      <w:pPr>
        <w:spacing w:after="0" w:line="116" w:lineRule="exact"/>
        <w:rPr>
          <w:sz w:val="20"/>
          <w:szCs w:val="20"/>
          <w:color w:val="auto"/>
        </w:rPr>
      </w:pPr>
    </w:p>
    <w:p>
      <w:pPr>
        <w:ind w:left="1260" w:right="69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Public Warrants may only be exercised for a whole number of shares. No fractional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will be issued upon separation of the Units and only whole warrants will trade. The Public Warrants will become exercisable on the later of (a) 30 days after the completion of a Business Combination and (b) 12 months from the closing of the Proposed Public Offering. The Public Warrants will expire five years after the completion of a Business Combination or earlier upon redemption or liquidation.</w:t>
      </w:r>
    </w:p>
    <w:p>
      <w:pPr>
        <w:spacing w:after="0" w:line="104" w:lineRule="exact"/>
        <w:rPr>
          <w:sz w:val="20"/>
          <w:szCs w:val="20"/>
          <w:color w:val="auto"/>
        </w:rPr>
      </w:pPr>
    </w:p>
    <w:p>
      <w:pPr>
        <w:ind w:left="1260" w:right="679" w:firstLine="360"/>
        <w:spacing w:after="0" w:line="239"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current prospectus relating thereto is current, subject to the Company satisfying its obligations with respect to registration. No warrant will be exercisable and the Company will not be obligated to issue shares of Class A common stock upon exercise of a warrant unless the shares of Class A common stock issuable upon such warrant exercise has been registered, qualified or deemed to be exempt under the securities laws of the state of residence of the registered holder of the warrants.</w:t>
      </w:r>
    </w:p>
    <w:p>
      <w:pPr>
        <w:spacing w:after="0" w:line="120" w:lineRule="exact"/>
        <w:rPr>
          <w:sz w:val="20"/>
          <w:szCs w:val="20"/>
          <w:color w:val="auto"/>
        </w:rPr>
      </w:pPr>
    </w:p>
    <w:p>
      <w:pPr>
        <w:ind w:left="1260" w:right="699" w:firstLine="360"/>
        <w:spacing w:after="0" w:line="236"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 Section 18(b)</w:t>
      </w:r>
    </w:p>
    <w:p>
      <w:pPr>
        <w:spacing w:after="0" w:line="7" w:lineRule="exact"/>
        <w:rPr>
          <w:sz w:val="20"/>
          <w:szCs w:val="20"/>
          <w:color w:val="auto"/>
        </w:rPr>
      </w:pPr>
    </w:p>
    <w:p>
      <w:pPr>
        <w:ind w:left="1260" w:right="739" w:firstLine="2"/>
        <w:spacing w:after="0" w:line="238" w:lineRule="auto"/>
        <w:tabs>
          <w:tab w:leader="none" w:pos="152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w:t>
      </w: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HIGHCAPE CAPITAL ACQUISITION CORP.</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and in the event the Company does not so elect, it will use its best efforts to register or qualify the shares under applicable blue sky laws to the extent an exemption is not available.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Once the warrants become exercisable, the Company may redeem the Public Warrants:</w:t>
      </w:r>
    </w:p>
    <w:p>
      <w:pPr>
        <w:spacing w:after="0" w:line="117" w:lineRule="exact"/>
        <w:rPr>
          <w:sz w:val="20"/>
          <w:szCs w:val="20"/>
          <w:color w:val="auto"/>
        </w:rPr>
      </w:pPr>
    </w:p>
    <w:p>
      <w:pPr>
        <w:ind w:left="1800" w:hanging="178"/>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49" w:lineRule="exact"/>
        <w:rPr>
          <w:rFonts w:ascii="Times New Roman" w:cs="Times New Roman" w:eastAsia="Times New Roman" w:hAnsi="Times New Roman"/>
          <w:sz w:val="18"/>
          <w:szCs w:val="18"/>
          <w:color w:val="auto"/>
        </w:rPr>
      </w:pPr>
    </w:p>
    <w:p>
      <w:pPr>
        <w:ind w:left="1800" w:hanging="178"/>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49" w:lineRule="exact"/>
        <w:rPr>
          <w:rFonts w:ascii="Times New Roman" w:cs="Times New Roman" w:eastAsia="Times New Roman" w:hAnsi="Times New Roman"/>
          <w:sz w:val="18"/>
          <w:szCs w:val="18"/>
          <w:color w:val="auto"/>
        </w:rPr>
      </w:pPr>
    </w:p>
    <w:p>
      <w:pPr>
        <w:ind w:left="1800" w:right="879" w:hanging="178"/>
        <w:spacing w:after="0" w:line="266"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ind w:left="1800" w:right="739" w:hanging="178"/>
        <w:spacing w:after="0" w:line="261"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12" w:lineRule="exact"/>
        <w:rPr>
          <w:sz w:val="20"/>
          <w:szCs w:val="20"/>
          <w:color w:val="auto"/>
        </w:rPr>
      </w:pPr>
    </w:p>
    <w:p>
      <w:pPr>
        <w:ind w:left="1260" w:right="1339" w:firstLine="360"/>
        <w:spacing w:after="0" w:line="266"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08" w:lineRule="exact"/>
        <w:rPr>
          <w:sz w:val="20"/>
          <w:szCs w:val="20"/>
          <w:color w:val="auto"/>
        </w:rPr>
      </w:pPr>
    </w:p>
    <w:p>
      <w:pPr>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w:t>
      </w:r>
    </w:p>
    <w:p>
      <w:pPr>
        <w:spacing w:after="0" w:line="332" w:lineRule="exact"/>
        <w:rPr>
          <w:sz w:val="20"/>
          <w:szCs w:val="20"/>
          <w:color w:val="auto"/>
        </w:rPr>
      </w:pPr>
    </w:p>
    <w:p>
      <w:pPr>
        <w:ind w:left="1260" w:right="679" w:firstLine="360"/>
        <w:spacing w:after="0" w:line="253" w:lineRule="auto"/>
        <w:rPr>
          <w:sz w:val="20"/>
          <w:szCs w:val="20"/>
          <w:color w:val="auto"/>
        </w:rPr>
      </w:pPr>
      <w:r>
        <w:rPr>
          <w:rFonts w:ascii="Times New Roman" w:cs="Times New Roman" w:eastAsia="Times New Roman" w:hAnsi="Times New Roman"/>
          <w:sz w:val="18"/>
          <w:szCs w:val="18"/>
          <w:color w:val="auto"/>
        </w:rPr>
        <w:t>The Private Placement Warrants will be identical to the Public Warrants underlying the Units being sold in the Proposed Public Offering, except that (1) the Private Placement Warrants and the Class A common stock issuable upon the exercise of the Private Placement Warrants will not be transferable, assignable or saleable until 30 days after the completion of a Business Combination, subject to certain limited exceptions, (2) the Private Placement Warrants will be exercisable on a cashless basis, (3) the Private Placement Warrants will be non-redeemable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July 2, 2020, the date that the financial statements were available to be issued. Based upon this review, the Company did not identify any subsequent events that would have required adjustment or disclosure in the financial statements.</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68065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5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531495</wp:posOffset>
            </wp:positionV>
            <wp:extent cx="5212080" cy="774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2080" cy="77470"/>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60" w:right="160" w:firstLine="360"/>
        <w:spacing w:after="0" w:line="254" w:lineRule="auto"/>
        <w:rPr>
          <w:sz w:val="20"/>
          <w:szCs w:val="20"/>
          <w:color w:val="auto"/>
        </w:rPr>
      </w:pPr>
      <w:r>
        <w:rPr>
          <w:rFonts w:ascii="Times New Roman" w:cs="Times New Roman" w:eastAsia="Times New Roman" w:hAnsi="Times New Roman"/>
          <w:sz w:val="18"/>
          <w:szCs w:val="18"/>
          <w:color w:val="auto"/>
        </w:rPr>
        <w:t>Until September 28, 2020 (25 days after the date of this prospectus), all dealers that buy, sell or trade our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90170</wp:posOffset>
            </wp:positionV>
            <wp:extent cx="12344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1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8"/>
        </w:trPr>
        <w:tc>
          <w:tcPr>
            <w:tcW w:w="368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Summary</w:t>
              </w:r>
            </w:hyperlink>
          </w:p>
        </w:tc>
        <w:tc>
          <w:tcPr>
            <w:tcW w:w="3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1</w:t>
              </w:r>
            </w:hyperlink>
          </w:p>
        </w:tc>
      </w:tr>
      <w:tr>
        <w:trPr>
          <w:trHeight w:val="243"/>
        </w:trPr>
        <w:tc>
          <w:tcPr>
            <w:tcW w:w="3680" w:type="dxa"/>
            <w:vAlign w:val="bottom"/>
            <w:gridSpan w:val="9"/>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Summary Financial Data</w:t>
              </w:r>
            </w:hyperlink>
          </w:p>
        </w:tc>
        <w:tc>
          <w:tcPr>
            <w:tcW w:w="320" w:type="dxa"/>
            <w:vAlign w:val="bottom"/>
          </w:tcPr>
          <w:p>
            <w:pPr>
              <w:jc w:val="right"/>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32</w:t>
              </w:r>
            </w:hyperlink>
          </w:p>
        </w:tc>
      </w:tr>
      <w:tr>
        <w:trPr>
          <w:trHeight w:val="243"/>
        </w:trPr>
        <w:tc>
          <w:tcPr>
            <w:tcW w:w="368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Risk Factors</w:t>
              </w:r>
            </w:hyperlink>
          </w:p>
        </w:tc>
        <w:tc>
          <w:tcPr>
            <w:tcW w:w="3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33</w:t>
              </w:r>
            </w:hyperlink>
          </w:p>
        </w:tc>
      </w:tr>
      <w:tr>
        <w:trPr>
          <w:trHeight w:val="203"/>
        </w:trPr>
        <w:tc>
          <w:tcPr>
            <w:tcW w:w="2840" w:type="dxa"/>
            <w:vAlign w:val="bottom"/>
            <w:tcBorders>
              <w:bottom w:val="single" w:sz="8" w:color="0000EE"/>
            </w:tcBorders>
            <w:gridSpan w:val="6"/>
          </w:tcPr>
          <w:p>
            <w:pPr>
              <w:spacing w:after="0" w:line="202"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Cautionary Note Regarding Forward-</w:t>
              </w:r>
            </w:hyperlink>
          </w:p>
        </w:tc>
        <w:tc>
          <w:tcPr>
            <w:tcW w:w="8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500" w:type="dxa"/>
            <w:vAlign w:val="bottom"/>
            <w:gridSpan w:val="8"/>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Looking Statements</w:t>
              </w:r>
            </w:hyperlink>
          </w:p>
        </w:tc>
        <w:tc>
          <w:tcPr>
            <w:tcW w:w="320" w:type="dxa"/>
            <w:vAlign w:val="bottom"/>
          </w:tcPr>
          <w:p>
            <w:pPr>
              <w:jc w:val="right"/>
              <w:spacing w:after="0" w:line="196" w:lineRule="exact"/>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65</w:t>
              </w:r>
            </w:hyperlink>
          </w:p>
        </w:tc>
      </w:tr>
      <w:tr>
        <w:trPr>
          <w:trHeight w:val="21"/>
        </w:trPr>
        <w:tc>
          <w:tcPr>
            <w:tcW w:w="1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3"/>
        </w:trPr>
        <w:tc>
          <w:tcPr>
            <w:tcW w:w="368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Use of Proceeds</w:t>
              </w:r>
            </w:hyperlink>
          </w:p>
        </w:tc>
        <w:tc>
          <w:tcPr>
            <w:tcW w:w="3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66</w:t>
              </w:r>
            </w:hyperlink>
          </w:p>
        </w:tc>
      </w:tr>
      <w:tr>
        <w:trPr>
          <w:trHeight w:val="243"/>
        </w:trPr>
        <w:tc>
          <w:tcPr>
            <w:tcW w:w="3680" w:type="dxa"/>
            <w:vAlign w:val="bottom"/>
            <w:gridSpan w:val="9"/>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Dividend Policy</w:t>
              </w:r>
            </w:hyperlink>
          </w:p>
        </w:tc>
        <w:tc>
          <w:tcPr>
            <w:tcW w:w="320" w:type="dxa"/>
            <w:vAlign w:val="bottom"/>
          </w:tcPr>
          <w:p>
            <w:pPr>
              <w:jc w:val="right"/>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69</w:t>
              </w:r>
            </w:hyperlink>
          </w:p>
        </w:tc>
      </w:tr>
      <w:tr>
        <w:trPr>
          <w:trHeight w:val="243"/>
        </w:trPr>
        <w:tc>
          <w:tcPr>
            <w:tcW w:w="368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Dilution</w:t>
              </w:r>
            </w:hyperlink>
          </w:p>
        </w:tc>
        <w:tc>
          <w:tcPr>
            <w:tcW w:w="3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70</w:t>
              </w:r>
            </w:hyperlink>
          </w:p>
        </w:tc>
      </w:tr>
      <w:tr>
        <w:trPr>
          <w:trHeight w:val="243"/>
        </w:trPr>
        <w:tc>
          <w:tcPr>
            <w:tcW w:w="3680" w:type="dxa"/>
            <w:vAlign w:val="bottom"/>
            <w:gridSpan w:val="9"/>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Capitalization</w:t>
              </w:r>
            </w:hyperlink>
          </w:p>
        </w:tc>
        <w:tc>
          <w:tcPr>
            <w:tcW w:w="320" w:type="dxa"/>
            <w:vAlign w:val="bottom"/>
          </w:tcPr>
          <w:p>
            <w:pPr>
              <w:jc w:val="right"/>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72</w:t>
              </w:r>
            </w:hyperlink>
          </w:p>
        </w:tc>
      </w:tr>
      <w:tr>
        <w:trPr>
          <w:trHeight w:val="203"/>
        </w:trPr>
        <w:tc>
          <w:tcPr>
            <w:tcW w:w="3220" w:type="dxa"/>
            <w:vAlign w:val="bottom"/>
            <w:tcBorders>
              <w:bottom w:val="single" w:sz="8" w:color="0000EE"/>
            </w:tcBorders>
            <w:gridSpan w:val="8"/>
            <w:shd w:val="clear" w:color="auto" w:fill="CCEEFF"/>
          </w:tcPr>
          <w:p>
            <w:pPr>
              <w:spacing w:after="0" w:line="20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Management’s Discussion and Analysis of</w:t>
              </w:r>
            </w:hyperlink>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Financial Condition and Results of</w:t>
              </w:r>
            </w:hyperlink>
          </w:p>
        </w:tc>
        <w:tc>
          <w:tcPr>
            <w:tcW w:w="860" w:type="dxa"/>
            <w:vAlign w:val="bottom"/>
            <w:tcBorders>
              <w:bottom w:val="single" w:sz="8" w:color="CCEEFF"/>
            </w:tcBorders>
            <w:gridSpan w:val="4"/>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35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Operations</w:t>
              </w:r>
            </w:hyperlink>
          </w:p>
        </w:tc>
        <w:tc>
          <w:tcPr>
            <w:tcW w:w="320" w:type="dxa"/>
            <w:vAlign w:val="bottom"/>
            <w:shd w:val="clear" w:color="auto" w:fill="CCEEFF"/>
          </w:tcPr>
          <w:p>
            <w:pPr>
              <w:jc w:val="right"/>
              <w:spacing w:after="0" w:line="196" w:lineRule="exact"/>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73</w:t>
              </w:r>
            </w:hyperlink>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3680" w:type="dxa"/>
            <w:vAlign w:val="bottom"/>
            <w:gridSpan w:val="9"/>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Proposed Business</w:t>
              </w:r>
            </w:hyperlink>
          </w:p>
        </w:tc>
        <w:tc>
          <w:tcPr>
            <w:tcW w:w="320" w:type="dxa"/>
            <w:vAlign w:val="bottom"/>
          </w:tcPr>
          <w:p>
            <w:pPr>
              <w:jc w:val="right"/>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78</w:t>
              </w:r>
            </w:hyperlink>
          </w:p>
        </w:tc>
      </w:tr>
      <w:tr>
        <w:trPr>
          <w:trHeight w:val="243"/>
        </w:trPr>
        <w:tc>
          <w:tcPr>
            <w:tcW w:w="368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Management</w:t>
              </w:r>
            </w:hyperlink>
          </w:p>
        </w:tc>
        <w:tc>
          <w:tcPr>
            <w:tcW w:w="3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109</w:t>
              </w:r>
            </w:hyperlink>
          </w:p>
        </w:tc>
      </w:tr>
      <w:tr>
        <w:trPr>
          <w:trHeight w:val="243"/>
        </w:trPr>
        <w:tc>
          <w:tcPr>
            <w:tcW w:w="3680" w:type="dxa"/>
            <w:vAlign w:val="bottom"/>
            <w:gridSpan w:val="9"/>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Principal Stockholders</w:t>
              </w:r>
            </w:hyperlink>
          </w:p>
        </w:tc>
        <w:tc>
          <w:tcPr>
            <w:tcW w:w="320" w:type="dxa"/>
            <w:vAlign w:val="bottom"/>
          </w:tcPr>
          <w:p>
            <w:pPr>
              <w:jc w:val="right"/>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117</w:t>
              </w:r>
            </w:hyperlink>
          </w:p>
        </w:tc>
      </w:tr>
      <w:tr>
        <w:trPr>
          <w:trHeight w:val="203"/>
        </w:trPr>
        <w:tc>
          <w:tcPr>
            <w:tcW w:w="3020" w:type="dxa"/>
            <w:vAlign w:val="bottom"/>
            <w:tcBorders>
              <w:bottom w:val="single" w:sz="8" w:color="0000EE"/>
            </w:tcBorders>
            <w:gridSpan w:val="7"/>
            <w:shd w:val="clear" w:color="auto" w:fill="CCEEFF"/>
          </w:tcPr>
          <w:p>
            <w:pPr>
              <w:spacing w:after="0" w:line="202"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Certain Relationships and Related Party</w:t>
              </w:r>
            </w:hyperlink>
          </w:p>
        </w:tc>
        <w:tc>
          <w:tcPr>
            <w:tcW w:w="66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r>
      <w:tr>
        <w:trPr>
          <w:trHeight w:val="217"/>
        </w:trPr>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Transactions</w:t>
              </w:r>
            </w:hyperlink>
          </w:p>
        </w:tc>
        <w:tc>
          <w:tcPr>
            <w:tcW w:w="2540" w:type="dxa"/>
            <w:vAlign w:val="bottom"/>
            <w:tcBorders>
              <w:bottom w:val="single" w:sz="8" w:color="CCEEFF"/>
            </w:tcBorders>
            <w:gridSpan w:val="6"/>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line="196" w:lineRule="exact"/>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120</w:t>
              </w:r>
            </w:hyperlink>
          </w:p>
        </w:tc>
      </w:tr>
      <w:tr>
        <w:trPr>
          <w:trHeight w:val="243"/>
        </w:trPr>
        <w:tc>
          <w:tcPr>
            <w:tcW w:w="3680" w:type="dxa"/>
            <w:vAlign w:val="bottom"/>
            <w:gridSpan w:val="9"/>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Description of Securities</w:t>
              </w:r>
            </w:hyperlink>
          </w:p>
        </w:tc>
        <w:tc>
          <w:tcPr>
            <w:tcW w:w="320" w:type="dxa"/>
            <w:vAlign w:val="bottom"/>
          </w:tcPr>
          <w:p>
            <w:pPr>
              <w:jc w:val="right"/>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122</w:t>
              </w:r>
            </w:hyperlink>
          </w:p>
        </w:tc>
      </w:tr>
      <w:tr>
        <w:trPr>
          <w:trHeight w:val="243"/>
        </w:trPr>
        <w:tc>
          <w:tcPr>
            <w:tcW w:w="368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U.S. Federal Income Tax Considerations</w:t>
              </w:r>
            </w:hyperlink>
          </w:p>
        </w:tc>
        <w:tc>
          <w:tcPr>
            <w:tcW w:w="3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137</w:t>
              </w:r>
            </w:hyperlink>
          </w:p>
        </w:tc>
      </w:tr>
      <w:tr>
        <w:trPr>
          <w:trHeight w:val="243"/>
        </w:trPr>
        <w:tc>
          <w:tcPr>
            <w:tcW w:w="3680" w:type="dxa"/>
            <w:vAlign w:val="bottom"/>
            <w:gridSpan w:val="9"/>
          </w:tcPr>
          <w:p>
            <w:pPr>
              <w:spacing w:after="0"/>
              <w:rPr>
                <w:rFonts w:ascii="Times New Roman" w:cs="Times New Roman" w:eastAsia="Times New Roman" w:hAnsi="Times New Roman"/>
                <w:sz w:val="18"/>
                <w:szCs w:val="18"/>
                <w:u w:val="single" w:color="auto"/>
                <w:color w:val="0000EE"/>
              </w:rPr>
            </w:pPr>
            <w:hyperlink w:anchor="page145">
              <w:r>
                <w:rPr>
                  <w:rFonts w:ascii="Times New Roman" w:cs="Times New Roman" w:eastAsia="Times New Roman" w:hAnsi="Times New Roman"/>
                  <w:sz w:val="18"/>
                  <w:szCs w:val="18"/>
                  <w:u w:val="single" w:color="auto"/>
                  <w:color w:val="0000EE"/>
                </w:rPr>
                <w:t>Underwriting</w:t>
              </w:r>
            </w:hyperlink>
          </w:p>
        </w:tc>
        <w:tc>
          <w:tcPr>
            <w:tcW w:w="320" w:type="dxa"/>
            <w:vAlign w:val="bottom"/>
          </w:tcPr>
          <w:p>
            <w:pPr>
              <w:jc w:val="right"/>
              <w:spacing w:after="0"/>
              <w:rPr>
                <w:rFonts w:ascii="Times New Roman" w:cs="Times New Roman" w:eastAsia="Times New Roman" w:hAnsi="Times New Roman"/>
                <w:sz w:val="18"/>
                <w:szCs w:val="18"/>
                <w:u w:val="single" w:color="auto"/>
                <w:color w:val="0000EE"/>
              </w:rPr>
            </w:pPr>
            <w:hyperlink w:anchor="page145">
              <w:r>
                <w:rPr>
                  <w:rFonts w:ascii="Times New Roman" w:cs="Times New Roman" w:eastAsia="Times New Roman" w:hAnsi="Times New Roman"/>
                  <w:sz w:val="18"/>
                  <w:szCs w:val="18"/>
                  <w:u w:val="single" w:color="auto"/>
                  <w:color w:val="0000EE"/>
                </w:rPr>
                <w:t>145</w:t>
              </w:r>
            </w:hyperlink>
          </w:p>
        </w:tc>
      </w:tr>
      <w:tr>
        <w:trPr>
          <w:trHeight w:val="243"/>
        </w:trPr>
        <w:tc>
          <w:tcPr>
            <w:tcW w:w="368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Legal Matters</w:t>
              </w:r>
            </w:hyperlink>
          </w:p>
        </w:tc>
        <w:tc>
          <w:tcPr>
            <w:tcW w:w="3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152</w:t>
              </w:r>
            </w:hyperlink>
          </w:p>
        </w:tc>
      </w:tr>
      <w:tr>
        <w:trPr>
          <w:trHeight w:val="243"/>
        </w:trPr>
        <w:tc>
          <w:tcPr>
            <w:tcW w:w="3680" w:type="dxa"/>
            <w:vAlign w:val="bottom"/>
            <w:gridSpan w:val="9"/>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Experts</w:t>
              </w:r>
            </w:hyperlink>
          </w:p>
        </w:tc>
        <w:tc>
          <w:tcPr>
            <w:tcW w:w="320" w:type="dxa"/>
            <w:vAlign w:val="bottom"/>
          </w:tcPr>
          <w:p>
            <w:pPr>
              <w:jc w:val="right"/>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152</w:t>
              </w:r>
            </w:hyperlink>
          </w:p>
        </w:tc>
      </w:tr>
      <w:tr>
        <w:trPr>
          <w:trHeight w:val="243"/>
        </w:trPr>
        <w:tc>
          <w:tcPr>
            <w:tcW w:w="3680" w:type="dxa"/>
            <w:vAlign w:val="bottom"/>
            <w:gridSpan w:val="9"/>
            <w:shd w:val="clear" w:color="auto" w:fill="CCEEFF"/>
          </w:tcPr>
          <w:p>
            <w:pPr>
              <w:spacing w:after="0"/>
              <w:rPr>
                <w:rFonts w:ascii="Times New Roman" w:cs="Times New Roman" w:eastAsia="Times New Roman" w:hAnsi="Times New Roman"/>
                <w:sz w:val="18"/>
                <w:szCs w:val="18"/>
                <w:u w:val="single" w:color="auto"/>
                <w:color w:val="0000EE"/>
                <w:shd w:val="clear" w:color="auto" w:fill="CCEEFF"/>
              </w:rPr>
            </w:pPr>
            <w:hyperlink w:anchor="page152">
              <w:r>
                <w:rPr>
                  <w:rFonts w:ascii="Times New Roman" w:cs="Times New Roman" w:eastAsia="Times New Roman" w:hAnsi="Times New Roman"/>
                  <w:sz w:val="18"/>
                  <w:szCs w:val="18"/>
                  <w:u w:val="single" w:color="auto"/>
                  <w:color w:val="0000EE"/>
                  <w:shd w:val="clear" w:color="auto" w:fill="CCEEFF"/>
                </w:rPr>
                <w:t>Where You Can Find Additional Information</w:t>
              </w:r>
            </w:hyperlink>
          </w:p>
        </w:tc>
        <w:tc>
          <w:tcPr>
            <w:tcW w:w="320" w:type="dxa"/>
            <w:vAlign w:val="bottom"/>
            <w:shd w:val="clear" w:color="auto" w:fill="CCEEFF"/>
          </w:tcPr>
          <w:p>
            <w:pPr>
              <w:jc w:val="right"/>
              <w:spacing w:after="0"/>
              <w:rPr>
                <w:rFonts w:ascii="Times New Roman" w:cs="Times New Roman" w:eastAsia="Times New Roman" w:hAnsi="Times New Roman"/>
                <w:sz w:val="18"/>
                <w:szCs w:val="18"/>
                <w:u w:val="single" w:color="auto"/>
                <w:color w:val="0000EE"/>
                <w:shd w:val="clear" w:color="auto" w:fill="CCEEFF"/>
              </w:rPr>
            </w:pPr>
            <w:hyperlink w:anchor="page152">
              <w:r>
                <w:rPr>
                  <w:rFonts w:ascii="Times New Roman" w:cs="Times New Roman" w:eastAsia="Times New Roman" w:hAnsi="Times New Roman"/>
                  <w:sz w:val="18"/>
                  <w:szCs w:val="18"/>
                  <w:u w:val="single" w:color="auto"/>
                  <w:color w:val="0000EE"/>
                  <w:shd w:val="clear" w:color="auto" w:fill="CCEEFF"/>
                </w:rPr>
                <w:t>152</w:t>
              </w:r>
            </w:hyperlink>
          </w:p>
        </w:tc>
      </w:tr>
      <w:tr>
        <w:trPr>
          <w:trHeight w:val="257"/>
        </w:trPr>
        <w:tc>
          <w:tcPr>
            <w:tcW w:w="3680" w:type="dxa"/>
            <w:vAlign w:val="bottom"/>
            <w:gridSpan w:val="9"/>
          </w:tcPr>
          <w:p>
            <w:pPr>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Index to Financial Statements</w:t>
              </w:r>
            </w:hyperlink>
          </w:p>
        </w:tc>
        <w:tc>
          <w:tcPr>
            <w:tcW w:w="320" w:type="dxa"/>
            <w:vAlign w:val="bottom"/>
          </w:tcPr>
          <w:p>
            <w:pPr>
              <w:jc w:val="right"/>
              <w:spacing w:after="0"/>
              <w:rPr>
                <w:rFonts w:ascii="Times New Roman" w:cs="Times New Roman" w:eastAsia="Times New Roman" w:hAnsi="Times New Roman"/>
                <w:sz w:val="18"/>
                <w:szCs w:val="18"/>
                <w:u w:val="single" w:color="auto"/>
                <w:color w:val="0000EE"/>
              </w:rPr>
            </w:pPr>
            <w:hyperlink w:anchor="page153">
              <w:r>
                <w:rPr>
                  <w:rFonts w:ascii="Times New Roman" w:cs="Times New Roman" w:eastAsia="Times New Roman" w:hAnsi="Times New Roman"/>
                  <w:sz w:val="18"/>
                  <w:szCs w:val="18"/>
                  <w:u w:val="single" w:color="auto"/>
                  <w:color w:val="0000EE"/>
                </w:rPr>
                <w:t>F-1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-3642995</wp:posOffset>
            </wp:positionV>
            <wp:extent cx="23317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102870</wp:posOffset>
            </wp:positionV>
            <wp:extent cx="12344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72" w:lineRule="exact"/>
        <w:rPr>
          <w:sz w:val="20"/>
          <w:szCs w:val="20"/>
          <w:color w:val="auto"/>
        </w:rPr>
      </w:pPr>
    </w:p>
    <w:p>
      <w:pPr>
        <w:ind w:left="1260" w:right="40" w:firstLine="36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253365</wp:posOffset>
            </wp:positionV>
            <wp:extent cx="25374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374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296545</wp:posOffset>
            </wp:positionV>
            <wp:extent cx="253746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374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5"/>
          <w:szCs w:val="25"/>
          <w:b w:val="1"/>
          <w:bCs w:val="1"/>
          <w:color w:val="auto"/>
        </w:rPr>
        <w:t>$100,000,000</w:t>
      </w:r>
    </w:p>
    <w:p>
      <w:pPr>
        <w:spacing w:after="0" w:line="200" w:lineRule="exact"/>
        <w:rPr>
          <w:sz w:val="20"/>
          <w:szCs w:val="20"/>
          <w:color w:val="auto"/>
        </w:rPr>
      </w:pPr>
    </w:p>
    <w:p>
      <w:pPr>
        <w:spacing w:after="0" w:line="210" w:lineRule="exact"/>
        <w:rPr>
          <w:sz w:val="20"/>
          <w:szCs w:val="20"/>
          <w:color w:val="auto"/>
        </w:rPr>
      </w:pPr>
    </w:p>
    <w:p>
      <w:pPr>
        <w:jc w:val="center"/>
        <w:ind w:right="659"/>
        <w:spacing w:after="0" w:line="268" w:lineRule="auto"/>
        <w:rPr>
          <w:sz w:val="20"/>
          <w:szCs w:val="20"/>
          <w:color w:val="auto"/>
        </w:rPr>
      </w:pPr>
      <w:r>
        <w:rPr>
          <w:rFonts w:ascii="Times New Roman" w:cs="Times New Roman" w:eastAsia="Times New Roman" w:hAnsi="Times New Roman"/>
          <w:sz w:val="32"/>
          <w:szCs w:val="32"/>
          <w:b w:val="1"/>
          <w:bCs w:val="1"/>
          <w:color w:val="auto"/>
        </w:rPr>
        <w:t>HighCape Capital Acquisition Corp.</w:t>
      </w:r>
    </w:p>
    <w:p>
      <w:pPr>
        <w:spacing w:after="0" w:line="3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5"/>
          <w:szCs w:val="25"/>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1456055</wp:posOffset>
            </wp:positionV>
            <wp:extent cx="123444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167640</wp:posOffset>
            </wp:positionV>
            <wp:extent cx="12344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32"/>
          <w:szCs w:val="32"/>
          <w:b w:val="1"/>
          <w:bCs w:val="1"/>
          <w:color w:val="auto"/>
        </w:rPr>
        <w:t>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September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1408430</wp:posOffset>
            </wp:positionV>
            <wp:extent cx="68065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739775</wp:posOffset>
            </wp:positionV>
            <wp:extent cx="25374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374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782955</wp:posOffset>
            </wp:positionV>
            <wp:extent cx="25374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sectPr>
      <w:pgSz w:w="11900" w:h="16838" w:orient="portrait"/>
      <w:cols w:equalWidth="0" w:num="2">
        <w:col w:w="5260" w:space="220"/>
        <w:col w:w="4659"/>
      </w:cols>
      <w:pgMar w:left="3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amp;"/>
      <w:numFmt w:val="bullet"/>
      <w:start w:val="1"/>
    </w:lvl>
  </w:abstractNum>
  <w:abstractNum w:abstractNumId="5">
    <w:nsid w:val="79A1DEAA"/>
    <w:multiLevelType w:val="hybridMultilevel"/>
    <w:lvl w:ilvl="0">
      <w:lvlJc w:val="left"/>
      <w:lvlText w:val="(%1)"/>
      <w:numFmt w:val="lowerRoman"/>
      <w:start w:val="5"/>
    </w:lvl>
  </w:abstractNum>
  <w:abstractNum w:abstractNumId="6">
    <w:nsid w:val="75C6C33A"/>
    <w:multiLevelType w:val="hybridMultilevel"/>
    <w:lvl w:ilvl="0">
      <w:lvlJc w:val="left"/>
      <w:lvlText w:val="(%1)"/>
      <w:numFmt w:val="lowerLetter"/>
      <w:start w:val="1"/>
    </w:lvl>
  </w:abstractNum>
  <w:abstractNum w:abstractNumId="7">
    <w:nsid w:val="12E685FB"/>
    <w:multiLevelType w:val="hybridMultilevel"/>
    <w:lvl w:ilvl="0">
      <w:lvlJc w:val="left"/>
      <w:lvlText w:val="(%1)"/>
      <w:numFmt w:val="decimal"/>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1)"/>
      <w:numFmt w:val="lowerRoman"/>
      <w:start w:val="3"/>
    </w:lvl>
  </w:abstractNum>
  <w:abstractNum w:abstractNumId="10">
    <w:nsid w:val="374A3FE6"/>
    <w:multiLevelType w:val="hybridMultilevel"/>
    <w:lvl w:ilvl="0">
      <w:lvlJc w:val="left"/>
      <w:lvlText w:val="(%1)"/>
      <w:numFmt w:val="lowerRoman"/>
      <w:start w:val="1"/>
    </w:lvl>
  </w:abstractNum>
  <w:abstractNum w:abstractNumId="11">
    <w:nsid w:val="4F4EF005"/>
    <w:multiLevelType w:val="hybridMultilevel"/>
    <w:lvl w:ilvl="0">
      <w:lvlJc w:val="left"/>
      <w:lvlText w:val="(%1)"/>
      <w:numFmt w:val="lowerRoman"/>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1)"/>
      <w:numFmt w:val="lowerLetter"/>
      <w:start w:val="25"/>
    </w:lvl>
  </w:abstractNum>
  <w:abstractNum w:abstractNumId="17">
    <w:nsid w:val="180115BE"/>
    <w:multiLevelType w:val="hybridMultilevel"/>
    <w:lvl w:ilvl="0">
      <w:lvlJc w:val="left"/>
      <w:lvlText w:val="(%1)"/>
      <w:numFmt w:val="lowerLetter"/>
      <w:start w:val="2"/>
    </w:lvl>
    <w:lvl w:ilvl="1">
      <w:lvlJc w:val="left"/>
      <w:lvlText w:val="•"/>
      <w:numFmt w:val="bullet"/>
      <w:start w:val="1"/>
    </w:lvl>
  </w:abstractNum>
  <w:abstractNum w:abstractNumId="18">
    <w:nsid w:val="235BA861"/>
    <w:multiLevelType w:val="hybridMultilevel"/>
    <w:lvl w:ilvl="0">
      <w:lvlJc w:val="left"/>
      <w:lvlText w:val="(%1)"/>
      <w:numFmt w:val="lowerLetter"/>
      <w:start w:val="25"/>
    </w:lvl>
    <w:lvl w:ilvl="1">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1)"/>
      <w:numFmt w:val="lowerRoman"/>
      <w:start w:val="2"/>
    </w:lvl>
  </w:abstractNum>
  <w:abstractNum w:abstractNumId="22">
    <w:nsid w:val="741226BB"/>
    <w:multiLevelType w:val="hybridMultilevel"/>
    <w:lvl w:ilvl="0">
      <w:lvlJc w:val="left"/>
      <w:lvlText w:val="(%1)"/>
      <w:numFmt w:val="lowerRoman"/>
      <w:start w:val="2"/>
    </w:lvl>
  </w:abstractNum>
  <w:abstractNum w:abstractNumId="23">
    <w:nsid w:val="D34B6A8"/>
    <w:multiLevelType w:val="hybridMultilevel"/>
    <w:lvl w:ilvl="0">
      <w:lvlJc w:val="left"/>
      <w:lvlText w:val="(%1)"/>
      <w:numFmt w:val="lowerRoman"/>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upperLetter"/>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1)"/>
      <w:numFmt w:val="decimal"/>
      <w:start w:val="1"/>
    </w:lvl>
  </w:abstractNum>
  <w:abstractNum w:abstractNumId="30">
    <w:nsid w:val="310C50B3"/>
    <w:multiLevelType w:val="hybridMultilevel"/>
    <w:lvl w:ilvl="0">
      <w:lvlJc w:val="left"/>
      <w:lvlText w:val="(%1)"/>
      <w:numFmt w:val="decimal"/>
      <w:start w:val="3"/>
    </w:lvl>
  </w:abstractNum>
  <w:abstractNum w:abstractNumId="31">
    <w:nsid w:val="5FF87E05"/>
    <w:multiLevelType w:val="hybridMultilevel"/>
    <w:lvl w:ilvl="0">
      <w:lvlJc w:val="left"/>
      <w:lvlText w:val="(%1)"/>
      <w:numFmt w:val="decimal"/>
      <w:start w:val="1"/>
    </w:lvl>
  </w:abstractNum>
  <w:abstractNum w:abstractNumId="32">
    <w:nsid w:val="2F305DEF"/>
    <w:multiLevelType w:val="hybridMultilevel"/>
    <w:lvl w:ilvl="0">
      <w:lvlJc w:val="left"/>
      <w:lvlText w:val="(%1)"/>
      <w:numFmt w:val="decimal"/>
      <w:start w:val="1"/>
    </w:lvl>
  </w:abstractNum>
  <w:abstractNum w:abstractNumId="33">
    <w:nsid w:val="25A70BF7"/>
    <w:multiLevelType w:val="hybridMultilevel"/>
    <w:lvl w:ilvl="0">
      <w:lvlJc w:val="left"/>
      <w:lvlText w:val="(%1)"/>
      <w:numFmt w:val="decimal"/>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1)"/>
      <w:numFmt w:val="lowerRoman"/>
      <w:start w:val="2"/>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amp;"/>
      <w:numFmt w:val="bullet"/>
      <w:start w:val="1"/>
    </w:lvl>
  </w:abstractNum>
  <w:abstractNum w:abstractNumId="42">
    <w:nsid w:val="5F5E7FD0"/>
    <w:multiLevelType w:val="hybridMultilevel"/>
    <w:lvl w:ilvl="0">
      <w:lvlJc w:val="left"/>
      <w:lvlText w:val="(%1)"/>
      <w:numFmt w:val="lowerRoman"/>
      <w:start w:val="5"/>
    </w:lvl>
  </w:abstractNum>
  <w:abstractNum w:abstractNumId="43">
    <w:nsid w:val="98A3148"/>
    <w:multiLevelType w:val="hybridMultilevel"/>
    <w:lvl w:ilvl="0">
      <w:lvlJc w:val="left"/>
      <w:lvlText w:val="(%1)"/>
      <w:numFmt w:val="lowerLetter"/>
      <w:start w:val="3"/>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1)"/>
      <w:numFmt w:val="lowerRoman"/>
      <w:start w:val="2"/>
    </w:lvl>
  </w:abstractNum>
  <w:abstractNum w:abstractNumId="50">
    <w:nsid w:val="5DC79EA8"/>
    <w:multiLevelType w:val="hybridMultilevel"/>
    <w:lvl w:ilvl="0">
      <w:lvlJc w:val="left"/>
      <w:lvlText w:val="(%1)"/>
      <w:numFmt w:val="lowerLetter"/>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3"/>
    </w:lvl>
  </w:abstractNum>
  <w:abstractNum w:abstractNumId="59">
    <w:nsid w:val="8F2B15E"/>
    <w:multiLevelType w:val="hybridMultilevel"/>
    <w:lvl w:ilvl="0">
      <w:lvlJc w:val="left"/>
      <w:lvlText w:val="(%1)"/>
      <w:numFmt w:val="lowerRoman"/>
      <w:start w:val="1"/>
    </w:lvl>
  </w:abstractNum>
  <w:abstractNum w:abstractNumId="60">
    <w:nsid w:val="1A32234B"/>
    <w:multiLevelType w:val="hybridMultilevel"/>
    <w:lvl w:ilvl="0">
      <w:lvlJc w:val="left"/>
      <w:lvlText w:val="(%1)"/>
      <w:numFmt w:val="lowerLetter"/>
      <w:start w:val="7"/>
    </w:lvl>
  </w:abstractNum>
  <w:abstractNum w:abstractNumId="61">
    <w:nsid w:val="3B0FD379"/>
    <w:multiLevelType w:val="hybridMultilevel"/>
    <w:lvl w:ilvl="0">
      <w:lvlJc w:val="left"/>
      <w:lvlText w:val="(%1)"/>
      <w:numFmt w:val="lowerRoman"/>
      <w:start w:val="1"/>
    </w:lvl>
  </w:abstractNum>
  <w:abstractNum w:abstractNumId="62">
    <w:nsid w:val="68EB2F63"/>
    <w:multiLevelType w:val="hybridMultilevel"/>
    <w:lvl w:ilvl="0">
      <w:lvlJc w:val="left"/>
      <w:lvlText w:val="(%1)"/>
      <w:numFmt w:val="lowerRoman"/>
      <w:start w:val="3"/>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1)"/>
      <w:numFmt w:val="lowerRoman"/>
      <w:start w:val="3"/>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1)"/>
      <w:numFmt w:val="lowerRoman"/>
      <w:start w:val="2"/>
    </w:lvl>
  </w:abstractNum>
  <w:abstractNum w:abstractNumId="67">
    <w:nsid w:val="7FFFCA11"/>
    <w:multiLevelType w:val="hybridMultilevel"/>
    <w:lvl w:ilvl="0">
      <w:lvlJc w:val="left"/>
      <w:lvlText w:val="(%1)"/>
      <w:numFmt w:val="lowerLetter"/>
      <w:start w:val="25"/>
    </w:lvl>
  </w:abstractNum>
  <w:abstractNum w:abstractNumId="68">
    <w:nsid w:val="1A27709E"/>
    <w:multiLevelType w:val="hybridMultilevel"/>
    <w:lvl w:ilvl="0">
      <w:lvlJc w:val="left"/>
      <w:lvlText w:val="(%1)"/>
      <w:numFmt w:val="lowerRoman"/>
      <w:start w:val="2"/>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
      <w:numFmt w:val="bullet"/>
      <w:start w:val="1"/>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1)"/>
      <w:numFmt w:val="lowerRoman"/>
      <w:start w:val="3"/>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emdash "/>
      <w:numFmt w:val="bullet"/>
      <w:start w:val="1"/>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emdash "/>
      <w:numFmt w:val="bullet"/>
      <w:start w:val="1"/>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
      <w:numFmt w:val="bullet"/>
      <w:start w:val="1"/>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lowerRoman"/>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1)"/>
      <w:numFmt w:val="decimal"/>
      <w:start w:val="1"/>
    </w:lvl>
  </w:abstractNum>
  <w:abstractNum w:abstractNumId="94">
    <w:nsid w:val="7055A5F5"/>
    <w:multiLevelType w:val="hybridMultilevel"/>
    <w:lvl w:ilvl="0">
      <w:lvlJc w:val="left"/>
      <w:lvlText w:val="(%1)"/>
      <w:numFmt w:val="upperLetter"/>
      <w:start w:val="2"/>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2020-09-04T15:04:07Z</dcterms:created>
  <dcterms:modified xsi:type="dcterms:W3CDTF">2020-09-04T15:04:07Z</dcterms:modified>
</cp:coreProperties>
</file>