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132715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660" w:right="1760" w:hanging="3652"/>
        <w:spacing w:after="0" w:line="493" w:lineRule="auto"/>
        <w:tabs>
          <w:tab w:leader="none" w:pos="33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For the transition period from ________ to 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001-39486</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QUANTUM-SI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141605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760" w:type="dxa"/>
            <w:vAlign w:val="bottom"/>
          </w:tcPr>
          <w:p>
            <w:pPr>
              <w:jc w:val="right"/>
              <w:ind w:right="790"/>
              <w:spacing w:after="0"/>
              <w:rPr>
                <w:sz w:val="20"/>
                <w:szCs w:val="20"/>
                <w:color w:val="auto"/>
              </w:rPr>
            </w:pPr>
            <w:r>
              <w:rPr>
                <w:rFonts w:ascii="Arial" w:cs="Arial" w:eastAsia="Arial" w:hAnsi="Arial"/>
                <w:sz w:val="18"/>
                <w:szCs w:val="18"/>
                <w:b w:val="1"/>
                <w:bCs w:val="1"/>
                <w:color w:val="auto"/>
              </w:rPr>
              <w:t>85-1388175</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0"/>
              </w:rPr>
              <w:t>29 Business Park Drive</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1"/>
              </w:rPr>
              <w:t>Branford, Connecticut</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06405</w:t>
            </w:r>
          </w:p>
        </w:tc>
      </w:tr>
      <w:tr>
        <w:trPr>
          <w:trHeight w:val="230"/>
        </w:trPr>
        <w:tc>
          <w:tcPr>
            <w:tcW w:w="542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(866) 688-7374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41"/>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00" w:type="dxa"/>
            <w:vAlign w:val="bottom"/>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740" w:type="dxa"/>
            <w:vAlign w:val="bottom"/>
          </w:tcPr>
          <w:p>
            <w:pPr>
              <w:jc w:val="center"/>
              <w:spacing w:after="0" w:line="201" w:lineRule="exact"/>
              <w:rPr>
                <w:sz w:val="20"/>
                <w:szCs w:val="20"/>
                <w:color w:val="auto"/>
              </w:rPr>
            </w:pPr>
            <w:r>
              <w:rPr>
                <w:rFonts w:ascii="Arial" w:cs="Arial" w:eastAsia="Arial" w:hAnsi="Arial"/>
                <w:sz w:val="18"/>
                <w:szCs w:val="18"/>
                <w:color w:val="auto"/>
                <w:w w:val="89"/>
              </w:rPr>
              <w:t>Class A common stock, $0.0001 per share</w:t>
            </w:r>
          </w:p>
        </w:tc>
        <w:tc>
          <w:tcPr>
            <w:tcW w:w="120" w:type="dxa"/>
            <w:vAlign w:val="bottom"/>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0"/>
              </w:rPr>
              <w:t>QSI</w:t>
            </w:r>
          </w:p>
        </w:tc>
        <w:tc>
          <w:tcPr>
            <w:tcW w:w="100" w:type="dxa"/>
            <w:vAlign w:val="bottom"/>
          </w:tcPr>
          <w:p>
            <w:pPr>
              <w:spacing w:after="0"/>
              <w:rPr>
                <w:sz w:val="17"/>
                <w:szCs w:val="17"/>
                <w:color w:val="auto"/>
              </w:rPr>
            </w:pPr>
          </w:p>
        </w:tc>
        <w:tc>
          <w:tcPr>
            <w:tcW w:w="472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740" w:type="dxa"/>
            <w:vAlign w:val="bottom"/>
          </w:tcPr>
          <w:p>
            <w:pPr>
              <w:jc w:val="center"/>
              <w:spacing w:after="0"/>
              <w:rPr>
                <w:sz w:val="20"/>
                <w:szCs w:val="20"/>
                <w:color w:val="auto"/>
              </w:rPr>
            </w:pPr>
            <w:r>
              <w:rPr>
                <w:rFonts w:ascii="Arial" w:cs="Arial" w:eastAsia="Arial" w:hAnsi="Arial"/>
                <w:sz w:val="18"/>
                <w:szCs w:val="18"/>
                <w:color w:val="auto"/>
                <w:w w:val="89"/>
              </w:rPr>
              <w:t>Redeemable warrants, each whole warrant exercisable for one</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QSIAW</w:t>
            </w:r>
          </w:p>
        </w:tc>
        <w:tc>
          <w:tcPr>
            <w:tcW w:w="1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740" w:type="dxa"/>
            <w:vAlign w:val="bottom"/>
          </w:tcPr>
          <w:p>
            <w:pPr>
              <w:jc w:val="center"/>
              <w:spacing w:after="0"/>
              <w:rPr>
                <w:sz w:val="20"/>
                <w:szCs w:val="20"/>
                <w:color w:val="auto"/>
              </w:rPr>
            </w:pPr>
            <w:r>
              <w:rPr>
                <w:rFonts w:ascii="Arial" w:cs="Arial" w:eastAsia="Arial" w:hAnsi="Arial"/>
                <w:sz w:val="18"/>
                <w:szCs w:val="18"/>
                <w:color w:val="auto"/>
                <w:w w:val="89"/>
              </w:rPr>
              <w:t>share of Class A common stock, each at an exercise price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0"/>
        </w:trPr>
        <w:tc>
          <w:tcPr>
            <w:tcW w:w="4740" w:type="dxa"/>
            <w:vAlign w:val="bottom"/>
          </w:tcPr>
          <w:p>
            <w:pPr>
              <w:jc w:val="center"/>
              <w:spacing w:after="0"/>
              <w:rPr>
                <w:sz w:val="20"/>
                <w:szCs w:val="20"/>
                <w:color w:val="auto"/>
              </w:rPr>
            </w:pPr>
            <w:r>
              <w:rPr>
                <w:rFonts w:ascii="Arial" w:cs="Arial" w:eastAsia="Arial" w:hAnsi="Arial"/>
                <w:sz w:val="18"/>
                <w:szCs w:val="18"/>
                <w:color w:val="auto"/>
                <w:w w:val="86"/>
              </w:rPr>
              <w:t>$11.50 per share</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November 2, 2023, the registrant had 121,790,534 shares of Class A common stock outstanding and 19,937,500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307"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196"/>
        </w:trPr>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20" w:type="dxa"/>
            <w:vAlign w:val="bottom"/>
            <w:gridSpan w:val="21"/>
            <w:shd w:val="clear" w:color="auto" w:fill="CCEEFF"/>
          </w:tcPr>
          <w:p>
            <w:pPr>
              <w:spacing w:after="0" w:line="142" w:lineRule="exact"/>
              <w:rPr>
                <w:sz w:val="20"/>
                <w:szCs w:val="20"/>
                <w:color w:val="auto"/>
              </w:rPr>
            </w:pPr>
            <w:r>
              <w:rPr>
                <w:rFonts w:ascii="Arial" w:cs="Arial" w:eastAsia="Arial" w:hAnsi="Arial"/>
                <w:sz w:val="16"/>
                <w:szCs w:val="16"/>
                <w:color w:val="0000EE"/>
              </w:rPr>
              <w:t>Cautionary Note Regarding Forward-Looking Statements</w:t>
            </w:r>
          </w:p>
        </w:tc>
        <w:tc>
          <w:tcPr>
            <w:tcW w:w="9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3</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Financial Information</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September 30, 2023 and December 31, 2022 (Unaudited)</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4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88"/>
              </w:rPr>
              <w:t>Condensed Consolidated Statements of Operations and Comprehensive Loss for the three and nine months ended September 30,</w:t>
            </w: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17"/>
        </w:trPr>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2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2023 and 2022 (Unaudited)</w:t>
            </w:r>
          </w:p>
        </w:tc>
        <w:tc>
          <w:tcPr>
            <w:tcW w:w="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36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Changes in Stockholders’ Equity for the three and nine months ended September 30, 2023</w:t>
            </w:r>
          </w:p>
        </w:tc>
        <w:tc>
          <w:tcPr>
            <w:tcW w:w="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17"/>
        </w:trPr>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2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and 2022 (Unaudited)</w:t>
            </w:r>
          </w:p>
        </w:tc>
        <w:tc>
          <w:tcPr>
            <w:tcW w:w="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6"/>
              </w:rPr>
              <w:t>Condensed Consolidated Statements of Cash Flows for the nine months ended September 30, 2023 and 2022 (Unaudited)</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Use of Proceeds, and Issuer Purchases of Equity Securities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4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Quarterly Report on Form 10-Q, the terms “we”, “us”, “our”, the “Company” or “Quantum-Si” mean Quantum-Si Incorporated (formerly HighCape Capital Acquisition Corp.) and our subsidiaries. Quantum-Si Incorporated was incorporated in Delaware on June 10, 2020. The Company’s legal name became Quantum-Si Incorporated following a business combination between the Company and Q-SI Operations Inc. (formerly Quantum-Si Incorporated) on June 10, 2021 (the “Business Combination”).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p>
      <w:pPr>
        <w:spacing w:after="0" w:line="176" w:lineRule="exact"/>
        <w:rPr>
          <w:sz w:val="20"/>
          <w:szCs w:val="20"/>
          <w:color w:val="auto"/>
        </w:rPr>
      </w:pPr>
    </w:p>
    <w:p>
      <w:pPr>
        <w:ind w:left="660" w:right="20" w:hanging="328"/>
        <w:spacing w:after="0" w:line="186" w:lineRule="auto"/>
        <w:tabs>
          <w:tab w:leader="none" w:pos="6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the potential attributes and benefits of our commercialized Platinum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protein sequencing instrument and our other products once commercialized;</w:t>
      </w:r>
    </w:p>
    <w:p>
      <w:pPr>
        <w:spacing w:after="0" w:line="1"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and adoption of our existing products and the success of any product we may offer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 for our products, and any related restrictions and limitations of any approved product;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our Class A common stock on The Nasdaq Stock Market LLC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leadership transitions and our success in retaining or recruiting, or changes in, our officers, key employees or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in-license or acquire additional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license agreements and manufacturing arrangements;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other companies currently marketing or engaged in the development of products and services that serve customers engaged in proteomic analysis, many of which have greater financial and marketing resources than us;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products, and the ability of each product to serve those markets once commercialized, either alone or in partnership with others;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conditions and global and economic factors, such as inflation;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fiscal year ended December 31, 2022, in Item 1A of Part II of our Quarterly Reports on Form 10-Q for the quarters ended March 31, 2023 and June 30, 2023,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QUANTUM-SI INCORPORATED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90"/>
              <w:spacing w:after="0"/>
              <w:rPr>
                <w:sz w:val="20"/>
                <w:szCs w:val="20"/>
                <w:color w:val="auto"/>
              </w:rPr>
            </w:pPr>
            <w:r>
              <w:rPr>
                <w:rFonts w:ascii="Arial" w:cs="Arial" w:eastAsia="Arial" w:hAnsi="Arial"/>
                <w:sz w:val="18"/>
                <w:szCs w:val="18"/>
                <w:i w:val="1"/>
                <w:iCs w:val="1"/>
                <w:color w:val="auto"/>
                <w:w w:val="89"/>
              </w:rPr>
              <w:t>(in thousands, except share and per share amounts)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84,319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180,803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266,990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estimated credit losses of $0 and $0, respectively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Inventory,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284,808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358,182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16,849</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Internally developed software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15,757</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318,096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391,485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3,903</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10,434</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15,706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16,077</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26,031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32,779</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2"/>
              </w:rPr>
              <w:t>Class A Common stock, $0.0001 par value; 600,000,000 shares authorized as of September 30, 2023 and December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w w:val="90"/>
              </w:rPr>
              <w:t>31, 2022; 121,790,534 and 120,006,757 shares issued and outstanding as of September 30, 2023 and December 31,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2022, respectively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Class B Common stock, $0.0001 par value; 27,000,000 shares authorized as of September 30, 2023 and December 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2022; 19,937,500 shares issued and outstanding as of September 30, 2023 and December 31, 2022</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765,637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758,366</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(473,586)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(399,674)</w:t>
            </w:r>
          </w:p>
        </w:tc>
      </w:tr>
      <w:tr>
        <w:trPr>
          <w:trHeight w:val="223"/>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292,065</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358,706</w:t>
            </w:r>
          </w:p>
        </w:tc>
        <w:tc>
          <w:tcPr>
            <w:tcW w:w="100" w:type="dxa"/>
            <w:vAlign w:val="bottom"/>
            <w:tcBorders>
              <w:top w:val="single" w:sz="8" w:color="CCEEFF"/>
            </w:tcBorders>
          </w:tcPr>
          <w:p>
            <w:pPr>
              <w:spacing w:after="0"/>
              <w:rPr>
                <w:sz w:val="19"/>
                <w:szCs w:val="19"/>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318,096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391,485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290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680" w:type="dxa"/>
            <w:vAlign w:val="bottom"/>
            <w:gridSpan w:val="7"/>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Pr>
          <w:p>
            <w:pPr>
              <w:ind w:left="18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660" w:type="dxa"/>
            <w:vAlign w:val="bottom"/>
          </w:tcPr>
          <w:p>
            <w:pPr>
              <w:ind w:left="340"/>
              <w:spacing w:after="0"/>
              <w:rPr>
                <w:sz w:val="20"/>
                <w:szCs w:val="20"/>
                <w:color w:val="auto"/>
              </w:rPr>
            </w:pPr>
            <w:r>
              <w:rPr>
                <w:rFonts w:ascii="Arial" w:cs="Arial" w:eastAsia="Arial" w:hAnsi="Arial"/>
                <w:sz w:val="18"/>
                <w:szCs w:val="18"/>
                <w:b w:val="1"/>
                <w:bCs w:val="1"/>
                <w:color w:val="auto"/>
              </w:rPr>
              <w:t>Cost of revenue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23"/>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53,905</w:t>
            </w:r>
          </w:p>
        </w:tc>
      </w:tr>
      <w:tr>
        <w:trPr>
          <w:trHeight w:val="223"/>
        </w:trPr>
        <w:tc>
          <w:tcPr>
            <w:tcW w:w="56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10,983</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33,010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31,093</w:t>
            </w:r>
          </w:p>
        </w:tc>
      </w:tr>
      <w:tr>
        <w:trPr>
          <w:trHeight w:val="223"/>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27,283</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27,658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83,598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(27,175)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(27,658)</w:t>
            </w: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(83,288)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(84,998)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Unrealized gain (loss) on marketable securities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(4,240)</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(20,384)</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marketable securities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5,121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7"/>
        </w:trPr>
        <w:tc>
          <w:tcPr>
            <w:tcW w:w="5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2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(24,728)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(31,713)</w:t>
            </w: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(73,912)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(99,302)</w:t>
            </w:r>
          </w:p>
        </w:tc>
      </w:tr>
      <w:tr>
        <w:trPr>
          <w:trHeight w:val="223"/>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(24,728)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(31,713)</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(73,912)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(99,302)</w:t>
            </w:r>
          </w:p>
        </w:tc>
      </w:tr>
      <w:tr>
        <w:trPr>
          <w:trHeight w:val="21"/>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6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6"/>
              </w:rPr>
              <w:t>Net loss per common share attributable to common stockholders, basic</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(0.71)</w:t>
            </w:r>
          </w:p>
        </w:tc>
      </w:tr>
      <w:tr>
        <w:trPr>
          <w:trHeight w:val="202"/>
        </w:trPr>
        <w:tc>
          <w:tcPr>
            <w:tcW w:w="5660" w:type="dxa"/>
            <w:vAlign w:val="bottom"/>
          </w:tcPr>
          <w:p>
            <w:pPr>
              <w:ind w:left="180"/>
              <w:spacing w:after="0" w:line="201" w:lineRule="exact"/>
              <w:rPr>
                <w:sz w:val="20"/>
                <w:szCs w:val="20"/>
                <w:color w:val="auto"/>
              </w:rPr>
            </w:pPr>
            <w:r>
              <w:rPr>
                <w:rFonts w:ascii="Arial" w:cs="Arial" w:eastAsia="Arial" w:hAnsi="Arial"/>
                <w:sz w:val="18"/>
                <w:szCs w:val="18"/>
                <w:color w:val="auto"/>
                <w:w w:val="90"/>
              </w:rPr>
              <w:t>Weighted-average shares used to compute net loss per share attributable to</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60" w:type="dxa"/>
            <w:vAlign w:val="bottom"/>
          </w:tcPr>
          <w:p>
            <w:pPr>
              <w:ind w:left="340"/>
              <w:spacing w:after="0"/>
              <w:rPr>
                <w:sz w:val="20"/>
                <w:szCs w:val="20"/>
                <w:color w:val="auto"/>
              </w:rPr>
            </w:pPr>
            <w:r>
              <w:rPr>
                <w:rFonts w:ascii="Arial" w:cs="Arial" w:eastAsia="Arial" w:hAnsi="Arial"/>
                <w:sz w:val="18"/>
                <w:szCs w:val="18"/>
                <w:color w:val="auto"/>
              </w:rPr>
              <w:t>common stockholders, basic and diluted</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141,660,018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139,542,660</w:t>
            </w: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141,154,110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139,057,663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gridSpan w:val="4"/>
          </w:tcPr>
          <w:p>
            <w:pPr>
              <w:ind w:left="40"/>
              <w:spacing w:after="0"/>
              <w:rPr>
                <w:sz w:val="20"/>
                <w:szCs w:val="20"/>
                <w:color w:val="auto"/>
              </w:rPr>
            </w:pPr>
            <w:r>
              <w:rPr>
                <w:rFonts w:ascii="Arial" w:cs="Arial" w:eastAsia="Arial" w:hAnsi="Arial"/>
                <w:sz w:val="18"/>
                <w:szCs w:val="18"/>
                <w:b w:val="1"/>
                <w:bCs w:val="1"/>
                <w:color w:val="auto"/>
              </w:rPr>
              <w:t>Class A</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Class B</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paid-in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stockholders’</w:t>
            </w:r>
          </w:p>
        </w:tc>
      </w:tr>
      <w:tr>
        <w:trPr>
          <w:trHeight w:val="223"/>
        </w:trPr>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010101"/>
              </w:rPr>
              <w:t>Shares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010101"/>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010101"/>
              </w:rPr>
              <w:t>Shares</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010101"/>
              </w:rPr>
              <w:t>Amount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equity</w:t>
            </w:r>
          </w:p>
        </w:tc>
      </w:tr>
      <w:tr>
        <w:trPr>
          <w:trHeight w:val="216"/>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010101"/>
                <w:w w:val="92"/>
              </w:rPr>
              <w:t>Balance - December 31, 2022</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10101"/>
              </w:rPr>
              <w:t>120,006,757</w:t>
            </w: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010101"/>
              </w:rPr>
              <w:t>19,937,500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758,366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(399,674)</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358,706</w:t>
            </w:r>
          </w:p>
        </w:tc>
        <w:tc>
          <w:tcPr>
            <w:tcW w:w="100" w:type="dxa"/>
            <w:vAlign w:val="bottom"/>
            <w:shd w:val="clear" w:color="auto" w:fill="CCEEFF"/>
          </w:tcPr>
          <w:p>
            <w:pPr>
              <w:spacing w:after="0"/>
              <w:rPr>
                <w:sz w:val="18"/>
                <w:szCs w:val="18"/>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010101"/>
              </w:rPr>
              <w:t>Net loss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010101"/>
              </w:rPr>
              <w:t>(23,611)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010101"/>
              </w:rPr>
              <w:t>(23,611)</w:t>
            </w:r>
          </w:p>
        </w:tc>
      </w:tr>
      <w:tr>
        <w:trPr>
          <w:trHeight w:val="202"/>
        </w:trPr>
        <w:tc>
          <w:tcPr>
            <w:tcW w:w="2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010101"/>
                <w:w w:val="93"/>
              </w:rPr>
              <w:t>Common stock issued upon</w:t>
            </w: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010101"/>
                <w:w w:val="93"/>
              </w:rPr>
              <w:t>vesting of restricted stock</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010101"/>
              </w:rPr>
              <w:t>units</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10101"/>
              </w:rPr>
              <w:t>1,552,583</w:t>
            </w:r>
          </w:p>
        </w:tc>
        <w:tc>
          <w:tcPr>
            <w:tcW w:w="20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10101"/>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10101"/>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10101"/>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r>
      <w:tr>
        <w:trPr>
          <w:trHeight w:val="223"/>
        </w:trPr>
        <w:tc>
          <w:tcPr>
            <w:tcW w:w="2100" w:type="dxa"/>
            <w:vAlign w:val="bottom"/>
            <w:gridSpan w:val="2"/>
          </w:tcPr>
          <w:p>
            <w:pPr>
              <w:spacing w:after="0"/>
              <w:rPr>
                <w:sz w:val="20"/>
                <w:szCs w:val="20"/>
                <w:color w:val="auto"/>
              </w:rPr>
            </w:pPr>
            <w:r>
              <w:rPr>
                <w:rFonts w:ascii="Arial" w:cs="Arial" w:eastAsia="Arial" w:hAnsi="Arial"/>
                <w:sz w:val="18"/>
                <w:szCs w:val="18"/>
                <w:color w:val="010101"/>
                <w:w w:val="95"/>
              </w:rPr>
              <w:t>Stock-based compensation</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010101"/>
              </w:rPr>
              <w:t>3,908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010101"/>
              </w:rPr>
              <w:t>3,908</w:t>
            </w:r>
          </w:p>
        </w:tc>
      </w:tr>
      <w:tr>
        <w:trPr>
          <w:trHeight w:val="216"/>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010101"/>
                <w:w w:val="97"/>
              </w:rPr>
              <w:t>Balance - March 31, 2023</w:t>
            </w:r>
          </w:p>
        </w:tc>
        <w:tc>
          <w:tcPr>
            <w:tcW w:w="200" w:type="dxa"/>
            <w:vAlign w:val="bottom"/>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10101"/>
              </w:rPr>
              <w:t>121,559,340</w:t>
            </w: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010101"/>
              </w:rPr>
              <w:t>19,937,500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762,274</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01010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(423,285)</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010101"/>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339,003</w:t>
            </w:r>
          </w:p>
        </w:tc>
        <w:tc>
          <w:tcPr>
            <w:tcW w:w="100" w:type="dxa"/>
            <w:vAlign w:val="bottom"/>
            <w:shd w:val="clear" w:color="auto" w:fill="CCEEFF"/>
          </w:tcPr>
          <w:p>
            <w:pPr>
              <w:spacing w:after="0"/>
              <w:rPr>
                <w:sz w:val="18"/>
                <w:szCs w:val="18"/>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010101"/>
              </w:rPr>
              <w:t>Net loss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010101"/>
              </w:rPr>
              <w:t>(25,573)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010101"/>
              </w:rPr>
              <w:t>(25,573)</w:t>
            </w:r>
          </w:p>
        </w:tc>
      </w:tr>
      <w:tr>
        <w:trPr>
          <w:trHeight w:val="202"/>
        </w:trPr>
        <w:tc>
          <w:tcPr>
            <w:tcW w:w="2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010101"/>
                <w:w w:val="93"/>
              </w:rPr>
              <w:t>Common stock issued upon</w:t>
            </w: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010101"/>
                <w:w w:val="93"/>
              </w:rPr>
              <w:t>vesting of restricted stock</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010101"/>
              </w:rPr>
              <w:t>units</w:t>
            </w:r>
          </w:p>
        </w:tc>
        <w:tc>
          <w:tcPr>
            <w:tcW w:w="148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74,273</w:t>
            </w:r>
          </w:p>
        </w:tc>
        <w:tc>
          <w:tcPr>
            <w:tcW w:w="6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100" w:type="dxa"/>
            <w:vAlign w:val="bottom"/>
            <w:gridSpan w:val="2"/>
          </w:tcPr>
          <w:p>
            <w:pPr>
              <w:spacing w:after="0"/>
              <w:rPr>
                <w:sz w:val="20"/>
                <w:szCs w:val="20"/>
                <w:color w:val="auto"/>
              </w:rPr>
            </w:pPr>
            <w:r>
              <w:rPr>
                <w:rFonts w:ascii="Arial" w:cs="Arial" w:eastAsia="Arial" w:hAnsi="Arial"/>
                <w:sz w:val="18"/>
                <w:szCs w:val="18"/>
                <w:color w:val="010101"/>
                <w:w w:val="95"/>
              </w:rPr>
              <w:t>Stock-based compensation</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010101"/>
              </w:rPr>
              <w:t>1,865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010101"/>
              </w:rPr>
              <w:t>1,865</w:t>
            </w:r>
          </w:p>
        </w:tc>
      </w:tr>
      <w:tr>
        <w:trPr>
          <w:trHeight w:val="216"/>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010101"/>
              </w:rPr>
              <w:t>Balance - June 30, 2023</w:t>
            </w:r>
          </w:p>
        </w:tc>
        <w:tc>
          <w:tcPr>
            <w:tcW w:w="200" w:type="dxa"/>
            <w:vAlign w:val="bottom"/>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10101"/>
              </w:rPr>
              <w:t>121,633,613</w:t>
            </w: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010101"/>
              </w:rPr>
              <w:t>19,937,500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764,139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(448,858)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315,295</w:t>
            </w:r>
          </w:p>
        </w:tc>
        <w:tc>
          <w:tcPr>
            <w:tcW w:w="100" w:type="dxa"/>
            <w:vAlign w:val="bottom"/>
            <w:shd w:val="clear" w:color="auto" w:fill="CCEEFF"/>
          </w:tcPr>
          <w:p>
            <w:pPr>
              <w:spacing w:after="0"/>
              <w:rPr>
                <w:sz w:val="18"/>
                <w:szCs w:val="18"/>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(24,728)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(24,728)</w:t>
            </w:r>
          </w:p>
        </w:tc>
      </w:tr>
      <w:tr>
        <w:trPr>
          <w:trHeight w:val="202"/>
        </w:trPr>
        <w:tc>
          <w:tcPr>
            <w:tcW w:w="2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issued upon</w:t>
            </w: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exercise of stock options</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and vesting of restricted</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units</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156,921</w:t>
            </w:r>
          </w:p>
        </w:tc>
        <w:tc>
          <w:tcPr>
            <w:tcW w:w="20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23"/>
        </w:trPr>
        <w:tc>
          <w:tcPr>
            <w:tcW w:w="2100" w:type="dxa"/>
            <w:vAlign w:val="bottom"/>
            <w:gridSpan w:val="2"/>
          </w:tcPr>
          <w:p>
            <w:pPr>
              <w:spacing w:after="0"/>
              <w:rPr>
                <w:sz w:val="20"/>
                <w:szCs w:val="20"/>
                <w:color w:val="auto"/>
              </w:rPr>
            </w:pPr>
            <w:r>
              <w:rPr>
                <w:rFonts w:ascii="Arial" w:cs="Arial" w:eastAsia="Arial" w:hAnsi="Arial"/>
                <w:sz w:val="18"/>
                <w:szCs w:val="18"/>
                <w:color w:val="auto"/>
                <w:w w:val="95"/>
              </w:rPr>
              <w:t>Stock-based compensation</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1,141</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1,141</w:t>
            </w:r>
          </w:p>
        </w:tc>
      </w:tr>
      <w:tr>
        <w:trPr>
          <w:trHeight w:val="198"/>
        </w:trPr>
        <w:tc>
          <w:tcPr>
            <w:tcW w:w="21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Balance - September 30,</w:t>
            </w: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2023</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121,790,534</w:t>
            </w:r>
          </w:p>
        </w:tc>
        <w:tc>
          <w:tcPr>
            <w:tcW w:w="200" w:type="dxa"/>
            <w:vAlign w:val="bottom"/>
            <w:tcBorders>
              <w:right w:val="single" w:sz="8" w:color="CCEEFF"/>
            </w:tcBorders>
            <w:shd w:val="clear" w:color="auto" w:fill="CCEEFF"/>
          </w:tcPr>
          <w:p>
            <w:pPr>
              <w:spacing w:after="0"/>
              <w:rPr>
                <w:sz w:val="22"/>
                <w:szCs w:val="22"/>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19,937,500</w:t>
            </w:r>
          </w:p>
        </w:tc>
        <w:tc>
          <w:tcPr>
            <w:tcW w:w="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765,637</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(473,586)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292,065</w:t>
            </w: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23"/>
        </w:trPr>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4"/>
          </w:tcPr>
          <w:p>
            <w:pPr>
              <w:ind w:left="600"/>
              <w:spacing w:after="0"/>
              <w:rPr>
                <w:sz w:val="20"/>
                <w:szCs w:val="20"/>
                <w:color w:val="auto"/>
              </w:rPr>
            </w:pPr>
            <w:r>
              <w:rPr>
                <w:rFonts w:ascii="Arial" w:cs="Arial" w:eastAsia="Arial" w:hAnsi="Arial"/>
                <w:sz w:val="18"/>
                <w:szCs w:val="18"/>
                <w:b w:val="1"/>
                <w:bCs w:val="1"/>
                <w:color w:val="auto"/>
                <w:w w:val="96"/>
              </w:rPr>
              <w:t>Class A</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Class B</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paid-in</w:t>
            </w: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stockholders’</w:t>
            </w:r>
          </w:p>
        </w:tc>
      </w:tr>
      <w:tr>
        <w:trPr>
          <w:trHeight w:val="223"/>
        </w:trPr>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010101"/>
              </w:rPr>
              <w:t>Shares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b w:val="1"/>
                <w:bCs w:val="1"/>
                <w:color w:val="010101"/>
                <w:w w:val="94"/>
              </w:rPr>
              <w:t>Amount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010101"/>
              </w:rPr>
              <w:t>Shares</w:t>
            </w:r>
          </w:p>
        </w:tc>
        <w:tc>
          <w:tcPr>
            <w:tcW w:w="8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8"/>
                <w:szCs w:val="18"/>
                <w:b w:val="1"/>
                <w:bCs w:val="1"/>
                <w:color w:val="010101"/>
              </w:rPr>
              <w:t>Amount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equity</w:t>
            </w:r>
          </w:p>
        </w:tc>
      </w:tr>
      <w:tr>
        <w:trPr>
          <w:trHeight w:val="198"/>
        </w:trPr>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010101"/>
                <w:w w:val="94"/>
              </w:rPr>
              <w:t>Balance - December 31,</w:t>
            </w: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010101"/>
              </w:rPr>
              <w:t>2021</w:t>
            </w: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010101"/>
                <w:w w:val="95"/>
              </w:rPr>
              <w:t>118,025,410</w:t>
            </w:r>
          </w:p>
        </w:tc>
        <w:tc>
          <w:tcPr>
            <w:tcW w:w="4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010101"/>
              </w:rPr>
              <w:t>19,937,500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744,252</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(267,232)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477,034</w:t>
            </w: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010101"/>
              </w:rPr>
              <w:t>Net loss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010101"/>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010101"/>
              </w:rPr>
              <w:t>(35,175)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010101"/>
              </w:rPr>
              <w:t>(35,175)</w:t>
            </w:r>
          </w:p>
        </w:tc>
      </w:tr>
      <w:tr>
        <w:trPr>
          <w:trHeight w:val="202"/>
        </w:trPr>
        <w:tc>
          <w:tcPr>
            <w:tcW w:w="2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010101"/>
              </w:rPr>
              <w:t>Common stock issued</w:t>
            </w: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010101"/>
              </w:rPr>
              <w:t>upon exercise of stock</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010101"/>
              </w:rPr>
              <w:t>options and vesting of</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010101"/>
              </w:rPr>
              <w:t>restricted stock units</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010101"/>
              </w:rPr>
              <w:t>946,987</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10101"/>
              </w:rPr>
              <w:t>730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10101"/>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730</w:t>
            </w:r>
          </w:p>
        </w:tc>
      </w:tr>
      <w:tr>
        <w:trPr>
          <w:trHeight w:val="202"/>
        </w:trPr>
        <w:tc>
          <w:tcPr>
            <w:tcW w:w="2100" w:type="dxa"/>
            <w:vAlign w:val="bottom"/>
            <w:gridSpan w:val="2"/>
          </w:tcPr>
          <w:p>
            <w:pPr>
              <w:spacing w:after="0" w:line="201" w:lineRule="exact"/>
              <w:rPr>
                <w:sz w:val="20"/>
                <w:szCs w:val="20"/>
                <w:color w:val="auto"/>
              </w:rPr>
            </w:pPr>
            <w:r>
              <w:rPr>
                <w:rFonts w:ascii="Arial" w:cs="Arial" w:eastAsia="Arial" w:hAnsi="Arial"/>
                <w:sz w:val="18"/>
                <w:szCs w:val="18"/>
                <w:color w:val="010101"/>
              </w:rPr>
              <w:t>Stock-based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100" w:type="dxa"/>
            <w:vAlign w:val="bottom"/>
            <w:gridSpan w:val="2"/>
          </w:tcPr>
          <w:p>
            <w:pPr>
              <w:ind w:left="140"/>
              <w:spacing w:after="0"/>
              <w:rPr>
                <w:sz w:val="20"/>
                <w:szCs w:val="20"/>
                <w:color w:val="auto"/>
              </w:rPr>
            </w:pPr>
            <w:r>
              <w:rPr>
                <w:rFonts w:ascii="Arial" w:cs="Arial" w:eastAsia="Arial" w:hAnsi="Arial"/>
                <w:sz w:val="18"/>
                <w:szCs w:val="18"/>
                <w:color w:val="010101"/>
              </w:rPr>
              <w:t>compensation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010101"/>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010101"/>
              </w:rPr>
              <w:t>(714)</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010101"/>
              </w:rPr>
              <w:t>(714)</w:t>
            </w:r>
          </w:p>
        </w:tc>
      </w:tr>
      <w:tr>
        <w:trPr>
          <w:trHeight w:val="198"/>
        </w:trPr>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010101"/>
              </w:rPr>
              <w:t>Balance - March 31,</w:t>
            </w: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010101"/>
              </w:rPr>
              <w:t>2022</w:t>
            </w: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010101"/>
                <w:w w:val="95"/>
              </w:rPr>
              <w:t>118,972,397</w:t>
            </w:r>
          </w:p>
        </w:tc>
        <w:tc>
          <w:tcPr>
            <w:tcW w:w="4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010101"/>
              </w:rPr>
              <w:t>19,937,500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010101"/>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010101"/>
              </w:rPr>
              <w:t>744,268</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010101"/>
              </w:rPr>
              <w:t>(302,407)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010101"/>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010101"/>
              </w:rPr>
              <w:t>441,875</w:t>
            </w: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010101"/>
              </w:rPr>
              <w:t>Net loss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010101"/>
              </w:rPr>
              <w:t>(32,414)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010101"/>
              </w:rPr>
              <w:t>(32,414)</w:t>
            </w:r>
          </w:p>
        </w:tc>
      </w:tr>
      <w:tr>
        <w:trPr>
          <w:trHeight w:val="202"/>
        </w:trPr>
        <w:tc>
          <w:tcPr>
            <w:tcW w:w="2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010101"/>
              </w:rPr>
              <w:t>Common stock issued</w:t>
            </w: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010101"/>
              </w:rPr>
              <w:t>upon exercise of stock</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010101"/>
              </w:rPr>
              <w:t>options and vesting of</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010101"/>
              </w:rPr>
              <w:t>restricted stock units</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010101"/>
              </w:rPr>
              <w:t>271,731</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10101"/>
              </w:rPr>
              <w:t>264</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10101"/>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264</w:t>
            </w:r>
          </w:p>
        </w:tc>
      </w:tr>
      <w:tr>
        <w:trPr>
          <w:trHeight w:val="202"/>
        </w:trPr>
        <w:tc>
          <w:tcPr>
            <w:tcW w:w="2100" w:type="dxa"/>
            <w:vAlign w:val="bottom"/>
            <w:gridSpan w:val="2"/>
          </w:tcPr>
          <w:p>
            <w:pPr>
              <w:spacing w:after="0" w:line="201" w:lineRule="exact"/>
              <w:rPr>
                <w:sz w:val="20"/>
                <w:szCs w:val="20"/>
                <w:color w:val="auto"/>
              </w:rPr>
            </w:pPr>
            <w:r>
              <w:rPr>
                <w:rFonts w:ascii="Arial" w:cs="Arial" w:eastAsia="Arial" w:hAnsi="Arial"/>
                <w:sz w:val="18"/>
                <w:szCs w:val="18"/>
                <w:color w:val="010101"/>
              </w:rPr>
              <w:t>Stock-based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100" w:type="dxa"/>
            <w:vAlign w:val="bottom"/>
            <w:gridSpan w:val="2"/>
          </w:tcPr>
          <w:p>
            <w:pPr>
              <w:ind w:left="140"/>
              <w:spacing w:after="0"/>
              <w:rPr>
                <w:sz w:val="20"/>
                <w:szCs w:val="20"/>
                <w:color w:val="auto"/>
              </w:rPr>
            </w:pPr>
            <w:r>
              <w:rPr>
                <w:rFonts w:ascii="Arial" w:cs="Arial" w:eastAsia="Arial" w:hAnsi="Arial"/>
                <w:sz w:val="18"/>
                <w:szCs w:val="18"/>
                <w:color w:val="010101"/>
              </w:rPr>
              <w:t>compensation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010101"/>
              </w:rPr>
              <w:t>3,770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010101"/>
              </w:rPr>
              <w:t>3,770</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w w:val="94"/>
              </w:rPr>
              <w:t>Balance - June 30, 2022</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010101"/>
                <w:w w:val="95"/>
              </w:rPr>
              <w:t>119,244,128</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19,937,500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80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010101"/>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748,302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01010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(334,821)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010101"/>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413,495</w:t>
            </w:r>
          </w:p>
        </w:tc>
        <w:tc>
          <w:tcPr>
            <w:tcW w:w="100" w:type="dxa"/>
            <w:vAlign w:val="bottom"/>
            <w:shd w:val="clear" w:color="auto" w:fill="CCEEFF"/>
          </w:tcPr>
          <w:p>
            <w:pPr>
              <w:spacing w:after="0"/>
              <w:rPr>
                <w:sz w:val="18"/>
                <w:szCs w:val="18"/>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(31,713)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(31,713)</w:t>
            </w:r>
          </w:p>
        </w:tc>
      </w:tr>
      <w:tr>
        <w:trPr>
          <w:trHeight w:val="202"/>
        </w:trPr>
        <w:tc>
          <w:tcPr>
            <w:tcW w:w="2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issued</w:t>
            </w: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upon exercise of stock</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and vesting of</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604,042</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r>
      <w:tr>
        <w:trPr>
          <w:trHeight w:val="202"/>
        </w:trPr>
        <w:tc>
          <w:tcPr>
            <w:tcW w:w="2100" w:type="dxa"/>
            <w:vAlign w:val="bottom"/>
            <w:gridSpan w:val="2"/>
          </w:tcPr>
          <w:p>
            <w:pPr>
              <w:spacing w:after="0" w:line="201" w:lineRule="exact"/>
              <w:rPr>
                <w:sz w:val="20"/>
                <w:szCs w:val="20"/>
                <w:color w:val="auto"/>
              </w:rPr>
            </w:pPr>
            <w:r>
              <w:rPr>
                <w:rFonts w:ascii="Arial" w:cs="Arial" w:eastAsia="Arial" w:hAnsi="Arial"/>
                <w:sz w:val="18"/>
                <w:szCs w:val="18"/>
                <w:color w:val="auto"/>
              </w:rPr>
              <w:t>Stock-based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100" w:type="dxa"/>
            <w:vAlign w:val="bottom"/>
            <w:gridSpan w:val="2"/>
          </w:tcPr>
          <w:p>
            <w:pPr>
              <w:ind w:left="340"/>
              <w:spacing w:after="0"/>
              <w:rPr>
                <w:sz w:val="20"/>
                <w:szCs w:val="20"/>
                <w:color w:val="auto"/>
              </w:rPr>
            </w:pPr>
            <w:r>
              <w:rPr>
                <w:rFonts w:ascii="Arial" w:cs="Arial" w:eastAsia="Arial" w:hAnsi="Arial"/>
                <w:sz w:val="18"/>
                <w:szCs w:val="18"/>
                <w:color w:val="auto"/>
              </w:rPr>
              <w:t>compensation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4,043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4,043</w:t>
            </w:r>
          </w:p>
        </w:tc>
      </w:tr>
      <w:tr>
        <w:trPr>
          <w:trHeight w:val="198"/>
        </w:trPr>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September</w:t>
            </w: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30, 2022</w:t>
            </w:r>
          </w:p>
        </w:tc>
        <w:tc>
          <w:tcPr>
            <w:tcW w:w="16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119,848,170</w:t>
            </w:r>
          </w:p>
        </w:tc>
        <w:tc>
          <w:tcPr>
            <w:tcW w:w="4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19,937,500</w:t>
            </w: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0"/>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753,970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(366,534)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387,450</w:t>
            </w: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061"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61"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60" w:type="dxa"/>
            <w:vAlign w:val="bottom"/>
          </w:tcPr>
          <w:p>
            <w:pPr>
              <w:spacing w:after="0"/>
              <w:rPr>
                <w:sz w:val="20"/>
                <w:szCs w:val="20"/>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8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(73,912)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(99,302)</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Non-cash lease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(8,302)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20,384</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Realized loss on marketable securities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2,399</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disposal of fixed assets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(5,121)</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7,099</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(466)</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 net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(931)</w:t>
            </w:r>
          </w:p>
        </w:tc>
      </w:tr>
      <w:tr>
        <w:trPr>
          <w:trHeight w:val="216"/>
        </w:trPr>
        <w:tc>
          <w:tcPr>
            <w:tcW w:w="8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(9,466)</w:t>
            </w: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8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(2,656)</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2,224</w:t>
            </w:r>
          </w:p>
        </w:tc>
      </w:tr>
      <w:tr>
        <w:trPr>
          <w:trHeight w:val="216"/>
        </w:trPr>
        <w:tc>
          <w:tcPr>
            <w:tcW w:w="8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(1,995)</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8,976</w:t>
            </w:r>
          </w:p>
        </w:tc>
      </w:tr>
      <w:tr>
        <w:trPr>
          <w:trHeight w:val="223"/>
        </w:trPr>
        <w:tc>
          <w:tcPr>
            <w:tcW w:w="8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(73,067)</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(7,241)</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Internally developed software - capitalized costs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(763)</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(834)</w:t>
            </w:r>
          </w:p>
        </w:tc>
      </w:tr>
      <w:tr>
        <w:trPr>
          <w:trHeight w:val="223"/>
        </w:trPr>
        <w:tc>
          <w:tcPr>
            <w:tcW w:w="8460" w:type="dxa"/>
            <w:vAlign w:val="bottom"/>
          </w:tcPr>
          <w:p>
            <w:pPr>
              <w:ind w:left="180"/>
              <w:spacing w:after="0"/>
              <w:rPr>
                <w:sz w:val="20"/>
                <w:szCs w:val="20"/>
                <w:color w:val="auto"/>
              </w:rPr>
            </w:pPr>
            <w:r>
              <w:rPr>
                <w:rFonts w:ascii="Arial" w:cs="Arial" w:eastAsia="Arial" w:hAnsi="Arial"/>
                <w:sz w:val="18"/>
                <w:szCs w:val="18"/>
                <w:color w:val="auto"/>
              </w:rPr>
              <w:t>Sales of marketable securities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88,000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119,759</w:t>
            </w:r>
          </w:p>
        </w:tc>
      </w:tr>
      <w:tr>
        <w:trPr>
          <w:trHeight w:val="223"/>
        </w:trPr>
        <w:tc>
          <w:tcPr>
            <w:tcW w:w="8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Net cash provided by investing activities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82,360</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111,684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Deferred offering costs</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 - business acquisition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r>
      <w:tr>
        <w:trPr>
          <w:trHeight w:val="223"/>
        </w:trPr>
        <w:tc>
          <w:tcPr>
            <w:tcW w:w="8460" w:type="dxa"/>
            <w:vAlign w:val="bottom"/>
          </w:tcPr>
          <w:p>
            <w:pPr>
              <w:ind w:left="180"/>
              <w:spacing w:after="0"/>
              <w:rPr>
                <w:sz w:val="20"/>
                <w:szCs w:val="20"/>
                <w:color w:val="auto"/>
              </w:rPr>
            </w:pPr>
            <w:r>
              <w:rPr>
                <w:rFonts w:ascii="Arial" w:cs="Arial" w:eastAsia="Arial" w:hAnsi="Arial"/>
                <w:sz w:val="18"/>
                <w:szCs w:val="18"/>
                <w:color w:val="auto"/>
              </w:rPr>
              <w:t>Payment of deferred consideration - business acquisition</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r>
        <w:trPr>
          <w:trHeight w:val="223"/>
        </w:trPr>
        <w:tc>
          <w:tcPr>
            <w:tcW w:w="8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9,503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42,478</w:t>
            </w:r>
          </w:p>
        </w:tc>
      </w:tr>
      <w:tr>
        <w:trPr>
          <w:trHeight w:val="223"/>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84,319</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93,822</w:t>
            </w:r>
          </w:p>
        </w:tc>
        <w:tc>
          <w:tcPr>
            <w:tcW w:w="2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78,263</w:t>
            </w:r>
          </w:p>
        </w:tc>
      </w:tr>
      <w:tr>
        <w:trPr>
          <w:trHeight w:val="20"/>
        </w:trPr>
        <w:tc>
          <w:tcPr>
            <w:tcW w:w="8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Property and equipment purchased but not paid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costs payable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Quantum-Si Incorporated (including its subsidiaries, the “Company” or “Quantum-Si”) (formerly HighCape Capital Acquisition Corp. (“HighCape”)) was incorporated in Delaware on June 10, 2020. The Company’s legal name became Quantum-Si Incorporated following a business combination between the Company and Q-SI Operations Inc. (formerly Quantum-Si Incorporated) on June 10, 2021 (the “Business Combination”).</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an innovative life sciences company with the mission of transforming single-molecule analysis and democratizing its use by providing researchers and clinicians access to the proteome, the set of proteins expressed within a cell. The Company has developed a proprietary universal single-</w:t>
      </w:r>
    </w:p>
    <w:p>
      <w:pPr>
        <w:jc w:val="both"/>
        <w:spacing w:after="0" w:line="227" w:lineRule="auto"/>
        <w:rPr>
          <w:sz w:val="20"/>
          <w:szCs w:val="20"/>
          <w:color w:val="auto"/>
        </w:rPr>
      </w:pPr>
      <w:r>
        <w:rPr>
          <w:rFonts w:ascii="Arial" w:cs="Arial" w:eastAsia="Arial" w:hAnsi="Arial"/>
          <w:sz w:val="18"/>
          <w:szCs w:val="18"/>
          <w:color w:val="auto"/>
        </w:rPr>
        <w:t>molecule detection platform that the Company is first applying to proteomics to enable Next-Generation Protein Sequencing</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(“NGPS”), the ability to sequence proteins in a massively parallel fashion (rather than sequentially, one at a time), and can be used for the study of nucleic acids. The Company’s platform is currently comprised of the Platinum™ NGPS instrument and the Quantum-Si Cloud software service, and reagent kits and chips for use with its instruments.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has incurred recurring losses each year since its inception, the Company expects its cash and cash equivalents, and marketable securities will be able to fund its operations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regarding interim financial reporting. All intercompany transactions are eliminated. Certain information and note disclosures normally included in financial statements prepared in accordance with U.S. GAAP have been condensed or omitted pursuant to such rules and regulations.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the notes thereto included in the Company’s Annual Report on Form 10-K for the year ended December 31, 2022. The condensed consolidated balance sheet as of December 31, 2022 included herein was derived from the audited consolidated financial statements as of that date, but does not include all disclosures, including certain notes required by U.S. GAAP, on an annual reporting basis.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opinion of management, the accompanying condensed consolidated financial statements reflect all normal recurring adjustments necessary to present fairly the financial position, results of operations, and cash flows for the interim periods. The results for the three and nine months ended September 30, 2023 are not necessarily indicative of the results to be expected for any subsequent quarter, the year ending December 31, 2023, or any other period.</w:t>
      </w:r>
    </w:p>
    <w:p>
      <w:pPr>
        <w:spacing w:after="0" w:line="1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Except for revenue, inventory and capitalized software development costs discussed elsewhere in this note, there have been no material changes to the Company’s significant accounting policies as described in the Company’s Annual Report on Form 10-K for the year ended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Developments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2022, various central banks around the world (including the Federal Reserve in the United States) raised interest rates. These rate increases have caused an overall decline in the fair value of the Company’s fixed income mutual funds to date. The impact of such rate changes on the overall financial markets and the economy may continue to impact the Company in the future, including by making capital more difficult and costly to obtain on reasonable terms and when needed. In addition, the global economy has experienced and is continuing to experience high levels of inflation and global supply chain disruptions. The Company continues to monitor these supply chain, inflation and interest rate factors, as well as the uncertainty resulting from the overall economic environment.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although the Company has no operations in or direct exposure to Russia or Ukraine, the Company has experienced some constraints in product and material availability and increasing costs required to obtain some materials and supplies as a result of the impact of the Russia-Ukraine military conflict on the global economy, which has contributed to the global supply chain disruptions. To date, the Company’s business has not been materially impacted by the conflict. However, as the conflict continues or worsens, it may adversely impact the Company’s business, financial condition, results of operations or cash flows.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Business Risk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and cash equivalents and marketable securities. As of September 30, 2023 and December 31, 2022, substantially all of the Company’s marketable securities were invested in fixed income mutual funds at one financial institution. See Note 5 “Investments in Marketable Securities” in our condensed consolidated financial statements included elsewhere in this Quarterly Report on Form 10-Q for further information regarding our realized losses on such accounts. The Company also maintains balances in certain operating accounts above federally insured limits and, as a result, the Company is exposed to credit risk in the event of default by the financial institutions to the extent account balances exceed the amount insured by the Federal Deposit Insurance Corporation.</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sources certain key materials and components utilized in the Company’s products from single or limited suppliers. Historically, the Company has not experienced significant issues sourcing these materials and components. However, if these suppliers were not able to supply the requested amount of materials or components, it could take a considerable length of time to obtain alternative sources, which could affect the Company’s development efforts and commercial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Chief Operating Decision Maker, its Chief Executive Officer, reviews the Company’s financial information on a consolidated basis for purposes of allocating resources and evaluating its financial performance. Accordingly, the Company has determined that it operates as a single reportable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for consistency with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the Company to make estimates and assumptions about future events that affect the amounts reported in its condensed consolidated financial statements and accompanying notes. Future events and their effects cannot be determined with certainty. On an ongoing basis, management evaluates these estimates and assumptions. Significant estimates and assumptions include:</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allowance with respect to deferred tax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used for leases;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of warrant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associated with revenue recognition;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underlying the fair value used in the calculation of 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bases these estimates on historical and anticipated results and trends and on various other assumptions that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Inventory is stated at the lower of cost or net realizable value with cost determined using the first-in, first-out method. Inventory primarily consists of raw materials and finished goods of $1,030 and $1,285, respectively, as of September 30, 2023.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Materials that may be utilized for either research and development or, alternatively, for commercial purposes, are classified as inventory. Amounts in inventory that are used for research and development purposes are charged to research and development expense when the product enters the research and development process and can no longer be used for commercial purposes and, therefore, does not have an “alternative future use” as defined in authoritative guidance.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performs an assessment of the recoverability of capitalized inventory during each reporting period and, if needed, writes down any excess and obsolete inventory to its estimated net realizable value in the period it is identified. As of September 30, 2023, there were no write-downs recorded against inventory.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capitalizes certain internal use software development costs related to its SaaS platform incurred during the application development stage when management with the relevant authority authorizes and commits to the funding of the project, it is probable that the project will be completed, and the software will be used as intended. The Company also capitalizes costs related to specific upgrades and enhancements when it is probable that the expenditure will result in additional functionality. Costs related to preliminary project activities and to post-implementation activities are expensed as incurred. Internal use software is amortized on a straight-line basis over its estimated useful life, which is generally two years. Management evaluates the useful lives of these assets on an annual basis and tests for impairment whenever events or changes in circumstances occur that could impact the recoverability of the assets. Capitalized costs are recorded as Internally developed software in the condensed consolidated balance sheets. There was no Internally developed software recorded in 2022. Amortization expense related to internally developed software was $90 and $136 for the three and nine months ended September 30, 2023, respectively. As of September 30, 2023 amortization expense is expected to be $95 for the remainder of the year ending December 31, 2023 and $382 and $150 for the years ending December 31, 2024 and 2025,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revenue is derived from sales of products and services. Product revenue is primarily generated from the sales of instruments and consumables used in protein sequencing and analysis. Service revenue is primarily generated from service maintenance contracts including cloud access, proof of concept services and advanced training for instrument use. The Company recognizes revenue when or as a customer obtains control of the promised goods and services. The amount of revenue recognized reflects the consideration to which the Company expects to be entitled in exchange for these goods and services. This process involves identifying the contract with a customer, determining the performance obligations in the contract, determining the contract price, allocating the contract price to the distinct performance obligations in the contract, and recognizing revenue as the performance obligations have been satisfied.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allocates transaction price to the performance obligations in a contract with a customer based on the relative standalone selling price of each performance obligation. The Company determines standalone selling price based on the price at which the performance obligation is sold separately. If the standalone selling price is not observable through past transactions, the Company estimates the standalone selling price taking into account available information and specific factors such as competitive positioning, internal costs, profit objectives, and internally approved pricing guidelines related to the performance obligation.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considers performance obligation for sales of products is satisfied upon shipment of the goods to the customer in accordance with the shipping terms (either upon shipment or delivery), which is when control of the product is deemed to be transferred; this would include instruments and consumables. Customers generally do not have a right of return, except for defective or damaged products during the warranty period or unless prior written consent is provided. In instances where right of payment or transfer of title is contingent upon the customer’s acceptance of the product, revenue is deferred until all acceptance criteria have been met. Revenues for service maintenance contracts, which start after the first year of purchase and are considered as service type warranties that effectively extend the standard first-year warranty coverage at the customer’s option, are recognized ratably over the contract service period as these services are performed evenly over time. Revenues for proof of concept services and advanced training is recognized upon satisfaction of the underlying performance obligation. The Company typically provides a standard one-year warranty which covers defects in materials and workmanship and manufacturing or performance conditions under normal use and service for the first year. The first year of the warranty of the products is considered an assurance-type warranty. The Company has determined that this standard first-year warranty is not a distinct performance obligation.</w:t>
      </w:r>
    </w:p>
    <w:p>
      <w:pPr>
        <w:spacing w:after="0" w:line="18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disaggregates revenue from contracts with customers by type of revenue – products and services. The Company believes that product revenue and service revenue aggregate the payor types by nature, amount, timing and uncertainty of its revenue streams. Total revenue generated from domestic sales for the three and nine months ended September 30, 2023 was $209 and $565, respectively. Total revenue generated from international sales for the three and nine months ended September 30, 2023 was $14 and $117.</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revenue is a contract liability that consists of customer payments received in advance of performance or billings in excess of revenue recognized, net of revenue recognized from the balance at the beginning of the period.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Deferred revenue primarily consists of billings and payments received in advance of revenue recognition from service maintenance contracts including software subscription, proof of concept services and advanced training, and is reduced as the revenue recognition criteria are met. Deferred revenue also includes proof of concept services and advanced training provided to customers until the service has been performed. Deferred revenue is classified as current or non-current based on expected revenue recognition timing. Specifically, deferred revenue that will be recognized as revenue within the succeeding 12-month period is recorded as current and is included within Accrued expenses and other current liabilities, and the portion of deferred revenue where revenue is expected to be recognized beyond 12 months from the reporting date is recorded as non-current deferred revenue and is included in Other long-term liabilities in the Company’s condensed consolidated balance sheets.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the Company had deferred revenue amounting to $189, $170 of which is included within Accrued expenses and other current liabilities and $19 is included within Other long-term liabilities in the Company’s condensed consolidated balance sheets. The Company expects to recognize approximately 74% of its remaining performance obligations as revenue for the remainder of the year ending December 31, 2023, and an additional 26% for the year ending December 31, 2024 and thereafter.</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amount of revenue recognized during the three and nine months ended September 30, 2023 that was included in the deferred revenue balance of $73 at December 31, 2022 was $1 and $71,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provides a free 12-month assurance-type warranty to customers with the initial purchase of a PlatinumTM instrument. The cost of the warranty is accrued upon the initial sale of an instrument in Accrued expenses and other current liabilities on the condensed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Shipping and handling costs associated with outbound freight after control of a product has transferred to a customer are accounted for as fulfillment costs and are included in Cost of revenue in the condensed consolidated statements of operations and comprehensive loss. Shipping and handling costs billed to customers are considered part of the transaction price and are recognized as revenue with the underlying product sales.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new accounting pronouncements issued or effective during the three and nine months ended September 30, 2023 had, or are expected to have, a material impact on the Company’s condensed consolidated financial statements.</w:t>
      </w:r>
    </w:p>
    <w:p>
      <w:pPr>
        <w:spacing w:after="0" w:line="166" w:lineRule="exact"/>
        <w:rPr>
          <w:sz w:val="20"/>
          <w:szCs w:val="20"/>
          <w:color w:val="auto"/>
        </w:rPr>
      </w:pPr>
    </w:p>
    <w:p>
      <w:pPr>
        <w:ind w:right="9160" w:firstLine="8"/>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Majelac Technologies LLC</w:t>
      </w:r>
    </w:p>
    <w:p>
      <w:pPr>
        <w:jc w:val="both"/>
        <w:spacing w:after="0" w:line="286" w:lineRule="auto"/>
        <w:rPr>
          <w:sz w:val="20"/>
          <w:szCs w:val="20"/>
          <w:color w:val="auto"/>
        </w:rPr>
      </w:pPr>
      <w:r>
        <w:rPr>
          <w:rFonts w:ascii="Arial" w:cs="Arial" w:eastAsia="Arial" w:hAnsi="Arial"/>
          <w:sz w:val="16"/>
          <w:szCs w:val="16"/>
          <w:color w:val="auto"/>
        </w:rPr>
        <w:t>Pursuant to the terms and conditions of an Asset Purchase Agreement by and among the Company, Majelac Technologies LLC (“Majelac”), and certain other parties, on November 5, 2021 (the “Majelac Closing Date”), the Company acquired certain assets and assumed certain liabilities of Majelac, a privately-owned company providing semiconductor chip assembly and packaging capabilities located in Pennsylvania, for $4,632 in cash including $132 in reimbursement for certain recently purchased equipment, and 535,715 shares of Class A common stock, valued at $4,232, issued to Majelac subject to certain restrictions. An additional 59,523 shares of Class A common stock valued at $471 were issued to Majelac 12 months after the Majelac Closing Date on November 7, 2022. The Company also assumed the legal fees of Majelac of $50. Additional purchase price consideration of $500 in cash was to be paid six months after the Majelac Closing Date less any amount that could be required by the buyer indemnitees to satisfy any unresolved claims for indemnification, if any. The Company agreed to pay additional milestone-based consideration of up to $800, which was fair valued at $531 on the Majelac Closing Date. On May 4, 2022, the Company paid Majelac $900 in cash, which consisted of $500 for the additional purchase price consideration and $400 (fair value of $348 at the Majelac Closing Date) for the first of two milestones that was met. As of June 30, 2023, the Company determined that the estimated fair value of the contingent consideration was de minimis as the probability of the second milestone being met by November 1, 2023 was remote. As of September 30, 2023, there has been no change from the June 30, 2023 determination. As a result, the Company recorded a gain of $400 during the nine months ended September 30, 2023 in Other income (expense), net in the condensed consolidated statements of operations and comprehensive loss.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acquisition brought semiconductor chip assembly and packaging capabilities in-house and secured the Company’s supply chain to support its commercialization efforts. Prior to the acquisition, Majelac was a vendor of the Company.</w:t>
      </w:r>
    </w:p>
    <w:p>
      <w:pPr>
        <w:sectPr>
          <w:pgSz w:w="11900" w:h="16838" w:orient="portrait"/>
          <w:cols w:equalWidth="0" w:num="1">
            <w:col w:w="11240"/>
          </w:cols>
          <w:pgMar w:left="320" w:top="122"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final purchase price allocation at the Majelac Closing Date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Purchase Price</w:t>
      </w:r>
    </w:p>
    <w:p>
      <w:pPr>
        <w:spacing w:after="0" w:line="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89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980" w:hanging="976"/>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27</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906</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9,483</w:t>
      </w:r>
    </w:p>
    <w:p>
      <w:pPr>
        <w:spacing w:after="0" w:line="41" w:lineRule="exact"/>
        <w:rPr>
          <w:sz w:val="20"/>
          <w:szCs w:val="20"/>
          <w:color w:val="auto"/>
        </w:rPr>
      </w:pPr>
    </w:p>
    <w:p>
      <w:pPr>
        <w:ind w:left="660" w:hanging="656"/>
        <w:spacing w:after="0"/>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10,416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728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57785</wp:posOffset>
            </wp:positionV>
            <wp:extent cx="728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260" w:space="720"/>
            <w:col w:w="1260"/>
          </w:cols>
          <w:pgMar w:left="320" w:top="122" w:right="339" w:bottom="1440" w:gutter="0" w:footer="0" w:header="0"/>
          <w:type w:val="continuous"/>
        </w:sectPr>
      </w:pP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excess of the consideration transferred over the aggregate fair values of assets acquired and liabilities assumed. The goodwill recorded in connection with this acquisition was based on operating synergies and other benefits expected to result from the combined operations. The goodwill acquired is amortizable for tax purposes over a period of 15 years. During the fourth quarter ended December 31, 2022, the Company concluded the goodwill from the Majelac acquisition was fully impaired and recorded a charge of $9,483 on the consolidated statements of operations and comprehensive loss.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Acquisition-related costs recognized during the three and nine months ended September 30, 2022, including transaction costs such as legal, accounting, valuation and other professional services, were $0 and $26, respectively, and are included in Selling, general and administrative on the condensed consolidated statements of operations and comprehensive loss. There were no acquisition-related costs recognized during the three and nine months ended September 30,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8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an entity has the ability to access.</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2 -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based on inputs that are supported by little or no market activity and that are significant to the fair value of the assets or liabilities.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carrying value of cash and cash equivalents, accounts payable and accrued expenses and other current liabilities approximates their fair values due to the short-term or on demand nature of these instruments. Fixed income mutual funds were valued using quoted market prices and accordingly were classified as Level 1. There were no transfers between fair value measurement levels during the three and nine months ended September 30, 2023.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outstanding warrants include publicly traded warrants (the “Public Warrants”) which were issued as one-third of one redeemable warrant per unit issued during HighCape’s initial public offering on September 9, 2020, and warrants sold in a private placement (the “Private Warrants”) to HighCape’s sponsor, HighCape Capital Acquisition LLC. The Company accounted for the warrants as liabilities in accordance with ASC 815-40 and are presented as Warrant liabilities on the condensed consolidated balance sheets. The warrant liabilities are measured at fair value at inception and on a recurring basis, with changes in fair value presented as Change in fair value of warrant liabilities in the condensed consolidated statements of operations and comprehensive loss. There were no exercises or redemptions of the public or private warrants as of September 30, 2023.</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Public Warrants and Private Warrants were carried at fair value as of September 30, 2023 and December 31, 2022. The Public Warrants were valued using Level 1 inputs as they are traded in an active market. The Private Warrants were valued using a binomial lattice model, which results in a Level 3 fair value measurement.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September 30, 2023, the significant assumptions used in preparing the binomial lattice model for valuing the Private Warrants liability include (i) volatility of 93.7%, (ii) risk-free interest rate of 4.80%, (iii) strike price of $11.50, (iv) fair value of common stock of $1.66, and (v) expected life of 2.7 years. As of December 31, 2022, the significant assumptions used in preparing the binomial lattice model for valuing the Private Warrants liability include (i) volatility of 75.1%, (ii) risk-free interest rate of 4.10%, (iii) strike price of $11.50, (iv) fair value of common stock of $1.83, and (v) expected life of 3.4 years.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assets and liabilities that are measured at fair value on a recurring basis, by level, within the fair value hierarchy: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Fair Value Measurement Level</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September 30, 2023:</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Assets:</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 Money Market</w:t>
            </w:r>
          </w:p>
        </w:tc>
        <w:tc>
          <w:tcPr>
            <w:tcW w:w="150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88,354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180,803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180,803</w:t>
            </w:r>
          </w:p>
        </w:tc>
        <w:tc>
          <w:tcPr>
            <w:tcW w:w="18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 at fair value on a recurring basis</w:t>
            </w:r>
          </w:p>
        </w:tc>
        <w:tc>
          <w:tcPr>
            <w:tcW w:w="128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269,157</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269,157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150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1,035</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at fair value on a recurring basis</w:t>
            </w:r>
          </w:p>
        </w:tc>
        <w:tc>
          <w:tcPr>
            <w:tcW w:w="1500" w:type="dxa"/>
            <w:vAlign w:val="bottom"/>
            <w:gridSpan w:val="3"/>
          </w:tcPr>
          <w:p>
            <w:pPr>
              <w:jc w:val="right"/>
              <w:ind w:right="6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1,077</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Fair Value Measurement Level</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December 31, 2022:</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Assets:</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 Money Market</w:t>
            </w:r>
          </w:p>
        </w:tc>
        <w:tc>
          <w:tcPr>
            <w:tcW w:w="150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83,079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266,990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266,990</w:t>
            </w:r>
          </w:p>
        </w:tc>
        <w:tc>
          <w:tcPr>
            <w:tcW w:w="18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 at fair value on a recurring basis</w:t>
            </w:r>
          </w:p>
        </w:tc>
        <w:tc>
          <w:tcPr>
            <w:tcW w:w="128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350,069</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350,069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150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958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at fair value on a recurring basis</w:t>
            </w:r>
          </w:p>
        </w:tc>
        <w:tc>
          <w:tcPr>
            <w:tcW w:w="1500" w:type="dxa"/>
            <w:vAlign w:val="bottom"/>
            <w:gridSpan w:val="3"/>
          </w:tcPr>
          <w:p>
            <w:pPr>
              <w:jc w:val="right"/>
              <w:ind w:right="67"/>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996</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vMerge w:val="restart"/>
          </w:tcPr>
          <w:p>
            <w:pPr>
              <w:jc w:val="right"/>
              <w:ind w:right="73"/>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7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7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MARKETABLE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Unrealized gains/(losses) related to securities held as of September 30, 2023, realized losses related to securities that were sold during the three and nine months ended September 30, 2023 and dividend income from marketable securities were as follows for the three and nine months ended September 30, 2023 and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2023</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marketable securities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Realized loss on marketable securities</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(1,901)</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420"/>
              <w:spacing w:after="0"/>
              <w:rPr>
                <w:sz w:val="20"/>
                <w:szCs w:val="20"/>
                <w:color w:val="auto"/>
              </w:rPr>
            </w:pPr>
            <w:r>
              <w:rPr>
                <w:rFonts w:ascii="Arial" w:cs="Arial" w:eastAsia="Arial" w:hAnsi="Arial"/>
                <w:sz w:val="18"/>
                <w:szCs w:val="18"/>
                <w:color w:val="auto"/>
              </w:rPr>
              <w:t>(6,489)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(2,399)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 from marketable securities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3,288</w:t>
            </w:r>
          </w:p>
        </w:tc>
      </w:tr>
      <w:tr>
        <w:trPr>
          <w:trHeight w:val="432"/>
        </w:trPr>
        <w:tc>
          <w:tcPr>
            <w:tcW w:w="5980" w:type="dxa"/>
            <w:vAlign w:val="bottom"/>
          </w:tcPr>
          <w:p>
            <w:pPr>
              <w:spacing w:after="0"/>
              <w:rPr>
                <w:sz w:val="20"/>
                <w:szCs w:val="20"/>
                <w:color w:val="auto"/>
              </w:rPr>
            </w:pPr>
            <w:r>
              <w:rPr>
                <w:rFonts w:ascii="Arial" w:cs="Arial" w:eastAsia="Arial" w:hAnsi="Arial"/>
                <w:sz w:val="18"/>
                <w:szCs w:val="18"/>
                <w:b w:val="1"/>
                <w:bCs w:val="1"/>
                <w:color w:val="auto"/>
              </w:rPr>
              <w:t>6. PROPERTY AND EQUIPMENT, NET</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60" w:type="dxa"/>
            <w:vAlign w:val="bottom"/>
            <w:gridSpan w:val="2"/>
          </w:tcPr>
          <w:p>
            <w:pPr>
              <w:spacing w:after="0"/>
              <w:rPr>
                <w:sz w:val="20"/>
                <w:szCs w:val="20"/>
                <w:color w:val="auto"/>
              </w:rPr>
            </w:pPr>
            <w:r>
              <w:rPr>
                <w:rFonts w:ascii="Arial" w:cs="Arial" w:eastAsia="Arial" w:hAnsi="Arial"/>
                <w:sz w:val="18"/>
                <w:szCs w:val="18"/>
                <w:color w:val="auto"/>
                <w:w w:val="90"/>
              </w:rPr>
              <w:t>Property and equipment, net, are recorded at historical cost and consist of the following:</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5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production equipment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Computer equipment</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6,234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23,052</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420"/>
              <w:spacing w:after="0"/>
              <w:rPr>
                <w:sz w:val="20"/>
                <w:szCs w:val="20"/>
                <w:color w:val="auto"/>
              </w:rPr>
            </w:pPr>
            <w:r>
              <w:rPr>
                <w:rFonts w:ascii="Arial" w:cs="Arial" w:eastAsia="Arial" w:hAnsi="Arial"/>
                <w:sz w:val="18"/>
                <w:szCs w:val="18"/>
                <w:color w:val="auto"/>
              </w:rPr>
              <w:t>(9,152)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(6,203)</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17,606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16,849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associated with Property and equipment amounted to $1,080 and $729 for the three months ended September 30, 2023 and 2022, respectively, and $2,927 and $1,789 for the nine months ended September 30, 2023 and 2022, respectively. No impairments were recorded for the three and nine months ended September 30, 2023 or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Contracted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3,616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Business acquisition costs and contingencies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Legal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7,428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commitments under lease arrangements primarily for office and manufacturing space. The Company’s leases have initial lease terms ranging from two to 10 years. These leases include options to extend or renew the leases for an additional period of one to 10 years.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leases are accounted for on the condensed consolidated balance sheets with right-of-use (“ROU”) assets being recognized in “Operating lease right-of-use assets” and lease liabilities recognized in “Current portion of operating lease liabilities” and “Operating lease liabilities”.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5540" w:type="dxa"/>
            <w:vAlign w:val="bottom"/>
            <w:gridSpan w:val="2"/>
          </w:tcPr>
          <w:p>
            <w:pPr>
              <w:spacing w:after="0"/>
              <w:rPr>
                <w:sz w:val="20"/>
                <w:szCs w:val="20"/>
                <w:color w:val="auto"/>
              </w:rPr>
            </w:pPr>
            <w:r>
              <w:rPr>
                <w:rFonts w:ascii="Arial" w:cs="Arial" w:eastAsia="Arial" w:hAnsi="Arial"/>
                <w:sz w:val="18"/>
                <w:szCs w:val="18"/>
                <w:color w:val="auto"/>
                <w:w w:val="88"/>
              </w:rPr>
              <w:t>Lease-related costs for the three and nine months ended September 30, 2023</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w w:val="92"/>
              </w:rPr>
              <w:t>and 2022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5"/>
          </w:tcPr>
          <w:p>
            <w:pPr>
              <w:ind w:left="300"/>
              <w:spacing w:after="0"/>
              <w:rPr>
                <w:sz w:val="20"/>
                <w:szCs w:val="20"/>
                <w:color w:val="auto"/>
              </w:rPr>
            </w:pPr>
            <w:r>
              <w:rPr>
                <w:rFonts w:ascii="Arial" w:cs="Arial" w:eastAsia="Arial" w:hAnsi="Arial"/>
                <w:sz w:val="18"/>
                <w:szCs w:val="18"/>
                <w:b w:val="1"/>
                <w:bCs w:val="1"/>
                <w:color w:val="auto"/>
                <w:w w:val="90"/>
              </w:rPr>
              <w:t>Nine months ended</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5"/>
          </w:tcPr>
          <w:p>
            <w:pPr>
              <w:ind w:left="48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w w:val="84"/>
              </w:rPr>
              <w:t>2,613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2,352</w:t>
            </w:r>
          </w:p>
        </w:tc>
        <w:tc>
          <w:tcPr>
            <w:tcW w:w="100" w:type="dxa"/>
            <w:vAlign w:val="bottom"/>
            <w:shd w:val="clear" w:color="auto" w:fill="CCEEFF"/>
          </w:tcPr>
          <w:p>
            <w:pPr>
              <w:spacing w:after="0"/>
              <w:rPr>
                <w:sz w:val="18"/>
                <w:szCs w:val="18"/>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Variable lease cost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ind w:left="520"/>
              <w:spacing w:after="0"/>
              <w:rPr>
                <w:sz w:val="20"/>
                <w:szCs w:val="20"/>
                <w:color w:val="auto"/>
              </w:rPr>
            </w:pPr>
            <w:r>
              <w:rPr>
                <w:rFonts w:ascii="Arial" w:cs="Arial" w:eastAsia="Arial" w:hAnsi="Arial"/>
                <w:sz w:val="18"/>
                <w:szCs w:val="18"/>
                <w:color w:val="auto"/>
              </w:rPr>
              <w:t>1,226</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922</w:t>
            </w:r>
          </w:p>
        </w:tc>
      </w:tr>
      <w:tr>
        <w:trPr>
          <w:trHeight w:val="256"/>
        </w:trPr>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lease cost</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1,409</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w w:val="84"/>
              </w:rPr>
              <w:t>3,839</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3,274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8600" w:type="dxa"/>
            <w:vAlign w:val="bottom"/>
            <w:gridSpan w:val="9"/>
          </w:tcPr>
          <w:p>
            <w:pPr>
              <w:spacing w:after="0"/>
              <w:rPr>
                <w:sz w:val="20"/>
                <w:szCs w:val="20"/>
                <w:color w:val="auto"/>
              </w:rPr>
            </w:pPr>
            <w:r>
              <w:rPr>
                <w:rFonts w:ascii="Arial" w:cs="Arial" w:eastAsia="Arial" w:hAnsi="Arial"/>
                <w:sz w:val="18"/>
                <w:szCs w:val="18"/>
                <w:color w:val="auto"/>
                <w:w w:val="98"/>
              </w:rPr>
              <w:t>Other information related to operating leases as of September 30, 2023 and December 31, 2022 is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gridSpan w:val="5"/>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10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gridSpan w:val="3"/>
          </w:tcPr>
          <w:p>
            <w:pPr>
              <w:ind w:left="140"/>
              <w:spacing w:after="0"/>
              <w:rPr>
                <w:sz w:val="20"/>
                <w:szCs w:val="20"/>
                <w:color w:val="auto"/>
              </w:rPr>
            </w:pPr>
            <w:r>
              <w:rPr>
                <w:rFonts w:ascii="Arial" w:cs="Arial" w:eastAsia="Arial" w:hAnsi="Arial"/>
                <w:sz w:val="18"/>
                <w:szCs w:val="18"/>
                <w:color w:val="auto"/>
                <w:w w:val="87"/>
              </w:rPr>
              <w:t>7.9%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cash flow and supplemental cash flow information related to the Company’s lease liabilities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p>
        </w:tc>
        <w:tc>
          <w:tcPr>
            <w:tcW w:w="2680" w:type="dxa"/>
            <w:vAlign w:val="bottom"/>
            <w:gridSpan w:val="7"/>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85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paid to settle operating lease liabilities</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9,466</w:t>
            </w:r>
          </w:p>
        </w:tc>
        <w:tc>
          <w:tcPr>
            <w:tcW w:w="100" w:type="dxa"/>
            <w:vAlign w:val="bottom"/>
            <w:shd w:val="clear" w:color="auto" w:fill="CCEEFF"/>
          </w:tcPr>
          <w:p>
            <w:pPr>
              <w:spacing w:after="0"/>
              <w:rPr>
                <w:sz w:val="18"/>
                <w:szCs w:val="18"/>
                <w:color w:val="auto"/>
              </w:rPr>
            </w:pPr>
          </w:p>
        </w:tc>
      </w:tr>
      <w:tr>
        <w:trPr>
          <w:trHeight w:val="432"/>
        </w:trPr>
        <w:tc>
          <w:tcPr>
            <w:tcW w:w="8560" w:type="dxa"/>
            <w:vAlign w:val="bottom"/>
          </w:tcPr>
          <w:p>
            <w:pPr>
              <w:spacing w:after="0"/>
              <w:rPr>
                <w:sz w:val="20"/>
                <w:szCs w:val="20"/>
                <w:color w:val="auto"/>
              </w:rPr>
            </w:pPr>
            <w:r>
              <w:rPr>
                <w:rFonts w:ascii="Arial" w:cs="Arial" w:eastAsia="Arial" w:hAnsi="Arial"/>
                <w:sz w:val="18"/>
                <w:szCs w:val="18"/>
                <w:color w:val="auto"/>
              </w:rPr>
              <w:t>Future minimum lease payments under non-cancellable leases as of September 30, 2023 are as follows:</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w w:val="95"/>
              </w:rPr>
              <w:t>Operating Leases</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2024</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4,436</w:t>
            </w: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2026</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00" w:type="dxa"/>
            <w:vAlign w:val="bottom"/>
            <w:shd w:val="clear" w:color="auto" w:fill="CCEEFF"/>
          </w:tcPr>
          <w:p>
            <w:pPr>
              <w:spacing w:after="0"/>
              <w:rPr>
                <w:sz w:val="18"/>
                <w:szCs w:val="18"/>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13,027</w:t>
            </w:r>
          </w:p>
        </w:tc>
        <w:tc>
          <w:tcPr>
            <w:tcW w:w="100" w:type="dxa"/>
            <w:vAlign w:val="bottom"/>
          </w:tcPr>
          <w:p>
            <w:pPr>
              <w:spacing w:after="0"/>
              <w:rPr>
                <w:sz w:val="19"/>
                <w:szCs w:val="19"/>
                <w:color w:val="auto"/>
              </w:rPr>
            </w:pPr>
          </w:p>
        </w:tc>
      </w:tr>
      <w:tr>
        <w:trPr>
          <w:trHeight w:val="223"/>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undiscounted lease payments</w:t>
            </w:r>
          </w:p>
        </w:tc>
        <w:tc>
          <w:tcPr>
            <w:tcW w:w="7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Less: Imputed interest</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18"/>
                <w:szCs w:val="18"/>
                <w:color w:val="auto"/>
              </w:rPr>
            </w:pPr>
          </w:p>
        </w:tc>
      </w:tr>
      <w:tr>
        <w:trPr>
          <w:trHeight w:val="264"/>
        </w:trPr>
        <w:tc>
          <w:tcPr>
            <w:tcW w:w="8560" w:type="dxa"/>
            <w:vAlign w:val="bottom"/>
            <w:tcBorders>
              <w:bottom w:val="single" w:sz="8" w:color="CCEEFF"/>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Less: Lease incentives </w:t>
            </w:r>
            <w:r>
              <w:rPr>
                <w:rFonts w:ascii="Arial" w:cs="Arial" w:eastAsia="Arial" w:hAnsi="Arial"/>
                <w:sz w:val="29"/>
                <w:szCs w:val="29"/>
                <w:color w:val="auto"/>
                <w:vertAlign w:val="superscript"/>
              </w:rPr>
              <w:t>(1)</w:t>
            </w:r>
          </w:p>
        </w:tc>
        <w:tc>
          <w:tcPr>
            <w:tcW w:w="7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b w:val="1"/>
                <w:bCs w:val="1"/>
                <w:color w:val="auto"/>
              </w:rPr>
              <w:t>Total lease liabilities</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15,451</w:t>
            </w:r>
          </w:p>
        </w:tc>
        <w:tc>
          <w:tcPr>
            <w:tcW w:w="100" w:type="dxa"/>
            <w:vAlign w:val="bottom"/>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lease incentives that may be realized in 2023 for the costs of leasehold improvements.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2021, the Company signed a 10-year lease for approximately 67,000 square feet of space located at 115 Munson Street in New Haven, Connecticut. The lease commenced on January 8, 2022 with rent payments beginning on July 7, 2022. Under the lease, the landlord contractually agreed to reimburse the Company for up to $9,104 in improvements to the space, to be used for such improvements as the Company deems “necessary or desirable”. On September 13, 2022, the Company filed a lawsuit against the landlord, alleging that the landlord has: (i) refused to reimburse the Company for costs related to improvements already incurred and submitted; (ii) delayed the Company’s completion of improvements, in order to avoid reimbursing the costs of those improvements; and (iii) improperly rejected the Company’s proposed improvement plans.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accounted for the $9,104 of lease incentives as an offset to the lease liability recorded at the inception of the lease. From the total lease incentives, the Company has incurred and recognized leasehold improvements of approximately $1,100 related to reimbursable construction costs included in construction in progress within Property and equipment, net on the condensed consolidated balance sheets as of September 30, 2023 and December 31, 2022. Although the Company believes it is contractually entitled to the $9,104 of lease incentives, based on the current status of the litigation, the Company cannot determine the likely outcome or estimate the impact on such carrying values.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Offering Program</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2023, the Company filed a universal shelf registration statement on Form S-3 (the “Shelf Registration Statement”), which became effective on August 22, 2023, covering the offering of Class A common stock, preferred stock, debt securities, warrants, rights and units.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2023, the Company also entered into an Equity Distribution Agreement (“EDA”) with an outside placement agent (the “Agent”), under which the Company may, from time to time, sell shares of the Company’s Class A common stock having an aggregate offering price of up to $75 million in “at-the-market” offerings through the Agent (the “ATM Offering”). The Shelf Registration Statement included a prospectus supplement covering the offering, issuance and sale of up to $75 million of the Company’s Class A common stock, from time to time, through the ATM Offering. The shares to be sold under the EDA may be issued and sold pursuant to the Shelf Registration Statement. The EDA also provides that the Agent will be entitled to compensation for its services in an amount up to 3.0% of the gross proceeds from the sales of shares sold through the Agent under the EDA. The Company has no obligation to sell any shares under the EDA and may at any time suspend solicitation and offers under the EDA. To date, the Company has not issued or sold any shares of the Company’s Class A common stock under the ATM Offering.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2013 Employee, Director and Consultant Equity Incentive Plan, as amended on March 12, 2021 (the “2013 Plan”), was originally adopted by its Board of Directors and stockholders in September 2013. In connection with the closing of the Business Combination, the Company adjusted the equity awards. The adjustments to the awards did not result in incremental expense as the equitable adjustments were made pursuant to a preexisting nondiscretionary antidilution provision in the 2013 Plan, and the fair-value, vesting conditions, and classification are the same immediately before and after the modification. In connection with the Business Combination, HighCape’s stockholders approved and adopted the Quantum-Si Incorporated 2021 Equity Incentive Plan (the “2021 Plan”) and the Company no longer makes issuances under the 2013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September 30, 2023 and December 31, 2022, there were 13,071,147 and 9,133,702 shares, respectively, available for issuance under the 2021 Plan.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9, 2022, the Company granted inducement awards consisting of 2,780,000 performance-based stock options to purchase Class A common stock pursuant to Nasdaq Rule 5635(c)(4). These awards were not granted pursuant to the 2013 Plan or the 2021 Plan.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8, 2023, the Company adopted the 2023 Inducement Equity Incentive Plan (the “2023 Inducement Plan”) to reserve 3,000,000 shares of its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The terms and conditions of the 2023 Inducement Plan are substantially similar to those of the 2021 Plan. As of September 30, 2023, there were 60,250 shares remaining available for issuance under the 2023 Inducement Equity Incentive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months ended September 30, 2023, the Company granted an aggregate of 10,138,730 stock option awards to participants, with vesting subject to the participant’s continued employment with the Company through the applicable vesting dates. Stock-based compensation related to stock options for the three months ended September 30, 2023 and 2022 was $1,133 and $1,868, respectively. Stock-based compensation related to stock options for the nine months ended September 30, 2023 and 2022 was $5,728 and $5,169, respectively.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5480" w:type="dxa"/>
            <w:vAlign w:val="bottom"/>
            <w:gridSpan w:val="2"/>
          </w:tcPr>
          <w:p>
            <w:pPr>
              <w:spacing w:after="0"/>
              <w:rPr>
                <w:sz w:val="20"/>
                <w:szCs w:val="20"/>
                <w:color w:val="auto"/>
              </w:rPr>
            </w:pPr>
            <w:r>
              <w:rPr>
                <w:rFonts w:ascii="Arial" w:cs="Arial" w:eastAsia="Arial" w:hAnsi="Arial"/>
                <w:sz w:val="18"/>
                <w:szCs w:val="18"/>
                <w:color w:val="auto"/>
                <w:w w:val="98"/>
              </w:rPr>
              <w:t>A summary of the stock option activity is presented in the table below:</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 Average</w:t>
            </w: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Contractual Term</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41"/>
        </w:trPr>
        <w:tc>
          <w:tcPr>
            <w:tcW w:w="10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19,427,755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10,138,730</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(127,799)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(5,816,858)</w:t>
            </w: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23,621,828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8.46</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r>
      <w:tr>
        <w:trPr>
          <w:trHeight w:val="209"/>
        </w:trPr>
        <w:tc>
          <w:tcPr>
            <w:tcW w:w="5480" w:type="dxa"/>
            <w:vAlign w:val="bottom"/>
            <w:gridSpan w:val="2"/>
          </w:tcPr>
          <w:p>
            <w:pPr>
              <w:spacing w:after="0"/>
              <w:rPr>
                <w:sz w:val="20"/>
                <w:szCs w:val="20"/>
                <w:color w:val="auto"/>
              </w:rPr>
            </w:pPr>
            <w:r>
              <w:rPr>
                <w:rFonts w:ascii="Arial" w:cs="Arial" w:eastAsia="Arial" w:hAnsi="Arial"/>
                <w:sz w:val="18"/>
                <w:szCs w:val="18"/>
                <w:color w:val="auto"/>
              </w:rPr>
              <w:t>Options exercisable at September 30, 2023</w:t>
            </w:r>
          </w:p>
        </w:tc>
        <w:tc>
          <w:tcPr>
            <w:tcW w:w="1080" w:type="dxa"/>
            <w:vAlign w:val="bottom"/>
          </w:tcPr>
          <w:p>
            <w:pPr>
              <w:jc w:val="right"/>
              <w:spacing w:after="0"/>
              <w:rPr>
                <w:sz w:val="20"/>
                <w:szCs w:val="20"/>
                <w:color w:val="auto"/>
              </w:rPr>
            </w:pPr>
            <w:r>
              <w:rPr>
                <w:rFonts w:ascii="Arial" w:cs="Arial" w:eastAsia="Arial" w:hAnsi="Arial"/>
                <w:sz w:val="18"/>
                <w:szCs w:val="18"/>
                <w:color w:val="auto"/>
              </w:rPr>
              <w:t>6,311,402</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r>
      <w:tr>
        <w:trPr>
          <w:trHeight w:val="237"/>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expected to vest at September 30, 2023</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19,261,890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the Company granted 491,320 restricted stock unit (“RSU”) awards. Stock-based compensation related to RSU awards for the three months ended September 30, 2023 and 2022 was $8 and $2,175, respectively. Stock-based compensation related to RSU awards for the nine months ended September 30, 2023 and 2022 was $1,186 and $1,930,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A summary of the RSU activity is presented in the table below:</w:t>
            </w: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of 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Underlying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Grant-Date</w:t>
            </w:r>
          </w:p>
        </w:tc>
      </w:tr>
      <w:tr>
        <w:trPr>
          <w:trHeight w:val="241"/>
        </w:trPr>
        <w:tc>
          <w:tcPr>
            <w:tcW w:w="5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RSUs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Outstanding non-vested RSUs at December 31, 2022</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2,018,449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491,320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(1,655,978)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r>
      <w:tr>
        <w:trPr>
          <w:trHeight w:val="223"/>
        </w:trPr>
        <w:tc>
          <w:tcPr>
            <w:tcW w:w="50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(213,117)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RSUs at September 30, 2023</w:t>
            </w:r>
          </w:p>
        </w:tc>
        <w:tc>
          <w:tcPr>
            <w:tcW w:w="6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640,674</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8560" w:type="dxa"/>
            <w:vAlign w:val="bottom"/>
            <w:gridSpan w:val="8"/>
          </w:tcPr>
          <w:p>
            <w:pPr>
              <w:spacing w:after="0"/>
              <w:rPr>
                <w:sz w:val="20"/>
                <w:szCs w:val="20"/>
                <w:color w:val="auto"/>
              </w:rPr>
            </w:pPr>
            <w:r>
              <w:rPr>
                <w:rFonts w:ascii="Arial" w:cs="Arial" w:eastAsia="Arial" w:hAnsi="Arial"/>
                <w:sz w:val="18"/>
                <w:szCs w:val="18"/>
                <w:color w:val="auto"/>
                <w:w w:val="95"/>
              </w:rPr>
              <w:t>The Company’s stock-based compensation is allocated to the following operating expense categories as follows: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680" w:type="dxa"/>
            <w:vAlign w:val="bottom"/>
            <w:gridSpan w:val="8"/>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shd w:val="clear" w:color="auto" w:fill="CCEEFF"/>
          </w:tcPr>
          <w:p>
            <w:pPr>
              <w:spacing w:after="0"/>
              <w:rPr>
                <w:sz w:val="18"/>
                <w:szCs w:val="18"/>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4,383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3,639</w:t>
            </w:r>
          </w:p>
        </w:tc>
      </w:tr>
      <w:tr>
        <w:trPr>
          <w:trHeight w:val="256"/>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w:t>
            </w:r>
          </w:p>
        </w:tc>
        <w:tc>
          <w:tcPr>
            <w:tcW w:w="6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1,141</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4,043</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6,914</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5060" w:type="dxa"/>
            <w:vAlign w:val="bottom"/>
          </w:tcPr>
          <w:p>
            <w:pPr>
              <w:spacing w:after="0"/>
              <w:rPr>
                <w:sz w:val="24"/>
                <w:szCs w:val="24"/>
                <w:color w:val="auto"/>
              </w:rPr>
            </w:pPr>
          </w:p>
        </w:tc>
        <w:tc>
          <w:tcPr>
            <w:tcW w:w="1400" w:type="dxa"/>
            <w:vAlign w:val="bottom"/>
            <w:gridSpan w:val="2"/>
          </w:tcPr>
          <w:p>
            <w:pPr>
              <w:jc w:val="right"/>
              <w:ind w:right="670"/>
              <w:spacing w:after="0"/>
              <w:rPr>
                <w:sz w:val="20"/>
                <w:szCs w:val="20"/>
                <w:color w:val="auto"/>
              </w:rPr>
            </w:pPr>
            <w:r>
              <w:rPr>
                <w:rFonts w:ascii="Arial" w:cs="Arial" w:eastAsia="Arial" w:hAnsi="Arial"/>
                <w:sz w:val="14"/>
                <w:szCs w:val="14"/>
                <w:color w:val="auto"/>
              </w:rPr>
              <w:t>17</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0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per share is computed by dividing the net loss by the weighted-average number of shares of common stock of the Company outstanding during the period. Diluted net loss per share is computed by giving effect to all common share equivalents of the Company, including those presented in the table below, to the extent dilutive. Basic and diluted net loss per share was the same for each period presented as the inclusion of all common share equivalents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net loss per share for the Company’s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290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680" w:type="dxa"/>
            <w:vAlign w:val="bottom"/>
            <w:gridSpan w:val="7"/>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(73,912)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(99,302)</w:t>
            </w:r>
          </w:p>
        </w:tc>
      </w:tr>
      <w:tr>
        <w:trPr>
          <w:trHeight w:val="198"/>
        </w:trPr>
        <w:tc>
          <w:tcPr>
            <w:tcW w:w="5660" w:type="dxa"/>
            <w:vAlign w:val="bottom"/>
            <w:tcBorders>
              <w:top w:val="single" w:sz="8" w:color="CCEEFF"/>
            </w:tcBorders>
          </w:tcPr>
          <w:p>
            <w:pPr>
              <w:ind w:left="180"/>
              <w:spacing w:after="0" w:line="198" w:lineRule="exact"/>
              <w:rPr>
                <w:sz w:val="20"/>
                <w:szCs w:val="20"/>
                <w:color w:val="auto"/>
              </w:rPr>
            </w:pPr>
            <w:r>
              <w:rPr>
                <w:rFonts w:ascii="Arial" w:cs="Arial" w:eastAsia="Arial" w:hAnsi="Arial"/>
                <w:sz w:val="18"/>
                <w:szCs w:val="18"/>
                <w:b w:val="1"/>
                <w:bCs w:val="1"/>
                <w:color w:val="auto"/>
                <w:w w:val="95"/>
              </w:rPr>
              <w:t>Numerator for basic and diluted EPS - loss attributable to common</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5660" w:type="dxa"/>
            <w:vAlign w:val="bottom"/>
          </w:tcPr>
          <w:p>
            <w:pPr>
              <w:ind w:left="340"/>
              <w:spacing w:after="0"/>
              <w:rPr>
                <w:sz w:val="20"/>
                <w:szCs w:val="20"/>
                <w:color w:val="auto"/>
              </w:rPr>
            </w:pPr>
            <w:r>
              <w:rPr>
                <w:rFonts w:ascii="Arial" w:cs="Arial" w:eastAsia="Arial" w:hAnsi="Arial"/>
                <w:sz w:val="18"/>
                <w:szCs w:val="18"/>
                <w:b w:val="1"/>
                <w:bCs w:val="1"/>
                <w:color w:val="auto"/>
              </w:rPr>
              <w:t>stockholders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(24,728)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(31,713)</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(73,912)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(99,302)</w:t>
            </w:r>
          </w:p>
        </w:tc>
      </w:tr>
      <w:tr>
        <w:trPr>
          <w:trHeight w:val="21"/>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141,660,018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139,542,660</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141,154,110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139,057,663</w:t>
            </w:r>
          </w:p>
        </w:tc>
      </w:tr>
      <w:tr>
        <w:trPr>
          <w:trHeight w:val="198"/>
        </w:trPr>
        <w:tc>
          <w:tcPr>
            <w:tcW w:w="566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w w:val="93"/>
              </w:rPr>
              <w:t>Denominator for basic and diluted EPS - weighted-average common</w:t>
            </w: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141,660,018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139,542,660</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141,154,110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139,057,663</w:t>
            </w:r>
          </w:p>
        </w:tc>
      </w:tr>
      <w:tr>
        <w:trPr>
          <w:trHeight w:val="27"/>
        </w:trPr>
        <w:tc>
          <w:tcPr>
            <w:tcW w:w="5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(0.23)</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(0.52)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(0.71)</w:t>
            </w:r>
          </w:p>
        </w:tc>
      </w:tr>
      <w:tr>
        <w:trPr>
          <w:trHeight w:val="20"/>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per share attributable to Class A and Class B common stockholders was the same on a basic and diluted basis, as the inclusion of all potential common equivalent shares outstanding would have been anti-dilutive. Anti-dilutive common equivalent shares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6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6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23,621,828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12,245,302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Outstanding 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640,674</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2,084,710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3,968,319</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3,968,319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28,230,821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18,298,331</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and December 31, 2022,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any time while the warrants are exercisable, the Company may redeem not less than all of the outstanding Public Warrants: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foregoing conditions are satisfied and the Company issues a notice of redemption of the Public Warrants at $0.01 per warrant, each holder of Public Warrants will be entitled to exercise held Public Warrants prior to the scheduled redemption date.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Company calls the Public Warrants for redemption for $0.01 as described above, the Company’s Board of Directors may elect to require any holder that wishes to exercise his, her or its Public Warrants to do so on a “cashless basis.” If the Company’s Board of Directors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evaluated the Public Warrants under ASC 815-40, in conjunction with the SEC Division of Corporation Finance’s April 12, 2021 Public Statement, </w:t>
      </w:r>
      <w:r>
        <w:rPr>
          <w:rFonts w:ascii="Arial" w:cs="Arial" w:eastAsia="Arial" w:hAnsi="Arial"/>
          <w:sz w:val="18"/>
          <w:szCs w:val="18"/>
          <w:i w:val="1"/>
          <w:iCs w:val="1"/>
          <w:color w:val="auto"/>
        </w:rPr>
        <w:t>Staff Statement on Accounting and Reporting Considerations for Warrants Issued by Special Purpose Acquisition Companies (“SPACs”)</w:t>
      </w:r>
      <w:r>
        <w:rPr>
          <w:rFonts w:ascii="Arial" w:cs="Arial" w:eastAsia="Arial" w:hAnsi="Arial"/>
          <w:sz w:val="18"/>
          <w:szCs w:val="18"/>
          <w:color w:val="auto"/>
        </w:rPr>
        <w:t xml:space="preserve"> (the “SEC Statement”), and concluded that they do not meet the criteria to be classified in stockholders’ equity. Specifically,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would preclude the warrants from being classified in equity and thus the warrants should be classified as a liability.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30, 2023 and December 31, 2022, there were 135,000 Private Warrants outstanding. The Private Warrants are identical to the Public Warrants, except that so long as they are held by the Sponsor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that the other conditions of such redemption are met, as described above. If the Private Warrants are held by a holder other than the Sponsor or any of its permitted transferees, the Private Warrants will be redeemable by the Company in all redemption scenarios applicable to the Public Warrants and exercisable by such holders on the same basis as the Public Warrants.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evaluated the Private Warrants under ASC 815-40, in conjunction with the SEC Statement</w:t>
      </w:r>
      <w:r>
        <w:rPr>
          <w:rFonts w:ascii="Arial" w:cs="Arial" w:eastAsia="Arial" w:hAnsi="Arial"/>
          <w:sz w:val="16"/>
          <w:szCs w:val="16"/>
          <w:i w:val="1"/>
          <w:iCs w:val="1"/>
          <w:color w:val="auto"/>
        </w:rPr>
        <w:t>,</w:t>
      </w:r>
      <w:r>
        <w:rPr>
          <w:rFonts w:ascii="Arial" w:cs="Arial" w:eastAsia="Arial" w:hAnsi="Arial"/>
          <w:sz w:val="16"/>
          <w:szCs w:val="16"/>
          <w:color w:val="auto"/>
        </w:rPr>
        <w:t xml:space="preserve"> and concluded that they do not meet the criteria to be classified in stockholders’ equity. Specifically, the terms of the warrants provide for potential changes to the settlement amounts depending upon the characteristics of the warrant holder, and, because the holder of a warrant is not an input into the pricing of a fixed-for-fixed option on equity shares, such provision would preclude the warrant from being classified in equity and thus the warrant has been classified as a liability.</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warrant liabilities was $1,077 and $996 as of September 30, 2023 and December 31, 2022, respectively. The Company recognized losses of $162 and $81 as a Change in fair value of warrant liabilities in the condensed consolidated statements of operations and comprehensive loss for the three and nine months ended September 30, 2023, respectively. The Company recognized gains of $137 and $5,121 as a Change in fair value of warrant liabilities in the condensed consolidated statements of operations and comprehensive loss for the three and nine months ended September 30, 2022, respectively. There were no exercises or redemptions of the Public Warrants or Private Warrants during the three and nine months ended September 30, 2023 or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Income taxes for the three and nine months ended September 30, 2023 and 2022 are recorded at the Company’s estimated annual effective income tax rate, subject to adjustments for discrete events, if they occur. The Company’s estimated annual effective tax rate was 0.0% for the three and nine months ended September 30, 2023 and 2022. The primary reconciling items between the federal statutory rate of 21.0% for these periods and the Company’s overall effective tax rate of 0.0% were related to the effects of deferred state income taxes, nondeductible stock-based compensation, changes in the fair value of warrant liabilities, research and development credits, and the valuation allowance recorded against the full amount of its net deferred tax assets.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September 30, 2023 and December 31, 2022 since management believes that based on the earnings history of the Company, it is more likely than not that the benefits of these assets will not be realized.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utilized and subleased office and laboratory space in a building owned by a related party. The Company paid $0 and $80 under month-to-month lease arrangements for this space for the three months ended September 30, 2023 and 2022, respectively, and $156 and $241 for the nine months ended September 30, 2023 and 2022, respectively. The Company no longer subleases this space as of June 30, 2023.</w:t>
      </w:r>
    </w:p>
    <w:p>
      <w:pPr>
        <w:spacing w:after="0" w:line="16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was a party to an Amended and Restated Technology Services Agreement (the “ARTSA”), most recently amended on November 11, 2020, by and among 4Catalyzer Corporation (“4C”), the Company and other participant companies controlled by Dr. Jonathan Rothberg, the Chairman of the Company’s Board of Directors.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lease agreement with 4C and negotiated an arm’s length lease agreement.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 The Company incurred expenses of $65 and $149, which included $24 and $44 under month-to-month sublease arrangements for office and laboratory spaces from 4C, during the three months ended September 30, 2023 and 2022, respectively. The Company incurred expenses of $323 and $517, which included $72 and $141 under month-to-month sublease arrangements for office and laboratory spaces from 4C, during the nine months ended September 30, 2023 and 2022, respectively. The amounts advanced and due to 4C at September 30, 2023 and December 31, 2022 related to operating expenses were $20 and $70, respectively, which are included in Accrued expenses and other current liabilities on the condensed consolidated balance sheets. The amounts advanced and due from 4C at September 30, 2023 and December 31, 2022, related to operating expenses were $0 and $37, respectively, and are included in Prepaid expenses and other current assets on the condensed consolidated balance sheets.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ARTSA also provided for the participant companies to provide other services to each other. The Company also had transactions with other entities under common ownership, which included payments made to third parties on behalf of the Company and payments made by the Company to third parties on behalf of the other entities. There were no amounts remaining payable to the Company or from the Company at September 30, 2023 and December 31, 2022.</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20, 2021, the Company entered into a Binders Collaboration (the “Collaboration”) with Protein Evolution, Inc. (“PEI”) to develop technology and methods in the field of nanobodies and potentially other binders to produce novel biological reagents and related data. The Collaboration was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Effective March 31, 2022, the Collaboration with PEI was terminated, and the Company paid a final payment of $1,135 under the Collaboration for all services rendered.</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October 1, 2022, the Company entered into a Protein Engineering Collaboration (the “New Collaboration”) with PEI to develop technology and methods in the field of nanobodies and potentially other binders to produce novel biological reagents and related data. The New Collaboration was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The Company incurred expenses of $47 and $172 during the three and nine months ended September 30, 2023, respectively, related to the New Collaboration. The amounts advanced and due from PEI at September 30, 2023 and December 31, 2022 related to operating expenses were $217 and $45, respectively, and are included in Prepaid expenses and other current assets on the condensed consolidated balance sheets.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November 1, 2022, the Company entered into an Advisory Agreement with Dr. Rothberg (the “Advisory Agreement”), pursuant to which Dr. Rothberg serves as Chairman of the Board, advises the Chief Executive Officer and the Board on strategic matters, and provides consulting, business development and similar services on matters relating to our current, future and potential scientific and strategic initiatives and such other consulting services reasonably requested from time to time. Pursuant to the Advisory Agreement, as compensation for the services provided thereunder, in March 2023, the Company granted Dr. Rothberg an option to purchase 250,000 shares of Class A common stock pursuant to the 2021 Plan. In connection with the Advisory Agreement, Dr. Rothberg’s title was changed from Executive Chairman to Chairman of the Board.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Dr. Rothberg also receives fees as the Chairman of the Company’s Board of Directors and a member of the Board and Nominating and Corporate Governance Committee. The Company paid $27 and $113 to Dr. Rothberg for the three months ended September 30, 2023 and 2022, respectively, and $87 and $341 for the nine months ended September 30, 2023 and 2022, respectively, for all services provided to the Company.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committed to organizational restructurings, during the quarters ended March 31, 2023 and September 30, 2023, designed to decrease its costs and create a more streamlined organization to support its business. As of September 30, 2023, the Company has recorded a $551 restructuring liability, which is included in Accrued expenses and other current liabilities in the condensed consolidated balance sheets.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restructuring costs, primarily for cash severance costs and other severance benefits, are allocated to the following operating expense categories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4360" w:type="dxa"/>
            <w:vAlign w:val="bottom"/>
            <w:gridSpan w:val="4"/>
          </w:tcPr>
          <w:p>
            <w:pPr>
              <w:ind w:left="2680"/>
              <w:spacing w:after="0"/>
              <w:rPr>
                <w:sz w:val="20"/>
                <w:szCs w:val="20"/>
                <w:color w:val="auto"/>
              </w:rPr>
            </w:pPr>
            <w:r>
              <w:rPr>
                <w:rFonts w:ascii="Arial" w:cs="Arial" w:eastAsia="Arial" w:hAnsi="Arial"/>
                <w:sz w:val="18"/>
                <w:szCs w:val="18"/>
                <w:b w:val="1"/>
                <w:bCs w:val="1"/>
                <w:color w:val="auto"/>
                <w:w w:val="93"/>
              </w:rPr>
              <w:t>Three months ended</w:t>
            </w:r>
          </w:p>
        </w:tc>
        <w:tc>
          <w:tcPr>
            <w:tcW w:w="100" w:type="dxa"/>
            <w:vAlign w:val="bottom"/>
          </w:tcPr>
          <w:p>
            <w:pPr>
              <w:spacing w:after="0"/>
              <w:rPr>
                <w:sz w:val="18"/>
                <w:szCs w:val="18"/>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7"/>
              </w:rPr>
              <w:t>Nine months ended</w:t>
            </w:r>
          </w:p>
        </w:tc>
      </w:tr>
      <w:tr>
        <w:trPr>
          <w:trHeight w:val="241"/>
        </w:trPr>
        <w:tc>
          <w:tcPr>
            <w:tcW w:w="51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 2023</w:t>
            </w:r>
          </w:p>
        </w:tc>
        <w:tc>
          <w:tcPr>
            <w:tcW w:w="17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3"/>
              </w:rPr>
              <w:t>September 30, 2023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00" w:type="dxa"/>
            <w:vAlign w:val="bottom"/>
            <w:shd w:val="clear" w:color="auto" w:fill="CCEEFF"/>
          </w:tcPr>
          <w:p>
            <w:pPr>
              <w:spacing w:after="0"/>
              <w:rPr>
                <w:sz w:val="18"/>
                <w:szCs w:val="18"/>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r>
      <w:tr>
        <w:trPr>
          <w:trHeight w:val="256"/>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restructuring costs</w:t>
            </w:r>
          </w:p>
        </w:tc>
        <w:tc>
          <w:tcPr>
            <w:tcW w:w="26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421"/>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related to certain intellectual property: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licenses certain intellectual property, some of which may be utilized in its current or future product offerings. To preserve the right to use such intellectual property, the Company is required to make annual minimum fixed payments totaling $210 as well as royalties based on net sales if the royalties exceed annual minimum fixed payments. As of September 30, 2023, the Company recorded $155 in Accrued expenses and other current liabilities on the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The Company did not make any matching contributions to the 401(k) plan for the three and nine months ended September 30, 2023 and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claims in the ordinary course of business. Except as discussed below, the Company is not currently a party to any pending or threatened litigation, the outcome of which would be expected to have a material adverse effect on its financial condition, results of operations, or cash flows. The Company accrues contingent liabilities to the extent that the liability is probable and estimable.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October 2023, a former contract manufacturer of the Company filed a complaint alleging breach of contract and made claims for economic damage and attorney costs. Although it is not possible to determine the potential financial exposure associated with the alleged claims given its early stage, the Company believes that it has a meritorious defense and intends to vigorously defend against all claims asserted in the complaint.</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Company’s condensed consolidated statements of operations and comprehensive loss in connection with the indemnification provisions have not been material.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The following discussion and analysis provides information which management believes is relevant to an assessment and understanding of our condensed consolidated results of operations and financial condition. The discussion should be read in conjunction with (i) the unaudited condensed consolidated financial statements and notes thereto contained in this Quarterly Report on Form 10-Q, (ii) the consolidated financial statements and notes thereto for the year ended December 31, 2022 contained in our Annual Report on Form 10-K for the year ended December 31, 2022, filed with the Securities and Exchange Commission (the “SEC”) on March 17, 2023 and (iii) our other public reports filed with the SEC. This discussion contains forward looking statements and involves numerous risks and uncertainties, including, but not limited to, those described in the “Risk Factors” section of our Annual Report on Form 10-K for the year ended December 31, 2022, and our Quarterly Reports on Form 10-Q for the quarters ended March 31, 2023 and June 30, 2023. Actual results may differ materially from those contained in any forward-looking statements. Unless the context otherwise requires, references to “we”, “us”, “our”, the “Company” or “Quantum-Si” are intended to mean the business and operations of Quantum-Si Incorporated and its consolidated subsidiaries. The unaudited condensed consolidated financial statements for the three and nine months ended September 30, 2023 and 2022, respectively, present the financial position and results of operations of Quantum-Si Incorporated and its consolidated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We are an innovative life sciences company with the mission of transforming single-molecule analysis and democratizing its use by providing researchers and clinicians access to the proteome, the set of proteins expressed within a cell. We have developed a proprietary universal single-molecule detection platform that we are first applying to proteomics to enable Next-Generation Protein Sequencing</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(“NGPS”), the ability to sequence proteins in a massively parallel fashion (rather than sequentially, one at a time), that can be used for the study of nucleic acids. We believe that with the ability to sequence proteins in a massively parallel fashion and offer a simplified workflow with a faster turnaround time, NGPS has the potential to unlock significant biological information through improved resolution and unbiased access to the proteome at a speed and scale that is not available today. Traditionally, proteomic workflows to sequence proteins required days or weeks to complete. Our platform, as originally planned, was designed to offer an end to end workflow including both sample preparation and sequencing and was comprised of Carbon™, our automated sample preparation instrument, our Platinum™ NGPS instrument, the Quantum-Si Cloud software service, and reagent kits and chips for use with our instruments. In 2021, we introduced our Platinum</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early access program to sites with participation from leading academic centers and key industry partners. The early access program introduced the Platinum</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single-molecule sequencing system to key opinion leaders across the globe, for both expansion and development of applications and workflows. We launched the Platinum</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instrument and started to take orders in December 2022, and subsequently began commercial shipments of Platinum™ in January 2023.</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Since our initial launch of the Platinum</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instrument, we have found that, consistent with other proteomics detection technologies, customers select the biological sample type and sample preparation method they use. The range of sample types and sample prep methods utilized in proteomics is extensive and often some level of optimization is required to make them compatible with the downstream detection technology. Our initial platform contemplated Carbon™ as an automated sample preparation instrument. While Carbon™ could help reduce sample preparation variation and streamline the end-to-end workflow in utilizing our Platinum</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protein sequencing instrument, it is not an absolute requirement, and may not be the best solution long-term. To this end, we recently completed an evaluation of Carbon™ as it relates to the workflow and in comparison to other potential liquid handler and sample preparation solutions. This evaluation concluded that pursuing efforts to continue development of Carbon</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was not the most effective use of our research and development efforts and therefore we have paused development related to Carbon™ to focus efforts on Platinum</w:t>
      </w:r>
      <w:r>
        <w:rPr>
          <w:rFonts w:ascii="Arial" w:cs="Arial" w:eastAsia="Arial" w:hAnsi="Arial"/>
          <w:sz w:val="26"/>
          <w:szCs w:val="26"/>
          <w:color w:val="auto"/>
          <w:vertAlign w:val="superscript"/>
        </w:rPr>
        <w:t>TM</w:t>
      </w:r>
      <w:r>
        <w:rPr>
          <w:rFonts w:ascii="Arial" w:cs="Arial" w:eastAsia="Arial" w:hAnsi="Arial"/>
          <w:sz w:val="16"/>
          <w:szCs w:val="16"/>
          <w:color w:val="auto"/>
        </w:rPr>
        <w:t>, our reagent kits and chips for use on Platinum</w:t>
      </w:r>
      <w:r>
        <w:rPr>
          <w:rFonts w:ascii="Arial" w:cs="Arial" w:eastAsia="Arial" w:hAnsi="Arial"/>
          <w:sz w:val="26"/>
          <w:szCs w:val="26"/>
          <w:color w:val="auto"/>
          <w:vertAlign w:val="superscript"/>
        </w:rPr>
        <w:t>TM</w:t>
      </w:r>
      <w:r>
        <w:rPr>
          <w:rFonts w:ascii="Arial" w:cs="Arial" w:eastAsia="Arial" w:hAnsi="Arial"/>
          <w:sz w:val="16"/>
          <w:szCs w:val="16"/>
          <w:color w:val="auto"/>
        </w:rPr>
        <w:t>, and our Quantum-Si Cloud environment as our go forward platform to maximize value.</w:t>
      </w:r>
    </w:p>
    <w:p>
      <w:pPr>
        <w:spacing w:after="0" w:line="5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Now that our Platinum™ and Quantum-Si Cloud system has launched, we intend to follow a systematic, phased approach to continue to successfully launch updates to our platform. We believe we are the first company to successfully enable NGPS on a semiconductor chip, thus digitizing a massive proteomics opportunity, which allows for a massively parallel solution at the ultimate level of sensitivity —single-molecule detection.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our platform offers a differentiated workflow solution in a rapidly evolving proteomics tools market. Within our initial focus market of proteomics, our workflow is designed to provide users a seamless opportunity to gain key insights into the immediate state of biological pathways and cell state. Our platform aims to address many of the key challenges and bottlenecks with legacy proteomic solutions, such as mass spectrometry (“MS”), high instrument costs both in terms of acquisition and ownership and complexity with data analysis, which together prevent broad adoption. We believe our platform, which is designed to streamline sequencing and data analysis at a lower instrument cost than legacy proteomic solutions, could allow our product to have wide utility across the study of the proteome. For example, our platform could be used for biomarker discovery and disease detection, pathway analysis, immune response, and vaccine development, among other applications.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revenue for the three and nine months ended September 30, 2023 was $0.2 million and $0.7 million, respectively. We define backlog as purchase orders or signed contracts from our customers for which we have not fulfilled and therefore have not yet recognized the associated revenue. We anticipate converting this backlog to revenue in the subsequent quarters; however, our ability to do so is subject to customers who may seek to cancel or delay their orders even if we are prepared to fulfill them. As of September 30, 2023, our backlog was approximately $0.1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Developments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2022, various central banks around the world (including the Federal Reserve in the United States) raised interest rates. These rate increases have caused a decline in the fair value of our fixed income mutual funds to date. The impact of such rate changes on the overall financial markets and the economy may continue to impact us in the future, including by making capital more difficult and costly to obtain on reasonable terms and when needed. In addition, the global economy has experienced and is continuing to experience high levels of inflation and global supply chain disruptions. We continue to monitor these supply chain, inflation and interest rate factors, as well as the uncertainty resulting from the overall economic environment.</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although we have no operations in or direct exposure to Russia or Ukraine, we have experienced some constraints in product and material availability and increasing costs required to obtain some materials and supplies as a result of the impact of the Russia-Ukraine military conflict on the global economy, which has contributed to the global supply chain disruptions. To date, our business has not been materially impacted by the conflict. However, as the conflict continues or worsens, it may adversely impact our business, financial condition,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April 2023, we informed the contract manufacturer who manufactures our Platinum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Carbon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instruments that we intend to wind down the relationship and transition to a different contract manufacturer. In October 2023, we were informed that the contract manufacturer had filed a complaint alleging breach of contract and made claims for economic damage under the contract as well as attorney costs. Although it is not possible to determine the potential financial exposure associated with the alleged claim at the point given its early stage, we believe that we have a meritorious defense and intend to vigorously defend against all claims asserted in the complaint.</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2023, we filed a universal shelf registration statement on Form S-3 (the “Shelf Registration Statement”), which became effective on August 22, 2023, covering the offering of Class A common stock, preferred stock, debt securities, warrants, rights and units.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2023, we also entered into an Equity Distribution Agreement (“EDA”) with an outside placement agent (the “Agent”), under which we may, from time to time, sell shares of our Class A common stock having an aggregate offering price of up to $75 million in “at-the-market” offerings through the Agent (the “ATM Offering”). The Shelf Registration Statement included a prospectus supplement covering the offering, issuance and sale of up to $75 million of our Class A common stock, from time to time, through the ATM Offering. The shares to be sold under the EDA may be issued and sold pursuant to the Shelf Registration Statement. The EDA also provides that the Agent will be entitled to compensation for its services in an amount up to 3.0% of the gross proceeds from the sales of shares sold through the Agent under the EDA. We have no obligation to sell any shares under the EDA and may at any time suspend solicitation and offers under the EDA. To date, we have not issued or sold any shares of our Class A common stock under the ATM Offering.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Revenue is derived from sales of products and services. Product revenue is generated from the following sources: (i) instrument sales of our Platinum</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instrument and (ii) consumables, which consist of sales of our sequencing reagents, chips, and library reagents. Service revenue is generated from service maintenance contracts including cloud access, proof of concept services and advanced training for instrument use. Freight revenue is recognized as Product revenue in the condensed consolidated statements of operations and comprehensive loss upon product shipment.</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“Summary of Significant Accounting Policies” in our condensed consolidated financial statements included elsewhere in this Quarterly Report on Form 10-Q for further information regarding our revenue recognition policies.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 of revenue primarily consists of product and service costs including material costs, personnel costs and benefits, inbound and outbound freight, packaging, warranty replacement costs, royalty costs, facilities costs, depreciation and amortization expense, and inventory obsolescence and write-offs.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expenses primarily consist of personnel costs and benefits, stock-based compensation, lab supplies, consulting and professional services, fabrication services, facilities costs, depreciation and amortization expense, software, and other outsourced expenses. Research and development expenses are expensed as incurred. All of our research and development expenses are related to developing new products and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 income primarily consists of dividends earned on fixed income mutual funds classified as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gain (loss) on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Unrealized gain (loss) on marketable securities primarily consists of unrealized gains/(losses) on fixed income mutual funds in marketable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loss on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Realized loss on marketable securities primarily consists of realized losses on fixed income mutual funds in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primarily consists of the change in the fair value of our publicly traded warrants (the “Public Warrants”) and our warrants sold in a private placement (the “Private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net primarily consists of a change in the fair value of the Majelac Technologies LLC (“Majelac”) contingent consideration.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the asset and liability method of accounting for income taxes where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that some or all of the net deferred tax assets will not be realized. We recorded a full valuation allowance as of September 30, 2023 and 2022. Based on the available evidence, we believe that it is more likely than not that we will be unable to utilize all of our deferred tax assets in the future.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our results of operations for the three and nine months ended September 30, 2023 and 2022 and our accounting policies are described in Note 2 “Summary of Significant Accounting Policies” in our condensed consolidated financial statements included elsewhere in this Quarterly Report on Form 10-Q.</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40" w:type="dxa"/>
            <w:vAlign w:val="bottom"/>
            <w:gridSpan w:val="10"/>
          </w:tcPr>
          <w:p>
            <w:pPr>
              <w:jc w:val="right"/>
              <w:ind w:right="700"/>
              <w:spacing w:after="0"/>
              <w:rPr>
                <w:sz w:val="20"/>
                <w:szCs w:val="20"/>
                <w:color w:val="auto"/>
              </w:rPr>
            </w:pPr>
            <w:r>
              <w:rPr>
                <w:rFonts w:ascii="Arial" w:cs="Arial" w:eastAsia="Arial" w:hAnsi="Arial"/>
                <w:sz w:val="18"/>
                <w:szCs w:val="18"/>
                <w:b w:val="1"/>
                <w:bCs w:val="1"/>
                <w:color w:val="auto"/>
                <w:w w:val="95"/>
              </w:rPr>
              <w:t>Three months ended September 30,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gridSpan w:val="11"/>
          </w:tcPr>
          <w:p>
            <w:pPr>
              <w:ind w:left="28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 Change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r>
      <w:tr>
        <w:trPr>
          <w:trHeight w:val="223"/>
        </w:trPr>
        <w:tc>
          <w:tcPr>
            <w:tcW w:w="3500" w:type="dxa"/>
            <w:vAlign w:val="bottom"/>
          </w:tcPr>
          <w:p>
            <w:pPr>
              <w:ind w:left="18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nm</w:t>
            </w:r>
          </w:p>
        </w:tc>
      </w:tr>
      <w:tr>
        <w:trPr>
          <w:trHeight w:val="223"/>
        </w:trPr>
        <w:tc>
          <w:tcPr>
            <w:tcW w:w="350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9"/>
                <w:szCs w:val="19"/>
                <w:color w:val="auto"/>
              </w:rPr>
            </w:pPr>
          </w:p>
        </w:tc>
      </w:tr>
      <w:tr>
        <w:trPr>
          <w:trHeight w:val="223"/>
        </w:trPr>
        <w:tc>
          <w:tcPr>
            <w:tcW w:w="3500" w:type="dxa"/>
            <w:vAlign w:val="bottom"/>
          </w:tcPr>
          <w:p>
            <w:pPr>
              <w:ind w:left="340"/>
              <w:spacing w:after="0"/>
              <w:rPr>
                <w:sz w:val="20"/>
                <w:szCs w:val="20"/>
                <w:color w:val="auto"/>
              </w:rPr>
            </w:pPr>
            <w:r>
              <w:rPr>
                <w:rFonts w:ascii="Arial" w:cs="Arial" w:eastAsia="Arial" w:hAnsi="Arial"/>
                <w:sz w:val="18"/>
                <w:szCs w:val="18"/>
                <w:b w:val="1"/>
                <w:bCs w:val="1"/>
                <w:color w:val="auto"/>
              </w:rPr>
              <w:t>Cost of revenue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nm</w:t>
            </w:r>
          </w:p>
        </w:tc>
      </w:tr>
      <w:tr>
        <w:trPr>
          <w:trHeight w:val="223"/>
        </w:trPr>
        <w:tc>
          <w:tcPr>
            <w:tcW w:w="35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9"/>
                <w:szCs w:val="19"/>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16,675</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50,588</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53,905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223"/>
        </w:trPr>
        <w:tc>
          <w:tcPr>
            <w:tcW w:w="35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10,983</w:t>
            </w:r>
          </w:p>
        </w:tc>
        <w:tc>
          <w:tcPr>
            <w:tcW w:w="10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31,093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27,283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27,658</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83,598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84,998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(27,175)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(27,658)</w:t>
            </w:r>
          </w:p>
        </w:tc>
        <w:tc>
          <w:tcPr>
            <w:tcW w:w="1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(83,288)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(84,998)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86.2%</w:t>
            </w: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121.2%</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2"/>
              </w:rPr>
              <w:t>Unrealized gain (loss) on marketable securities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(146.1)%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(20,384)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(140.7)%</w:t>
            </w:r>
          </w:p>
        </w:tc>
        <w:tc>
          <w:tcPr>
            <w:tcW w:w="20" w:type="dxa"/>
            <w:vAlign w:val="bottom"/>
          </w:tcPr>
          <w:p>
            <w:pPr>
              <w:spacing w:after="0"/>
              <w:rPr>
                <w:sz w:val="18"/>
                <w:szCs w:val="18"/>
                <w:color w:val="auto"/>
              </w:rPr>
            </w:pPr>
          </w:p>
        </w:tc>
      </w:tr>
      <w:tr>
        <w:trPr>
          <w:trHeight w:val="216"/>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Realized loss on marketable securities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(6,489)</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(218.2)%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8"/>
                <w:szCs w:val="18"/>
                <w:color w:val="auto"/>
              </w:rPr>
            </w:pPr>
          </w:p>
        </w:tc>
      </w:tr>
      <w:tr>
        <w:trPr>
          <w:trHeight w:val="216"/>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428.6%</w:t>
            </w:r>
          </w:p>
        </w:tc>
        <w:tc>
          <w:tcPr>
            <w:tcW w:w="20" w:type="dxa"/>
            <w:vAlign w:val="bottom"/>
          </w:tcPr>
          <w:p>
            <w:pPr>
              <w:spacing w:after="0"/>
              <w:rPr>
                <w:sz w:val="18"/>
                <w:szCs w:val="18"/>
                <w:color w:val="auto"/>
              </w:rPr>
            </w:pPr>
          </w:p>
        </w:tc>
      </w:tr>
      <w:tr>
        <w:trPr>
          <w:trHeight w:val="27"/>
        </w:trPr>
        <w:tc>
          <w:tcPr>
            <w:tcW w:w="35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(24,728)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(31,713)</w:t>
            </w:r>
          </w:p>
        </w:tc>
        <w:tc>
          <w:tcPr>
            <w:tcW w:w="10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(73,912)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(99,302)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r>
      <w:tr>
        <w:trPr>
          <w:trHeight w:val="223"/>
        </w:trPr>
        <w:tc>
          <w:tcPr>
            <w:tcW w:w="35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9"/>
                <w:szCs w:val="19"/>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(24,728)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(31,713)</w:t>
            </w:r>
          </w:p>
        </w:tc>
        <w:tc>
          <w:tcPr>
            <w:tcW w:w="1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(22.0)%</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(73,912)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(99,302)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6080" w:type="dxa"/>
            <w:vAlign w:val="bottom"/>
            <w:gridSpan w:val="9"/>
          </w:tcPr>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b w:val="1"/>
                <w:bCs w:val="1"/>
                <w:color w:val="auto"/>
                <w:w w:val="94"/>
              </w:rPr>
              <w:t>Revenue, Cost of revenue and Gross profit</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7"/>
          </w:tcPr>
          <w:p>
            <w:pPr>
              <w:ind w:left="80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Amount</w:t>
            </w:r>
          </w:p>
        </w:tc>
        <w:tc>
          <w:tcPr>
            <w:tcW w:w="10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9"/>
                <w:szCs w:val="19"/>
                <w:color w:val="auto"/>
              </w:rPr>
            </w:pPr>
          </w:p>
        </w:tc>
      </w:tr>
      <w:tr>
        <w:trPr>
          <w:trHeight w:val="216"/>
        </w:trPr>
        <w:tc>
          <w:tcPr>
            <w:tcW w:w="3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Gross profit margin</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48.4%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78" w:lineRule="exact"/>
        <w:rPr>
          <w:sz w:val="20"/>
          <w:szCs w:val="20"/>
          <w:color w:val="auto"/>
        </w:rPr>
      </w:pPr>
    </w:p>
    <w:p>
      <w:pPr>
        <w:jc w:val="both"/>
        <w:spacing w:after="0" w:line="192" w:lineRule="auto"/>
        <w:rPr>
          <w:sz w:val="20"/>
          <w:szCs w:val="20"/>
          <w:color w:val="auto"/>
        </w:rPr>
      </w:pPr>
      <w:r>
        <w:rPr>
          <w:rFonts w:ascii="Arial" w:cs="Arial" w:eastAsia="Arial" w:hAnsi="Arial"/>
          <w:sz w:val="17"/>
          <w:szCs w:val="17"/>
          <w:color w:val="auto"/>
        </w:rPr>
        <w:t>We launched the Platinum</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instrument and started to take orders in December 2022, and subsequently began commercial shipments of Platinum</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 January 2023. Total revenue recognized in the three months ended September 30, 2023 was $0.2 million for the sale of Platinum</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instruments and kits. No revenue was recognized in 2022. Gross profit was $0.1 million for the three months ended September 30,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decreased by $0.1 million, or 0.5%, for the three months ended September 30, 2023 compared to the three months ended September 30, 2022. The decrease was primarily due to refined research and development activities coupled with a decrease in headcount due to restructuring activities initiated in the first and third quarters of 2023.</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85"/>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decreased by $0.3 million, or 2.6%, for the three months ended September 30, 2023 compared to the three months ended September 30, 2022. The decrease was primarily due to a decrease of $2.3 million of stock-based compensation as a result of the restructuring activities initiated in the first and third quarters of 2023, partially offset by an increase of $1.1 million in personnel costs primarily due to increased headcount for the ramp up of commercial sales and restructuring costs and an increase of $0.9 million of expenses primarily for consulting, legal and professional fees and insurances.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Dividend income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 income increased by $1.2 million, or 86.2%, for the three months ended September 30, 2023 compared to the three months ended September 30, 2022 as a result of higher dividends earned on invested marketable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Unrealized gain (loss) on marketable securities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marketable 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4"/>
              </w:rPr>
              <w:t>1,953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Unrealized gain (loss) increased by $6.2 million, or 146.1%, for the three months ended September 30, 2023 compared to the three months ended September 30, 2022 as a result of an increase in unrealized gains as a result of the market adjustments of investments in marketable securities, which consist of fixed income mutual funds.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Realized loss on marketable securities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marketable securities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7"/>
              </w:rPr>
              <w:t>(1,901)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Realized loss on marketable securities increased by $0.6 million, or 41.0%, for the three months ended September 30, 2023 compared to the three months ended September 30, 2022 primarily as a result of an increase in realized losses from sales of marketable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Change in fair value of warrant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 in fair value of warrant liabilities decreased by $0.3 million, or 218.2%, for the three months ended September 30, 2023 compared to the three months ended September 30, 2022 primarily due to a decline in the Company’s underlying common stock price.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85"/>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16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89"/>
              </w:rPr>
              <w:t>Three months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16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5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remained flat for the three months ended September 30, 2023 compared to the three months ended September 30,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 Cost of revenue and Gross profit</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2200" w:type="dxa"/>
            <w:vAlign w:val="bottom"/>
            <w:gridSpan w:val="5"/>
          </w:tcPr>
          <w:p>
            <w:pPr>
              <w:jc w:val="center"/>
              <w:ind w:left="194"/>
              <w:spacing w:after="0"/>
              <w:rPr>
                <w:sz w:val="20"/>
                <w:szCs w:val="20"/>
                <w:color w:val="auto"/>
              </w:rPr>
            </w:pPr>
            <w:r>
              <w:rPr>
                <w:rFonts w:ascii="Arial" w:cs="Arial" w:eastAsia="Arial" w:hAnsi="Arial"/>
                <w:sz w:val="18"/>
                <w:szCs w:val="18"/>
                <w:b w:val="1"/>
                <w:bCs w:val="1"/>
                <w:color w:val="auto"/>
                <w:w w:val="88"/>
              </w:rPr>
              <w:t>Nine months ended</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200" w:type="dxa"/>
            <w:vAlign w:val="bottom"/>
            <w:tcBorders>
              <w:bottom w:val="single" w:sz="8" w:color="auto"/>
            </w:tcBorders>
            <w:gridSpan w:val="5"/>
          </w:tcPr>
          <w:p>
            <w:pPr>
              <w:jc w:val="center"/>
              <w:ind w:left="214"/>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6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60" w:type="dxa"/>
            <w:vAlign w:val="bottom"/>
            <w:tcBorders>
              <w:top w:val="single" w:sz="8" w:color="auto"/>
            </w:tcBorders>
            <w:shd w:val="clear" w:color="auto" w:fill="CCEEFF"/>
          </w:tcPr>
          <w:p>
            <w:pPr>
              <w:jc w:val="right"/>
              <w:ind w:right="594"/>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nm</w:t>
            </w:r>
          </w:p>
        </w:tc>
        <w:tc>
          <w:tcPr>
            <w:tcW w:w="20" w:type="dxa"/>
            <w:vAlign w:val="bottom"/>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Cost of revenue</w:t>
            </w: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480" w:type="dxa"/>
            <w:vAlign w:val="bottom"/>
          </w:tcPr>
          <w:p>
            <w:pPr>
              <w:spacing w:after="0"/>
              <w:rPr>
                <w:sz w:val="19"/>
                <w:szCs w:val="19"/>
                <w:color w:val="auto"/>
              </w:rPr>
            </w:pPr>
          </w:p>
        </w:tc>
        <w:tc>
          <w:tcPr>
            <w:tcW w:w="860" w:type="dxa"/>
            <w:vAlign w:val="bottom"/>
          </w:tcPr>
          <w:p>
            <w:pPr>
              <w:ind w:left="640"/>
              <w:spacing w:after="0"/>
              <w:rPr>
                <w:sz w:val="20"/>
                <w:szCs w:val="20"/>
                <w:color w:val="auto"/>
              </w:rPr>
            </w:pPr>
            <w:r>
              <w:rPr>
                <w:rFonts w:ascii="Arial" w:cs="Arial" w:eastAsia="Arial" w:hAnsi="Arial"/>
                <w:sz w:val="18"/>
                <w:szCs w:val="18"/>
                <w:color w:val="auto"/>
                <w:w w:val="79"/>
              </w:rPr>
              <w:t>nm</w:t>
            </w:r>
          </w:p>
        </w:tc>
        <w:tc>
          <w:tcPr>
            <w:tcW w:w="2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nm</w:t>
            </w:r>
          </w:p>
        </w:tc>
        <w:tc>
          <w:tcPr>
            <w:tcW w:w="20" w:type="dxa"/>
            <w:vAlign w:val="bottom"/>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Gross profit margin</w:t>
            </w:r>
          </w:p>
        </w:tc>
        <w:tc>
          <w:tcPr>
            <w:tcW w:w="7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45.5%</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gridSpan w:val="3"/>
          </w:tcPr>
          <w:p>
            <w:pPr>
              <w:jc w:val="right"/>
              <w:ind w:right="290"/>
              <w:spacing w:after="0"/>
              <w:rPr>
                <w:sz w:val="20"/>
                <w:szCs w:val="20"/>
                <w:color w:val="auto"/>
              </w:rPr>
            </w:pPr>
            <w:r>
              <w:rPr>
                <w:rFonts w:ascii="Arial" w:cs="Arial" w:eastAsia="Arial" w:hAnsi="Arial"/>
                <w:sz w:val="18"/>
                <w:szCs w:val="18"/>
                <w:color w:val="auto"/>
              </w:rPr>
              <w:t>nm</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78" w:lineRule="exact"/>
        <w:rPr>
          <w:sz w:val="20"/>
          <w:szCs w:val="20"/>
          <w:color w:val="auto"/>
        </w:rPr>
      </w:pPr>
    </w:p>
    <w:p>
      <w:pPr>
        <w:jc w:val="both"/>
        <w:spacing w:after="0" w:line="202" w:lineRule="auto"/>
        <w:rPr>
          <w:sz w:val="20"/>
          <w:szCs w:val="20"/>
          <w:color w:val="auto"/>
        </w:rPr>
      </w:pPr>
      <w:r>
        <w:rPr>
          <w:rFonts w:ascii="Arial" w:cs="Arial" w:eastAsia="Arial" w:hAnsi="Arial"/>
          <w:sz w:val="18"/>
          <w:szCs w:val="18"/>
          <w:color w:val="auto"/>
        </w:rPr>
        <w:t>Total revenue recognized in the nine months ended September 30, 2023 was $0.7 million for the sale of Platinum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instruments and kits. No revenue was recognized in 2022. Gross profit was $0.3 million for the nine months ended September 30,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Nine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decreased by $3.3 million, or 6.2%, for the nine months ended September 30, 2023 compared to the nine months ended September 30, 2022. The decrease was primarily due to refined research and development activities coupled with a decrease in headcount due to restructuring activities initiated in the first and third quarters of 2023 and collaboration fees, which includes $1.1 million paid to Protein Evolution, Inc. in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Nine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$1.9 million, or 6.2%, for the nine months ended September 30, 2023 compared to the nine months ended September 30, 2022. The increase was primarily due to an increase of $1.7 million in personnel costs primarily due to increased headcount for the ramp up of commercial sales and restructuring costs and an increase of $0.7 million of stock-based compensation, partially offset by a decrease of $0.5 million of expenses primarily for consulting, legal and professional fees and insurances.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5"/>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Dividend income</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7,274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121.2%</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 income increased by $4.0 million, or 121.2%, for the nine months ended September 30, 2023 compared to the nine months ended September 30, 2022 as a result of higher dividends earned on invested marketable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Unrealized gain (loss) on marketable securities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Nine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marketable 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Unrealized gain (loss) on marketable securities increased by $28.7 million, or 140.7%, for the nine months ended September 30, 2023 compared to the nine months ended September 30, 2022 primarily as a result of an increase in unrealized gains as a result of the market adjustments of investments in marketable securities, which consist of fixed income mutual funds.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Realized loss on marketable securities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marketable securities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7"/>
              </w:rPr>
              <w:t>(6,489)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170.5%</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Realized loss on marketable securities increased by $4.1 million, or 170.5%, for the nine months ended September 30, 2023 compared to the nine months ended September 30, 2022 primarily as a result of an increase in realized losses from sales of marketable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Change in fair value of warrant liabilities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00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88"/>
              </w:rPr>
              <w:t>Nine months ended</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000" w:type="dxa"/>
            <w:vAlign w:val="bottom"/>
            <w:tcBorders>
              <w:bottom w:val="single" w:sz="8" w:color="auto"/>
            </w:tcBorders>
            <w:gridSpan w:val="4"/>
          </w:tcPr>
          <w:p>
            <w:pPr>
              <w:jc w:val="center"/>
              <w:ind w:left="37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of warrant liabilities decreased by $5.2 million, or 101.6%, for the nine months ended September 30, 2023 compared to the nine months ended September 30, 2022 primarily due to a decline in the Company’s underlying common stock price.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180" w:type="dxa"/>
            <w:vAlign w:val="bottom"/>
            <w:gridSpan w:val="4"/>
          </w:tcPr>
          <w:p>
            <w:pPr>
              <w:jc w:val="center"/>
              <w:ind w:left="174"/>
              <w:spacing w:after="0"/>
              <w:rPr>
                <w:sz w:val="20"/>
                <w:szCs w:val="20"/>
                <w:color w:val="auto"/>
              </w:rPr>
            </w:pPr>
            <w:r>
              <w:rPr>
                <w:rFonts w:ascii="Arial" w:cs="Arial" w:eastAsia="Arial" w:hAnsi="Arial"/>
                <w:sz w:val="18"/>
                <w:szCs w:val="18"/>
                <w:b w:val="1"/>
                <w:bCs w:val="1"/>
                <w:color w:val="auto"/>
                <w:w w:val="88"/>
              </w:rPr>
              <w:t>Nine months ended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180" w:type="dxa"/>
            <w:vAlign w:val="bottom"/>
            <w:tcBorders>
              <w:bottom w:val="single" w:sz="8" w:color="auto"/>
            </w:tcBorders>
            <w:gridSpan w:val="4"/>
          </w:tcPr>
          <w:p>
            <w:pPr>
              <w:jc w:val="center"/>
              <w:ind w:left="194"/>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shd w:val="clear" w:color="auto" w:fill="CCEEFF"/>
          </w:tcPr>
          <w:p>
            <w:pPr>
              <w:jc w:val="right"/>
              <w:ind w:right="634"/>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428.6%</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increased by $0.3 million, or 428.6%, for the nine months ended September 30, 2023 compared to the nine months ended September 30, 2022 primarily as a result of a gain of $0.4 million recorded on the Majelac contingent consideration.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Since our inception, we have funded our operations primarily with proceeds from the issuance of equity to private investors, as well as with the $511.2 million in proceeds received from the closing of the Business Combination on June 10, 2021. Additionally, we began to generate revenue during 2023. Our primary uses of liquidity have been operating expenses, capital expenditures and our acquisition of certain assets of Majelac. Cash flows from operations have been historically negative as we continue to invest in the development of our technology in NGPS. We expect to incur negative operating cash flows on an annual basis for the foreseeable future until such time that we can scale our revenue growth.</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that our existing cash and cash equivalents and investments in marketable securities, together with revenue from the sale of our products and services, will be sufficient to meet our liquidity, capital expenditure, and anticipated working capital requirements and fund our operations for at least the next 12 months. We expect to use our cash and cash equivalents and investments in marketable securities and funds from revenue generated to invest in our continued commercialization efforts, to further invest in research and development, for other operating expenses, business acquisitions and for working capital and general corporate purposes.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2023, we had cash and cash equivalents and investments in marketable securities totaling $274.6 million. Our future capital requirements may vary from those currently planned and will depend on various factors including the pace and success of product commercialization.</w:t>
      </w:r>
    </w:p>
    <w:p>
      <w:pPr>
        <w:spacing w:after="0" w:line="13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launched the Platinum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instrument and started to take orders in December 2022, and subsequently began commercial shipments of Platinum™ in January 2023. In addition, we are continuing further research and development efforts to enhance our Platinum™ instrument. Based on these initiatives and activities, our business will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manufacturing for commercialization; (iii) changes we may make in our business or commercialization strategy; (iv) costs of running a public company; (v) other items affecting our forecasted level of expenditures and use of cash resources, including potential acquisitions; and (vi) increased product and service costs.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August 2023, we filed the Shelf Registration Statement, which became effective on August 22, 2023.</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2023, we also entered into the EDA with the Agent, under which we may, from time to time, sell shares of our Class A common stock under the ATM Offering. The Shelf Registration Statement included a prospectus supplement covering the offering, issuance and sale of up to $75 million of our Class A common stock, from time to time, through the ATM Offering. The shares to be sold under the EDA may be issued and sold pursuant to the Shelf Registration Statement. The EDA also provides that the Agent will be entitled to compensation for its services in an amount up to 3.0% of the gross proceeds from the sales of shares sold through the Agent under the EDA. We have no obligation to sell any shares under the EDA and may at any time suspend solicitation and offers under the EDA. To date, we have not issued or sold any shares of our Class A common stock under the ATM Offering.</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provided by: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(70,977)</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82,360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111,684</w:t>
            </w:r>
          </w:p>
        </w:tc>
      </w:tr>
      <w:tr>
        <w:trPr>
          <w:trHeight w:val="223"/>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b w:val="1"/>
                <w:bCs w:val="1"/>
                <w:color w:val="auto"/>
              </w:rPr>
              <w:t>Net increase in cash and cash equivalents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9,503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42,478</w:t>
            </w:r>
          </w:p>
        </w:tc>
        <w:tc>
          <w:tcPr>
            <w:tcW w:w="100" w:type="dxa"/>
            <w:vAlign w:val="bottom"/>
            <w:tcBorders>
              <w:top w:val="single" w:sz="8" w:color="CCEEFF"/>
            </w:tcBorders>
          </w:tcPr>
          <w:p>
            <w:pPr>
              <w:spacing w:after="0"/>
              <w:rPr>
                <w:sz w:val="18"/>
                <w:szCs w:val="18"/>
                <w:color w:val="auto"/>
              </w:rPr>
            </w:pP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net cash used in operating activities of $73.1 million for the nine months ended September 30, 2023 was due primarily to a net loss of $73.9 million resulting from continued spend on research and development efforts and commercialization ramp up, net cash outflows from changes in operating assets and liabilities of $8.5 million and unrealized gains on marketable securities of $8.3 million, partially offset by stock-based compensation of $6.9 million, realized losses on marketable securities of $6.5 million and depreciation and amortization of $3.1 million.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of $71.0 million for the nine months ended September 30, 2022 was due primarily to a net loss of $99.3 million and a change in fair value of warrant liabilities of $5.1 million, partially offset by unrealized losses on marketable securities of $20.4 million, stock-based compensation of $7.1 million and realized losses on marketable securities of $2.4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provided by investing activities of $82.4 million in the nine months ended September 30, 2023 was due primarily to sales of marketable securities of $88.0 million, offset by purchases of property and equipment of $4.9 million and capitalized internally developed software costs of $0.8 million.</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net cash provided by investing activities of $111.7 million in the nine months ended September 30, 2022 was due primarily to sales of marketable securities of $119.8 million, partially offset by purchases of property and equipment of $7.2 million and marketable securities of $0.8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net cash provided by financing activities of $0.2 million in the nine months ended September 30, 2023 was due primarily from $0.4 million from proceeds from exercise of stock options offset by $0.1 million of deferred offering costs paid for the S-3 shelf registrations and ATM.</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provided by financing activities of $1.8 million in the nine months ended September 30, 2022 was due primarily from $2.6 million from proceeds from exercise of stock options, offset by $0.5 million from payment of deferred consideration and $0.3 million from payment of contingent consideration related to the Majelac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lease certain facilities and equipment under non-cancellable lease agreements that expire at various dates through 2032. As of September 30, 2023, the future payments, before adjustments for tenant incentives, under leases was $32.2 million, which includes a lease we entered into in December 2021 for a facility in New Haven, Connecticut, which commenced in January 2022, and a lease that commenced in April 2022 for a facility in Branford, Connecticut.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related to certain intellectual property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license certain intellectual property, some of which may be utilized in our current or future product offerings. To preserve the right to use such intellectual property, we are required to make annual minimum fixed payments totaling approximately $0.2 million as well as royalties based on net sales if the royalties exceed annual minimum fixed payments.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is derived from sales of products and services. Product revenue is primarily generated from the sales of instrument and consumables used in protein sequencing and analysis. Service revenue is primarily generated from service maintenance contracts including cloud access, proof of concept services and advanced training for instrument use. Freight revenue is recognized as Product revenue in the condensed consolidated statements of operations and comprehensive loss upon product shipment.</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recognize revenue when control of our products and services is transferred to our customers in an amount that reflects the consideration we expect to receive from our customers in exchange for those products and services. This process involves identifying the contract with a customer, determining the distinct performance obligations in the contract, determining the transaction price, allocating the transaction price to the distinct performance obligations in the contract, and recognizing revenue when the performance obligations have been satisfied.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 We allocate transaction price to the performance obligations in a contract with a customer, based on the relative standalone selling price of each performance obligation. We determine standalone selling price based on the price at which the performance obligation is sold separately. If the standalone selling price is not observable through past transactions, we estimate the standalone selling price taking into account available information and specific factors such as competitive positioning, internal costs, profit objectives, and internally approved pricing guidelines related to the performance obligation.</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performance obligation for sales of products is considered satisfied upon shipment of the goods to the customer in accordance with the shipping terms (either upon shipment or delivery), which is when control of the product is deemed to be transferred; this would include instruments and consumables. Customers generally do not have a right of return, except for defective or damaged products during the warranty period or unless prior written consent is provided. In instances where right of payment or transfer of title is contingent upon the customer’s acceptance of the product, revenue is deferred until all acceptance criteria have been met. Shipping and handling costs associated with outbound freight after control of a product has transferred to a customer are accounted for as fulfillment costs and are included in Cost of revenue in the condensed consolidated statements of operations and comprehensive loss. Shipping and handling costs billed to customers are considered part of the transaction price and are recognized as revenue with the underlying product sales. Revenues for service maintenance contracts, which start after the first year of purchase and are considered as service type warranties that effectively extend the standard first-year warranty coverage at the customer’s option, are recognized ratably over the contract service period as these services are performed evenly over time. Revenues for proof of concept services and advanced training is recognized upon satisfaction of the underlying performance obligation. We typically provide a standard one-year warranty which covers defects in materials and workmanship and manufacturing or performance conditions including bug fixes under normal use and service for the first year. The first year of the warranty of our products is considered an assurance-type warranty and we have determined that this standard first-year warranty is not a distinct performance obligation. Deferred revenue primarily consists of billings and payments received in advance of revenue recognition from service maintenance contracts including cloud access, proof of concept services and advanced training, and is reduced as the revenue recognition criteria are met.</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additional material changes to our critical accounting policies and estimates as compared to the critical accounting policies and estimates disclosed in our Annual Report on Form 10-K for the year ended December 31, 2022, filed with the SEC on March 17, 2023.</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“Summary of Significant Accounting Policies” in our condensed consolidated financial statements included elsewhere in this Quarterly Report on Form 10-Q for further information regarding our significant accounting policies and estimates.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“Summary of Significant Accounting Policies – Recently Issued Accounting Pronouncements” in our condensed consolidated financial statements included elsewhere in this Quarterly Report on Form 10-Q.</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results of operations or cash flows, other than its impact on the general economy. Nonetheless, to the extent our costs are impacted by general inflationary pressures, we may not be able to fully offset such higher costs through price increases or manufacturing efficiencies. Our inability or failure to do so could harm our business,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marketable securities are comprised primarily of investments in fixed income mutual funds. The primary objective of our investments is the preservation of capital to fulfill liquidity needs. We do not enter into investments for trading or speculative purposes. Interest rate increases have resulted in changes in the fair value of our fixed income mutual funds to date. As of September 30, 2023, this cumulative impact is a net unrealized loss of $12.9 million. The impact of such rate changes on the overall financial markets and the economy may continue to impact us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we operate our business primarily within the United States and currently execute the majority of our transactions in U.S. dollars. This limited foreign currency translation risk is not expected to have a material impact on our condensed consolidated financial statements. To date, we have not entered into any hedging arrangements with respect to foreign currency risk. As our international operations grow, we will continue to reassess our approach to managing our risk relating to fluctuations in currency rates.</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effective as of September 30,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began commercial shipments of the Platinum™ protein sequencing instrument in the first quarter of 2023. We are in the process of implementing additional controls over the processes that are associated with the commercial launch of Platinum</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including but not limited to revenue recognition and inventory. There were no additional changes in our internal control over financial reporting during the quarter ended September 30, 2023 that have materially affected, or are reasonably likely to materially affect, our internal control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results of operations and financial condition are subject to various risks and uncertainties including the risk factors described under the caption “Risk Factors” in our Annual Report on Form 10-K for the year ended December 31, 2022, filed with the SEC on March 17, 2023, in our Quarterly Report on Form 10-Q for the quarter ended March 31, 2023 filed, with the SEC on May 11, 2023, in our Quarterly Report on Form 10-Q for the quarter ended June 30, 2023 filed, with the SEC on August 7, 2023 and the risk factor described below.</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certain contract manufacturers to manufacture and supply components of both our instruments and consumable offerings. If these manufacturers should fail or not perform satisfactorily, our ability to commercialize and supply our instruments and consumable offerings would be adversely affected.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certain contract manufacturers to manufacture and supply components of both our instruments and consumable offerings. Since our contracts with these manufacturers do not commit them to carry inventory or make available any particular quantities, these manufacturers may give other customers’ needs higher priority than ours, and we may not be able to obtain adequate supplies in a timely manner or on commercially reasonable terms. Further, if these manufacturers are unable to obtain critical components used in our instruments or supply our instruments on the timelines we require, our business and commercialization efforts would be harmed. In November 2021, we acquired one of our key suppliers in the semiconductor chip assembly and packaging business, Majelac.</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it becomes necessary to utilize a different contract manufacturer for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consumable offerings, and our business would suffer. In addition, once our products are authorized for use by the FDA as medical devices, we will need to contract with FDA-registered device establishments that are able to comply with current Good Manufacturing Practice requirements that are set forth in the QSR, unless explicitly exempted by regulation. We are presently working to transition activities of one of our contract manufacturers that produces a component of our semi-conductor chips. The existing contract manufacturer is moving their operations to a new facility, which has been delayed, requiring us to transition to a new contract manufacturer. If we are unable to begin manufacturing at this new contract manufacturer in a timely fashion, it will affect our ability to produce semi-conductor chips which would harm our research and development efforts and commercial operations.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certain of the components and consumables used in our instruments and consumable offerings are sourced from a limited number, or sole suppliers. If we were to lose such a supplier, there can be no assurance that we will be able to identify or enter into an agreement with an alternative supplier on a timely basis on acceptable terms, if at all. An interruption in our ability to sell and deliver instruments or consumable offerings to customers could occur if we encounter delays or difficulties in securing these components or consumables, or if the quality of the components or consumables supplied do not meet specifications, or if we cannot then obtain an acceptable substitute. Our suppliers have also been impacted by the COVID-19 pandemic, and in the past, we have experienced supply delays for critical hardware and instrumentation as a result. If any of these events occur, our business, results of operations, financial condition and prospects could be harmed.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ind w:left="82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USE OF PROCEEDS,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121" w:right="139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Incorporated by</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Reference Herein</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from</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SEC File/​</w:t>
            </w:r>
          </w:p>
        </w:tc>
      </w:tr>
      <w:tr>
        <w:trPr>
          <w:trHeight w:val="241"/>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2840" w:type="dxa"/>
            <w:vAlign w:val="bottom"/>
          </w:tcPr>
          <w:p>
            <w:pPr>
              <w:ind w:left="66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Filed Herewith</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rPr>
              <w:t>​  Form or Schedule  ​</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Reg. Number</w:t>
            </w:r>
          </w:p>
        </w:tc>
      </w:tr>
      <w:tr>
        <w:trPr>
          <w:trHeight w:val="175"/>
        </w:trPr>
        <w:tc>
          <w:tcPr>
            <w:tcW w:w="42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r:id="rId5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6"/>
              </w:rPr>
              <w:t>Equity Distribution Agreement, dated</w:t>
            </w:r>
          </w:p>
        </w:tc>
        <w:tc>
          <w:tcPr>
            <w:tcW w:w="1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Form S-3</w:t>
            </w:r>
          </w:p>
        </w:tc>
        <w:tc>
          <w:tcPr>
            <w:tcW w:w="12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8/11/2023</w:t>
            </w:r>
          </w:p>
        </w:tc>
        <w:tc>
          <w:tcPr>
            <w:tcW w:w="1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333-273934</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as of August 11, 2023, by and between</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(Exhibit 1.2)</w:t>
            </w:r>
          </w:p>
        </w:tc>
        <w:tc>
          <w:tcPr>
            <w:tcW w:w="1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Quantum-Si Incorporated and</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Evercore Group L.L.C.</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75"/>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r:id="rId52">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9"/>
              </w:rPr>
              <w:t>Separation Agreement, dated as of July</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1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7/20/2023</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18, 2023, by and between Quantum-Si</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(Exhibit 10.1)</w:t>
            </w:r>
          </w:p>
        </w:tc>
        <w:tc>
          <w:tcPr>
            <w:tcW w:w="1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0"/>
              </w:rPr>
              <w:t>Incorporated and Michael P. McKenna,</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Ph.D.</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75"/>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r:id="rId53">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Separation Agreement, dated as of</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1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9/5/2023</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September 1, 2023 by and between</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(Exhibit 10.1)</w:t>
            </w:r>
          </w:p>
        </w:tc>
        <w:tc>
          <w:tcPr>
            <w:tcW w:w="1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4"/>
              </w:rPr>
              <w:t>Quantum-Si Incorporated and Patrick</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Schneider, Ph.D.</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75"/>
        </w:trPr>
        <w:tc>
          <w:tcPr>
            <w:tcW w:w="4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Certification of the Principal Executive</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Officer pursuant to Section 302 of the</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75"/>
        </w:trPr>
        <w:tc>
          <w:tcPr>
            <w:tcW w:w="4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Certification of the Principal Financial</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Officer pursuant to Section 302 of the</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75"/>
        </w:trPr>
        <w:tc>
          <w:tcPr>
            <w:tcW w:w="42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3"/>
              </w:rPr>
              <w:t>Certification of the Principal Executive</w:t>
            </w:r>
          </w:p>
        </w:tc>
        <w:tc>
          <w:tcPr>
            <w:tcW w:w="1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w:t>
            </w:r>
          </w:p>
        </w:tc>
      </w:tr>
      <w:tr>
        <w:trPr>
          <w:trHeight w:val="222"/>
        </w:trPr>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4"/>
              </w:rPr>
              <w:t>Officer pursuant to Section 906 of the</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75"/>
        </w:trPr>
        <w:tc>
          <w:tcPr>
            <w:tcW w:w="42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2*</w:t>
            </w: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Certification of the Principal Financial</w:t>
            </w:r>
          </w:p>
        </w:tc>
        <w:tc>
          <w:tcPr>
            <w:tcW w:w="1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r>
      <w:tr>
        <w:trPr>
          <w:trHeight w:val="222"/>
        </w:trPr>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4"/>
              </w:rPr>
              <w:t>Officer pursuant to Section 906 of the</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02"/>
        </w:trPr>
        <w:tc>
          <w:tcPr>
            <w:tcW w:w="1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Inline XBRL Instance Document (the</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2"/>
              </w:rPr>
              <w:t>instance document does not appear in</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8"/>
              </w:rPr>
              <w:t>the Interactive Data File because its</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7"/>
              </w:rPr>
              <w:t>XBRL tags are embedded within the</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Inline XBRL document)</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02"/>
        </w:trPr>
        <w:tc>
          <w:tcPr>
            <w:tcW w:w="1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101.SCH</w:t>
            </w: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Schema Document</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02"/>
        </w:trPr>
        <w:tc>
          <w:tcPr>
            <w:tcW w:w="1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101.CAL</w:t>
            </w: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Calculation Linkbase Document</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02"/>
        </w:trPr>
        <w:tc>
          <w:tcPr>
            <w:tcW w:w="1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101.DEF</w:t>
            </w: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Definition Linkbase Document</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02"/>
        </w:trPr>
        <w:tc>
          <w:tcPr>
            <w:tcW w:w="1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101.LAB</w:t>
            </w: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Label Linkbase Document</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02"/>
        </w:trPr>
        <w:tc>
          <w:tcPr>
            <w:tcW w:w="1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101.PRE</w:t>
            </w: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Presentation Linkbase Document</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02"/>
        </w:trPr>
        <w:tc>
          <w:tcPr>
            <w:tcW w:w="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Cover Page Interactive Data File</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(embedded within the Inline XBRL</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document)</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jc w:val="both"/>
        <w:ind w:left="34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10-Q), irrespective of any general incorporation language contained in such filing.</w:t>
      </w:r>
    </w:p>
    <w:p>
      <w:pPr>
        <w:sectPr>
          <w:pgSz w:w="11900" w:h="16838" w:orient="portrait"/>
          <w:cols w:equalWidth="0" w:num="1">
            <w:col w:w="11240"/>
          </w:cols>
          <w:pgMar w:left="320" w:top="121" w:right="339" w:bottom="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QUANTUM-SI INCORPORATED</w:t>
      </w:r>
    </w:p>
    <w:p>
      <w:pPr>
        <w:spacing w:after="0" w:line="200" w:lineRule="exact"/>
        <w:rPr>
          <w:sz w:val="20"/>
          <w:szCs w:val="20"/>
          <w:color w:val="auto"/>
        </w:rPr>
      </w:pPr>
    </w:p>
    <w:p>
      <w:pPr>
        <w:spacing w:after="0" w:line="24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7"/>
          <w:szCs w:val="17"/>
          <w:color w:val="auto"/>
        </w:rPr>
        <w:t>By: /s/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8427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84277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7"/>
          <w:szCs w:val="17"/>
          <w:color w:val="auto"/>
        </w:rPr>
        <w:t>By: /s/ 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8427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84277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Jeffry Keyes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Jeffrey Hawkins,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Quantum-Si Incorporated;</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Jeffry Keyes,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Quantum-Si Incorporated;</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Jeffry Keyes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for the quarter ended September 30,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4"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Dated: November 9, 2023</w:t>
      </w:r>
      <w:r>
        <w:rPr>
          <w:sz w:val="20"/>
          <w:szCs w:val="20"/>
          <w:color w:val="auto"/>
        </w:rPr>
        <w:tab/>
      </w:r>
      <w:r>
        <w:rPr>
          <w:rFonts w:ascii="Arial" w:cs="Arial" w:eastAsia="Arial" w:hAnsi="Arial"/>
          <w:sz w:val="16"/>
          <w:szCs w:val="16"/>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18770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1877060"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for the quarter ended September 30,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4"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Dated: November 9, 2023</w:t>
      </w:r>
      <w:r>
        <w:rPr>
          <w:sz w:val="20"/>
          <w:szCs w:val="20"/>
          <w:color w:val="auto"/>
        </w:rPr>
        <w:tab/>
      </w:r>
      <w:r>
        <w:rPr>
          <w:rFonts w:ascii="Arial" w:cs="Arial" w:eastAsia="Arial" w:hAnsi="Arial"/>
          <w:sz w:val="16"/>
          <w:szCs w:val="16"/>
          <w:color w:val="auto"/>
        </w:rPr>
        <w:t>/s/ 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18770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877060"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Jeffry Keyes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51" Type="http://schemas.openxmlformats.org/officeDocument/2006/relationships/hyperlink" Target="https://www.sec.gov/Archives/edgar/data/1816431/000114036123039290/ny20010029x1_ex1-2.htm" TargetMode="External"/><Relationship Id="rId52" Type="http://schemas.openxmlformats.org/officeDocument/2006/relationships/hyperlink" Target="https://www.sec.gov/Archives/edgar/data/1816431/000114036123035248/brhc20056117_ex10-1.htm" TargetMode="External"/><Relationship Id="rId53" Type="http://schemas.openxmlformats.org/officeDocument/2006/relationships/hyperlink" Target="https://www.sec.gov/Archives/edgar/data/1816431/000114036123042737/brhc2005850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2023-11-09T15:46:12Z</dcterms:created>
  <dcterms:modified xsi:type="dcterms:W3CDTF">2023-11-09T15:46:12Z</dcterms:modified>
</cp:coreProperties>
</file>