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color w:val="000000"/>
          <w:sz w:val="20"/>
        </w:rPr>
        <w:t>May 15, 2026</w:t>
      </w:r>
    </w:p>
    <w:p>
      <w:pPr>
        <w:pStyle w:val="TextBody"/>
        <w:bidi w:val="0"/>
        <w:spacing w:lineRule="auto" w:line="288" w:before="2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QUANTUM-SI INCORPORATED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center"/>
        <w:rPr/>
      </w:pPr>
      <w:r>
        <w:rPr/>
      </w:r>
    </w:p>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001-39486</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85-1388175</w:t>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1"/>
        <w:gridCol w:w="1056"/>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29 Business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Branford,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06405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(866) 688-7374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before="0" w:after="0"/>
        <w:jc w:val="center"/>
        <w:rPr/>
      </w:pPr>
      <w:r>
        <w:rPr/>
      </w:r>
    </w:p>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99"/>
        <w:gridCol w:w="1943"/>
        <w:gridCol w:w="1966"/>
        <w:gridCol w:w="109"/>
        <w:gridCol w:w="109"/>
        <w:gridCol w:w="109"/>
        <w:gridCol w:w="422"/>
        <w:gridCol w:w="422"/>
        <w:gridCol w:w="424"/>
        <w:gridCol w:w="109"/>
        <w:gridCol w:w="109"/>
        <w:gridCol w:w="109"/>
        <w:gridCol w:w="546"/>
        <w:gridCol w:w="546"/>
        <w:gridCol w:w="783"/>
      </w:tblGrid>
      <w:tr>
        <w:trPr/>
        <w:tc>
          <w:tcPr>
            <w:tcW w:w="2499"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64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which registered</w:t>
            </w:r>
          </w:p>
        </w:tc>
      </w:tr>
      <w:tr>
        <w:trPr/>
        <w:tc>
          <w:tcPr>
            <w:tcW w:w="640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QSI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40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warrants, each whole warrant exercisable for one share of Class A common stock, each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QSIAW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On May 15, 2026, the Company held its Annual Meeting. At the Annual Meeting, the Company’s shareholders voted on three proposals, each of which is described in more detail in the Company’s definitive proxy statement filed with the Securities and Exchange Commission on April 1, 2026 (the “Proxy Statement”). At the Annual Meeting, there were 104,709,566 shares of Class A common stock and 19,937,500 shares of Class B common stock present or represented by proxy, which represented approximately 84.59% of the outstanding total voting power of the shares of Class A common stock and Class B common stock entitled to vote at the Annual Meeting (voting together as a single class), which constituted a quorum for the transaction of business. Holders of the Company’s Class A common stock were entitled to one vote for each share held as of the close of business on March 20, 2026 (the “Record Date”), and holders of the Company’s Class B common stock were entitled to 20 votes for each share held as of the Record Date.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 The following actions were taken at the Annual Meeting: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The following nominees were reelected to serve on the Board until the Company’s 2027 annual meeting of stockholders, based on the following votes:</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889"/>
        <w:gridCol w:w="781"/>
        <w:gridCol w:w="789"/>
        <w:gridCol w:w="379"/>
        <w:gridCol w:w="379"/>
        <w:gridCol w:w="383"/>
        <w:gridCol w:w="419"/>
        <w:gridCol w:w="419"/>
        <w:gridCol w:w="421"/>
        <w:gridCol w:w="484"/>
        <w:gridCol w:w="484"/>
        <w:gridCol w:w="486"/>
        <w:gridCol w:w="492"/>
        <w:gridCol w:w="492"/>
        <w:gridCol w:w="696"/>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Kummeth</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450,934,026</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3,431,426</w:t>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181,207</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Hawkins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450,954,265</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3,490,927</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101,467</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Paula Dowdy</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450,854,550</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3,470,812</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221,297</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Ruth Fattori</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450,847,672</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3,497,189</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201,798</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Amir Jafri</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450,841,057</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3,281,385</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424,217</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Kenny</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444,883,464</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9,461,504</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201,691</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Brigid A. Makes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450,879,316</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3,265,783</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401,560</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Mendel</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450,854,550</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3,470,812</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221,297</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Rakin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450,883,869</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3,260,489</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402,301</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Rothberg, Ph.D.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454,010,014</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429,631</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107,014</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bl>
    <w:p>
      <w:pPr>
        <w:pStyle w:val="TextBody"/>
        <w:bidi w:val="0"/>
        <w:spacing w:before="0" w:after="0"/>
        <w:jc w:val="left"/>
        <w:rPr/>
      </w:pPr>
      <w:r>
        <w:rPr/>
      </w:r>
    </w:p>
    <w:p>
      <w:pPr>
        <w:pStyle w:val="TextBody"/>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 The selection of PricewaterhouseCoopers LLP as the Company’s independent registered public accounting firm for the fiscal year ending December 31, 2026 was ratified, based on the following votes:</w:t>
      </w:r>
    </w:p>
    <w:p>
      <w:pPr>
        <w:pStyle w:val="TextBody"/>
        <w:bidi w:val="0"/>
        <w:spacing w:before="0" w:after="0"/>
        <w:jc w:val="left"/>
        <w:rPr/>
      </w:pPr>
      <w:r>
        <w:rPr/>
      </w:r>
    </w:p>
    <w:tbl>
      <w:tblPr>
        <w:tblW w:w="5549" w:type="dxa"/>
        <w:jc w:val="left"/>
        <w:tblInd w:w="0" w:type="dxa"/>
        <w:tblLayout w:type="fixed"/>
        <w:tblCellMar>
          <w:top w:w="28" w:type="dxa"/>
          <w:left w:w="28" w:type="dxa"/>
          <w:bottom w:w="28" w:type="dxa"/>
          <w:right w:w="28" w:type="dxa"/>
        </w:tblCellMar>
      </w:tblPr>
      <w:tblGrid>
        <w:gridCol w:w="418"/>
        <w:gridCol w:w="366"/>
        <w:gridCol w:w="372"/>
        <w:gridCol w:w="419"/>
        <w:gridCol w:w="419"/>
        <w:gridCol w:w="421"/>
        <w:gridCol w:w="484"/>
        <w:gridCol w:w="484"/>
        <w:gridCol w:w="486"/>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502,452,749</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756,904</w:t>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249,913</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bl>
    <w:p>
      <w:pPr>
        <w:pStyle w:val="TextBody"/>
        <w:bidi w:val="0"/>
        <w:spacing w:before="0" w:after="0"/>
        <w:jc w:val="left"/>
        <w:rPr/>
      </w:pPr>
      <w:r>
        <w:rPr/>
      </w:r>
    </w:p>
    <w:p>
      <w:pPr>
        <w:pStyle w:val="TextBody"/>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The advisory vote of the compensation of the Company’s named executive officers, as described in the Proxy Statement, was approved, based on the following votes:</w:t>
      </w:r>
    </w:p>
    <w:p>
      <w:pPr>
        <w:pStyle w:val="TextBody"/>
        <w:bidi w:val="0"/>
        <w:spacing w:before="0" w:after="0"/>
        <w:ind w:left="0" w:right="0" w:hanging="180"/>
        <w:jc w:val="left"/>
        <w:rPr/>
      </w:pPr>
      <w:r>
        <w:rPr/>
      </w:r>
    </w:p>
    <w:tbl>
      <w:tblPr>
        <w:tblW w:w="5549" w:type="dxa"/>
        <w:jc w:val="left"/>
        <w:tblInd w:w="0" w:type="dxa"/>
        <w:tblLayout w:type="fixed"/>
        <w:tblCellMar>
          <w:top w:w="28" w:type="dxa"/>
          <w:left w:w="28" w:type="dxa"/>
          <w:bottom w:w="28" w:type="dxa"/>
          <w:right w:w="28" w:type="dxa"/>
        </w:tblCellMar>
      </w:tblPr>
      <w:tblGrid>
        <w:gridCol w:w="418"/>
        <w:gridCol w:w="366"/>
        <w:gridCol w:w="372"/>
        <w:gridCol w:w="419"/>
        <w:gridCol w:w="419"/>
        <w:gridCol w:w="421"/>
        <w:gridCol w:w="484"/>
        <w:gridCol w:w="484"/>
        <w:gridCol w:w="486"/>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Abstained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441,315,119</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13,004,700</w:t>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226,840</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48,912,907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159" w:type="dxa"/>
        <w:jc w:val="left"/>
        <w:tblInd w:w="0" w:type="dxa"/>
        <w:tblLayout w:type="fixed"/>
        <w:tblCellMar>
          <w:top w:w="28" w:type="dxa"/>
          <w:left w:w="28" w:type="dxa"/>
          <w:bottom w:w="28" w:type="dxa"/>
          <w:right w:w="28" w:type="dxa"/>
        </w:tblCellMar>
      </w:tblPr>
      <w:tblGrid>
        <w:gridCol w:w="629"/>
        <w:gridCol w:w="554"/>
        <w:gridCol w:w="557"/>
        <w:gridCol w:w="470"/>
        <w:gridCol w:w="470"/>
        <w:gridCol w:w="470"/>
        <w:gridCol w:w="588"/>
        <w:gridCol w:w="588"/>
        <w:gridCol w:w="83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QUANTUM-SI INCORPORATED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Jeffry Keyes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15, 2026</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4182</Characters>
  <CharactersWithSpaces>4807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