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10-Q</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40" w:after="283"/>
        <w:jc w:val="center"/>
        <w:rPr/>
      </w:pPr>
      <w:r>
        <w:rPr>
          <w:rFonts w:ascii="Times New Roman;serif" w:hAnsi="Times New Roman;serif"/>
          <w:b/>
          <w:color w:val="000000"/>
          <w:sz w:val="20"/>
          <w:shd w:fill="FFFFFF" w:val="clear"/>
        </w:rPr>
        <w:t xml:space="preserve">For the quarterly period ended </w:t>
      </w:r>
      <w:r>
        <w:rPr>
          <w:rFonts w:ascii="Times New Roman;serif" w:hAnsi="Times New Roman;serif"/>
          <w:b/>
          <w:color w:val="000000"/>
          <w:sz w:val="20"/>
        </w:rPr>
        <w:t>June 30, 2026</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 the transition period from ________ to _________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Commission File Number: 001-39486</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85-1388175</w:t>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left"/>
        <w:tblInd w:w="0" w:type="dxa"/>
        <w:tblLayout w:type="fixed"/>
        <w:tblCellMar>
          <w:top w:w="28" w:type="dxa"/>
          <w:left w:w="28" w:type="dxa"/>
          <w:bottom w:w="28" w:type="dxa"/>
          <w:right w:w="28" w:type="dxa"/>
        </w:tblCellMar>
      </w:tblPr>
      <w:tblGrid>
        <w:gridCol w:w="1193"/>
        <w:gridCol w:w="1051"/>
        <w:gridCol w:w="1056"/>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29 Business Park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Branford, 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06405</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color w:val="000000"/>
          <w:sz w:val="20"/>
          <w:shd w:fill="FFFFFF" w:val="clear"/>
        </w:rPr>
        <w:t>(</w:t>
      </w:r>
      <w:r>
        <w:rPr>
          <w:rFonts w:ascii="Times New Roman;serif" w:hAnsi="Times New Roman;serif"/>
          <w:b/>
          <w:color w:val="000000"/>
          <w:sz w:val="20"/>
        </w:rPr>
        <w:t>866)</w:t>
      </w:r>
      <w:r>
        <w:rPr>
          <w:color w:val="000000"/>
          <w:shd w:fill="FFFFFF" w:val="clear"/>
        </w:rPr>
        <w:t xml:space="preserve"> </w:t>
      </w:r>
      <w:r>
        <w:rPr>
          <w:rFonts w:ascii="Times New Roman;serif" w:hAnsi="Times New Roman;serif"/>
          <w:b/>
          <w:color w:val="000000"/>
          <w:sz w:val="20"/>
        </w:rPr>
        <w:t>688-7374</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former address and former fiscal year, if changed since last report)</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977"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334"/>
        <w:gridCol w:w="334"/>
        <w:gridCol w:w="33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QSI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rPr>
        <w:t>o</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2"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4"/>
              </w:rPr>
            </w:pPr>
            <w:r>
              <w:rPr>
                <w:rFonts w:ascii="Wingdings;sans-serif" w:hAnsi="Wingdings;sans-serif"/>
                <w:b w:val="false"/>
                <w:color w:val="000000"/>
                <w:sz w:val="2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4"/>
              </w:rPr>
            </w:pPr>
            <w:r>
              <w:rPr>
                <w:rFonts w:ascii="Wingdings;sans-serif" w:hAnsi="Wingdings;sans-serif"/>
                <w:b w:val="false"/>
                <w:color w:val="000000"/>
                <w:sz w:val="24"/>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Wingdings;sans-serif" w:hAnsi="Wingdings;sans-serif"/>
                <w:b w:val="false"/>
                <w:color w:val="000000"/>
                <w:sz w:val="24"/>
              </w:rPr>
            </w:pPr>
            <w:r>
              <w:rPr>
                <w:rFonts w:ascii="Wingdings;sans-serif" w:hAnsi="Wingdings;sans-serif"/>
                <w:b w:val="false"/>
                <w:color w:val="000000"/>
                <w:sz w:val="24"/>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2"/>
        </w:rPr>
        <w:t>o</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Indicate by check mark whether the registrant is a shell company (as defined in Rule 12b-2 of the Exchange Act). Yes </w:t>
      </w:r>
      <w:r>
        <w:rPr>
          <w:color w:val="000000"/>
          <w:shd w:fill="FFFFFF" w:val="clear"/>
        </w:rPr>
        <w:t xml:space="preserve">☐ </w:t>
      </w:r>
      <w:r>
        <w:rPr>
          <w:rFonts w:ascii="Times New Roman;serif" w:hAnsi="Times New Roman;serif"/>
          <w:b w:val="false"/>
          <w:color w:val="000000"/>
          <w:sz w:val="20"/>
          <w:shd w:fill="FFFFFF" w:val="clear"/>
        </w:rPr>
        <w:t xml:space="preserve">No </w:t>
      </w:r>
      <w:r>
        <w:rPr>
          <w:color w:val="000000"/>
        </w:rPr>
        <w: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August 11, 2026</w:t>
      </w:r>
      <w:r>
        <w:rPr>
          <w:rFonts w:ascii="Times New Roman;serif" w:hAnsi="Times New Roman;serif"/>
          <w:b w:val="false"/>
          <w:color w:val="000000"/>
          <w:sz w:val="20"/>
          <w:shd w:fill="FFFFFF" w:val="clear"/>
        </w:rPr>
        <w:t xml:space="preserve">, the registrant had </w:t>
      </w:r>
      <w:r>
        <w:rPr>
          <w:rFonts w:ascii="Times New Roman;serif" w:hAnsi="Times New Roman;serif"/>
          <w:b w:val="false"/>
          <w:color w:val="000000"/>
          <w:sz w:val="20"/>
        </w:rPr>
        <w:t>198,946,412</w:t>
      </w:r>
      <w:r>
        <w:rPr>
          <w:color w:val="000000"/>
          <w:shd w:fill="FFFFFF" w:val="clear"/>
        </w:rPr>
        <w:t xml:space="preserve"> </w:t>
      </w:r>
      <w:r>
        <w:rPr>
          <w:rFonts w:ascii="Times New Roman;serif" w:hAnsi="Times New Roman;serif"/>
          <w:b w:val="false"/>
          <w:color w:val="000000"/>
          <w:sz w:val="20"/>
          <w:shd w:fill="FFFFFF" w:val="clear"/>
        </w:rPr>
        <w:t xml:space="preserve">shares of Class A common stock outstanding and </w:t>
      </w:r>
      <w:r>
        <w:rPr>
          <w:rFonts w:ascii="Times New Roman;serif" w:hAnsi="Times New Roman;serif"/>
          <w:b w:val="false"/>
          <w:color w:val="000000"/>
          <w:sz w:val="20"/>
        </w:rPr>
        <w:t>19,937,500</w:t>
      </w:r>
      <w:r>
        <w:rPr>
          <w:color w:val="000000"/>
          <w:shd w:fill="FFFFFF" w:val="clear"/>
        </w:rPr>
        <w:t xml:space="preserve"> </w:t>
      </w:r>
      <w:r>
        <w:rPr>
          <w:rFonts w:ascii="Times New Roman;serif" w:hAnsi="Times New Roman;serif"/>
          <w:b w:val="false"/>
          <w:color w:val="000000"/>
          <w:sz w:val="20"/>
          <w:shd w:fill="FFFFFF" w:val="clear"/>
        </w:rPr>
        <w:t>shares of Class B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52"/>
        <w:gridCol w:w="310"/>
        <w:gridCol w:w="314"/>
        <w:gridCol w:w="2884"/>
        <w:gridCol w:w="2884"/>
        <w:gridCol w:w="2889"/>
        <w:gridCol w:w="167"/>
        <w:gridCol w:w="167"/>
        <w:gridCol w:w="238"/>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0">
              <w:r>
                <w:rPr>
                  <w:rStyle w:val="InternetLink"/>
                  <w:rFonts w:ascii="Times New Roman;serif" w:hAnsi="Times New Roman;serif"/>
                  <w:b w:val="false"/>
                  <w:color w:val="0000FF"/>
                  <w:sz w:val="20"/>
                  <w:u w:val="single"/>
                </w:rPr>
                <w:t>Cautionary Note Regarding Forward-Looking Statements</w:t>
              </w:r>
            </w:hyperlink>
          </w:p>
        </w:tc>
        <w:tc>
          <w:tcPr>
            <w:tcW w:w="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ie8e17d9b0efc4096bd67d8d2976a25ce_10">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3">
              <w:r>
                <w:rPr>
                  <w:rStyle w:val="InternetLink"/>
                  <w:rFonts w:ascii="Times New Roman;serif" w:hAnsi="Times New Roman;serif"/>
                  <w:b/>
                  <w:strike w:val="false"/>
                  <w:dstrike w:val="false"/>
                  <w:color w:val="000000"/>
                  <w:sz w:val="20"/>
                  <w:u w:val="none"/>
                  <w:effect w:val="none"/>
                </w:rPr>
                <w:t>Part I</w:t>
              </w:r>
            </w:hyperlink>
            <w:r>
              <w:rPr>
                <w:rFonts w:ascii="Times New Roman;serif" w:hAnsi="Times New Roman;serif"/>
                <w:b/>
                <w:color w:val="000000"/>
                <w:sz w:val="20"/>
              </w:rPr>
              <w:t>.</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3">
              <w:r>
                <w:rPr>
                  <w:rStyle w:val="InternetLink"/>
                  <w:rFonts w:ascii="Times New Roman;serif" w:hAnsi="Times New Roman;serif"/>
                  <w:b/>
                  <w:color w:val="0000FF"/>
                  <w:sz w:val="20"/>
                  <w:u w:val="single"/>
                </w:rPr>
                <w:t>Financial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13">
              <w:r>
                <w:rPr>
                  <w:rStyle w:val="InternetLink"/>
                  <w:rFonts w:ascii="Times New Roman;serif" w:hAnsi="Times New Roman;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6">
              <w:r>
                <w:rPr>
                  <w:rStyle w:val="InternetLink"/>
                  <w:rFonts w:ascii="Times New Roman;serif" w:hAnsi="Times New Roman;serif"/>
                  <w:b w:val="false"/>
                  <w:strike w:val="false"/>
                  <w:dstrike w:val="false"/>
                  <w:color w:val="000000"/>
                  <w:sz w:val="20"/>
                  <w:u w:val="none"/>
                  <w:effect w:val="none"/>
                </w:rPr>
                <w:t>Item 1.</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6">
              <w:r>
                <w:rPr>
                  <w:rStyle w:val="InternetLink"/>
                  <w:rFonts w:ascii="Times New Roman;serif" w:hAnsi="Times New Roman;serif"/>
                  <w:b w:val="false"/>
                  <w:color w:val="0000FF"/>
                  <w:sz w:val="20"/>
                  <w:u w:val="single"/>
                </w:rPr>
                <w:t>Financial Statements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16">
              <w:r>
                <w:rPr>
                  <w:rStyle w:val="InternetLink"/>
                  <w:rFonts w:ascii="Times New Roman;serif" w:hAnsi="Times New Roman;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9">
              <w:r>
                <w:rPr>
                  <w:rStyle w:val="InternetLink"/>
                  <w:rFonts w:ascii="Times New Roman;serif" w:hAnsi="Times New Roman;serif"/>
                  <w:b w:val="false"/>
                  <w:color w:val="000080"/>
                  <w:sz w:val="20"/>
                  <w:u w:val="single"/>
                </w:rPr>
                <w:t xml:space="preserve">Condensed Consolidated Balance Sheets as of </w:t>
              </w:r>
            </w:hyperlink>
            <w:hyperlink w:anchor="ie8e17d9b0efc4096bd67d8d2976a25ce_19">
              <w:r>
                <w:rPr>
                  <w:rStyle w:val="InternetLink"/>
                  <w:rFonts w:ascii="Times New Roman;serif" w:hAnsi="Times New Roman;serif"/>
                  <w:b w:val="false"/>
                  <w:color w:val="000080"/>
                  <w:sz w:val="20"/>
                  <w:u w:val="single"/>
                </w:rPr>
                <w:t>June 30</w:t>
              </w:r>
            </w:hyperlink>
            <w:hyperlink w:anchor="ie8e17d9b0efc4096bd67d8d2976a25ce_19">
              <w:r>
                <w:rPr>
                  <w:rStyle w:val="InternetLink"/>
                  <w:rFonts w:ascii="Times New Roman;serif" w:hAnsi="Times New Roman;serif"/>
                  <w:b w:val="false"/>
                  <w:color w:val="000080"/>
                  <w:sz w:val="20"/>
                  <w:u w:val="single"/>
                </w:rPr>
                <w:t>, 2026, and December 31, 2025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19">
              <w:r>
                <w:rPr>
                  <w:rStyle w:val="InternetLink"/>
                  <w:rFonts w:ascii="Times New Roman;serif" w:hAnsi="Times New Roman;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22">
              <w:r>
                <w:rPr>
                  <w:rStyle w:val="InternetLink"/>
                  <w:rFonts w:ascii="Times New Roman;serif" w:hAnsi="Times New Roman;serif"/>
                  <w:b w:val="false"/>
                  <w:color w:val="000080"/>
                  <w:sz w:val="20"/>
                  <w:u w:val="single"/>
                </w:rPr>
                <w:t>Condensed Consolidated Statements of Operations and Comprehensive Loss for the three</w:t>
              </w:r>
            </w:hyperlink>
            <w:hyperlink w:anchor="ie8e17d9b0efc4096bd67d8d2976a25ce_22">
              <w:r>
                <w:rPr>
                  <w:rStyle w:val="InternetLink"/>
                  <w:rFonts w:ascii="Times New Roman;serif" w:hAnsi="Times New Roman;serif"/>
                  <w:b w:val="false"/>
                  <w:color w:val="000080"/>
                  <w:sz w:val="20"/>
                  <w:u w:val="single"/>
                </w:rPr>
                <w:t xml:space="preserve"> and six</w:t>
              </w:r>
            </w:hyperlink>
            <w:hyperlink w:anchor="ie8e17d9b0efc4096bd67d8d2976a25ce_22">
              <w:r>
                <w:rPr>
                  <w:rStyle w:val="InternetLink"/>
                  <w:rFonts w:ascii="Times New Roman;serif" w:hAnsi="Times New Roman;serif"/>
                  <w:b w:val="false"/>
                  <w:color w:val="000080"/>
                  <w:sz w:val="20"/>
                  <w:u w:val="single"/>
                </w:rPr>
                <w:t xml:space="preserve"> months ended </w:t>
              </w:r>
            </w:hyperlink>
            <w:hyperlink w:anchor="ie8e17d9b0efc4096bd67d8d2976a25ce_22">
              <w:r>
                <w:rPr>
                  <w:rStyle w:val="InternetLink"/>
                  <w:rFonts w:ascii="Times New Roman;serif" w:hAnsi="Times New Roman;serif"/>
                  <w:b w:val="false"/>
                  <w:color w:val="000080"/>
                  <w:sz w:val="20"/>
                  <w:u w:val="single"/>
                </w:rPr>
                <w:t>June 30</w:t>
              </w:r>
            </w:hyperlink>
            <w:hyperlink w:anchor="ie8e17d9b0efc4096bd67d8d2976a25ce_22">
              <w:r>
                <w:rPr>
                  <w:rStyle w:val="InternetLink"/>
                  <w:rFonts w:ascii="Times New Roman;serif" w:hAnsi="Times New Roman;serif"/>
                  <w:b w:val="false"/>
                  <w:color w:val="000080"/>
                  <w:sz w:val="20"/>
                  <w:u w:val="single"/>
                </w:rPr>
                <w:t>, 2026 and 2025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22">
              <w:r>
                <w:rPr>
                  <w:rStyle w:val="InternetLink"/>
                  <w:rFonts w:ascii="Times New Roman;serif" w:hAnsi="Times New Roman;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25">
              <w:r>
                <w:rPr>
                  <w:rStyle w:val="InternetLink"/>
                  <w:rFonts w:ascii="Times New Roman;serif" w:hAnsi="Times New Roman;serif"/>
                  <w:b w:val="false"/>
                  <w:color w:val="000080"/>
                  <w:sz w:val="20"/>
                  <w:u w:val="single"/>
                </w:rPr>
                <w:t xml:space="preserve">Condensed Consolidated Statements of Changes in Stockholders’ Equity for the three </w:t>
              </w:r>
            </w:hyperlink>
            <w:hyperlink w:anchor="ie8e17d9b0efc4096bd67d8d2976a25ce_25">
              <w:r>
                <w:rPr>
                  <w:rStyle w:val="InternetLink"/>
                  <w:rFonts w:ascii="Times New Roman;serif" w:hAnsi="Times New Roman;serif"/>
                  <w:b w:val="false"/>
                  <w:color w:val="000080"/>
                  <w:sz w:val="20"/>
                  <w:u w:val="single"/>
                </w:rPr>
                <w:t xml:space="preserve">and six </w:t>
              </w:r>
            </w:hyperlink>
            <w:hyperlink w:anchor="ie8e17d9b0efc4096bd67d8d2976a25ce_25">
              <w:r>
                <w:rPr>
                  <w:rStyle w:val="InternetLink"/>
                  <w:rFonts w:ascii="Times New Roman;serif" w:hAnsi="Times New Roman;serif"/>
                  <w:b w:val="false"/>
                  <w:color w:val="000080"/>
                  <w:sz w:val="20"/>
                  <w:u w:val="single"/>
                </w:rPr>
                <w:t xml:space="preserve">months ended </w:t>
              </w:r>
            </w:hyperlink>
            <w:hyperlink w:anchor="ie8e17d9b0efc4096bd67d8d2976a25ce_25">
              <w:r>
                <w:rPr>
                  <w:rStyle w:val="InternetLink"/>
                  <w:rFonts w:ascii="Times New Roman;serif" w:hAnsi="Times New Roman;serif"/>
                  <w:b w:val="false"/>
                  <w:color w:val="000080"/>
                  <w:sz w:val="20"/>
                  <w:u w:val="single"/>
                </w:rPr>
                <w:t>June 30</w:t>
              </w:r>
            </w:hyperlink>
            <w:hyperlink w:anchor="ie8e17d9b0efc4096bd67d8d2976a25ce_25">
              <w:r>
                <w:rPr>
                  <w:rStyle w:val="InternetLink"/>
                  <w:rFonts w:ascii="Times New Roman;serif" w:hAnsi="Times New Roman;serif"/>
                  <w:b w:val="false"/>
                  <w:color w:val="000080"/>
                  <w:sz w:val="20"/>
                  <w:u w:val="single"/>
                </w:rPr>
                <w:t>, 2026 and 2025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25">
              <w:r>
                <w:rPr>
                  <w:rStyle w:val="InternetLink"/>
                  <w:rFonts w:ascii="Times New Roman;serif" w:hAnsi="Times New Roman;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28">
              <w:r>
                <w:rPr>
                  <w:rStyle w:val="InternetLink"/>
                  <w:rFonts w:ascii="Times New Roman;serif" w:hAnsi="Times New Roman;serif"/>
                  <w:b w:val="false"/>
                  <w:color w:val="000080"/>
                  <w:sz w:val="20"/>
                  <w:u w:val="single"/>
                </w:rPr>
                <w:t xml:space="preserve">Condensed Consolidated Statements of Cash Flows for the </w:t>
              </w:r>
            </w:hyperlink>
            <w:hyperlink w:anchor="ie8e17d9b0efc4096bd67d8d2976a25ce_28">
              <w:r>
                <w:rPr>
                  <w:rStyle w:val="InternetLink"/>
                  <w:rFonts w:ascii="Times New Roman;serif" w:hAnsi="Times New Roman;serif"/>
                  <w:b w:val="false"/>
                  <w:color w:val="000080"/>
                  <w:sz w:val="20"/>
                  <w:u w:val="single"/>
                </w:rPr>
                <w:t>six</w:t>
              </w:r>
            </w:hyperlink>
            <w:hyperlink w:anchor="ie8e17d9b0efc4096bd67d8d2976a25ce_28">
              <w:r>
                <w:rPr>
                  <w:rStyle w:val="InternetLink"/>
                  <w:rFonts w:ascii="Times New Roman;serif" w:hAnsi="Times New Roman;serif"/>
                  <w:b w:val="false"/>
                  <w:color w:val="000080"/>
                  <w:sz w:val="20"/>
                  <w:u w:val="single"/>
                </w:rPr>
                <w:t xml:space="preserve"> months ended </w:t>
              </w:r>
            </w:hyperlink>
            <w:hyperlink w:anchor="ie8e17d9b0efc4096bd67d8d2976a25ce_28">
              <w:r>
                <w:rPr>
                  <w:rStyle w:val="InternetLink"/>
                  <w:rFonts w:ascii="Times New Roman;serif" w:hAnsi="Times New Roman;serif"/>
                  <w:b w:val="false"/>
                  <w:color w:val="000080"/>
                  <w:sz w:val="20"/>
                  <w:u w:val="single"/>
                </w:rPr>
                <w:t>June 30</w:t>
              </w:r>
            </w:hyperlink>
            <w:hyperlink w:anchor="ie8e17d9b0efc4096bd67d8d2976a25ce_28">
              <w:r>
                <w:rPr>
                  <w:rStyle w:val="InternetLink"/>
                  <w:rFonts w:ascii="Times New Roman;serif" w:hAnsi="Times New Roman;serif"/>
                  <w:b w:val="false"/>
                  <w:color w:val="000080"/>
                  <w:sz w:val="20"/>
                  <w:u w:val="single"/>
                </w:rPr>
                <w:t>, 2026 and 2025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28">
              <w:r>
                <w:rPr>
                  <w:rStyle w:val="InternetLink"/>
                  <w:rFonts w:ascii="Times New Roman;serif" w:hAnsi="Times New Roman;serif"/>
                  <w:b w:val="false"/>
                  <w:strike w:val="false"/>
                  <w:dstrike w:val="false"/>
                  <w:color w:val="000000"/>
                  <w:sz w:val="20"/>
                  <w:u w:val="none"/>
                  <w:effect w:val="non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31">
              <w:r>
                <w:rPr>
                  <w:rStyle w:val="InternetLink"/>
                  <w:rFonts w:ascii="Times New Roman;serif" w:hAnsi="Times New Roman;serif"/>
                  <w:b w:val="false"/>
                  <w:color w:val="0000FF"/>
                  <w:sz w:val="20"/>
                  <w:u w:val="single"/>
                </w:rPr>
                <w:t>Notes to Condensed Consolidated Financial Statements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31">
              <w:r>
                <w:rPr>
                  <w:rStyle w:val="InternetLink"/>
                  <w:rFonts w:ascii="Times New Roman;serif" w:hAnsi="Times New Roman;serif"/>
                  <w:b w:val="false"/>
                  <w:strike w:val="false"/>
                  <w:dstrike w:val="false"/>
                  <w:color w:val="000000"/>
                  <w:sz w:val="20"/>
                  <w:u w:val="none"/>
                  <w:effect w:val="none"/>
                </w:rPr>
                <w:t>10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88">
              <w:r>
                <w:rPr>
                  <w:rStyle w:val="InternetLink"/>
                  <w:rFonts w:ascii="Times New Roman;serif" w:hAnsi="Times New Roman;serif"/>
                  <w:b w:val="false"/>
                  <w:strike w:val="false"/>
                  <w:dstrike w:val="false"/>
                  <w:color w:val="000000"/>
                  <w:sz w:val="20"/>
                  <w:u w:val="none"/>
                  <w:effect w:val="none"/>
                </w:rPr>
                <w:t>Item 2.</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88">
              <w:r>
                <w:rPr>
                  <w:rStyle w:val="InternetLink"/>
                  <w:rFonts w:ascii="Times New Roman;serif" w:hAnsi="Times New Roman;serif"/>
                  <w:b w:val="false"/>
                  <w:strike w:val="false"/>
                  <w:dstrike w:val="false"/>
                  <w:color w:val="000000"/>
                  <w:sz w:val="20"/>
                  <w:u w:val="none"/>
                  <w:effect w:val="non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30">
              <w:r>
                <w:rPr>
                  <w:rStyle w:val="InternetLink"/>
                  <w:rFonts w:ascii="Times New Roman;serif" w:hAnsi="Times New Roman;serif"/>
                  <w:b w:val="false"/>
                  <w:strike w:val="false"/>
                  <w:dstrike w:val="false"/>
                  <w:color w:val="000000"/>
                  <w:sz w:val="20"/>
                  <w:u w:val="none"/>
                  <w:effect w:val="none"/>
                </w:rPr>
                <w:t>Item 3.</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30">
              <w:r>
                <w:rPr>
                  <w:rStyle w:val="InternetLink"/>
                  <w:rFonts w:ascii="Times New Roman;serif" w:hAnsi="Times New Roman;serif"/>
                  <w:b w:val="false"/>
                  <w:color w:val="0000FF"/>
                  <w:sz w:val="20"/>
                  <w:u w:val="single"/>
                </w:rPr>
                <w:t>Quantitative and Qualitative Disclosures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130">
              <w:r>
                <w:rPr>
                  <w:rStyle w:val="InternetLink"/>
                  <w:rFonts w:ascii="Times New Roman;serif" w:hAnsi="Times New Roman;serif"/>
                  <w:b w:val="false"/>
                  <w:strike w:val="false"/>
                  <w:dstrike w:val="false"/>
                  <w:color w:val="000000"/>
                  <w:sz w:val="20"/>
                  <w:u w:val="none"/>
                  <w:effect w:val="none"/>
                </w:rPr>
                <w:t>34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33">
              <w:r>
                <w:rPr>
                  <w:rStyle w:val="InternetLink"/>
                  <w:rFonts w:ascii="Times New Roman;serif" w:hAnsi="Times New Roman;serif"/>
                  <w:b w:val="false"/>
                  <w:strike w:val="false"/>
                  <w:dstrike w:val="false"/>
                  <w:color w:val="000000"/>
                  <w:sz w:val="20"/>
                  <w:u w:val="none"/>
                  <w:effect w:val="none"/>
                </w:rPr>
                <w:t>Item 4.</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33">
              <w:r>
                <w:rPr>
                  <w:rStyle w:val="InternetLink"/>
                  <w:rFonts w:ascii="Times New Roman;serif" w:hAnsi="Times New Roman;serif"/>
                  <w:b w:val="false"/>
                  <w:color w:val="0000FF"/>
                  <w:sz w:val="20"/>
                  <w:u w:val="single"/>
                </w:rPr>
                <w:t>Controls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133">
              <w:r>
                <w:rPr>
                  <w:rStyle w:val="InternetLink"/>
                  <w:rFonts w:ascii="Times New Roman;serif" w:hAnsi="Times New Roman;serif"/>
                  <w:b w:val="false"/>
                  <w:strike w:val="false"/>
                  <w:dstrike w:val="false"/>
                  <w:color w:val="000000"/>
                  <w:sz w:val="20"/>
                  <w:u w:val="none"/>
                  <w:effect w:val="none"/>
                </w:rPr>
                <w:t>35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36">
              <w:r>
                <w:rPr>
                  <w:rStyle w:val="InternetLink"/>
                  <w:rFonts w:ascii="Times New Roman;serif" w:hAnsi="Times New Roman;serif"/>
                  <w:b/>
                  <w:strike w:val="false"/>
                  <w:dstrike w:val="false"/>
                  <w:color w:val="000000"/>
                  <w:sz w:val="20"/>
                  <w:u w:val="none"/>
                  <w:effect w:val="none"/>
                </w:rPr>
                <w:t>Part II</w:t>
              </w:r>
            </w:hyperlink>
            <w:r>
              <w:rPr>
                <w:rFonts w:ascii="Times New Roman;serif" w:hAnsi="Times New Roman;serif"/>
                <w:b/>
                <w:color w:val="000000"/>
                <w:sz w:val="20"/>
              </w:rPr>
              <w:t>.</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36">
              <w:r>
                <w:rPr>
                  <w:rStyle w:val="InternetLink"/>
                  <w:rFonts w:ascii="Times New Roman;serif" w:hAnsi="Times New Roman;serif"/>
                  <w:b/>
                  <w:color w:val="0000FF"/>
                  <w:sz w:val="20"/>
                  <w:u w:val="single"/>
                </w:rPr>
                <w:t>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136">
              <w:r>
                <w:rPr>
                  <w:rStyle w:val="InternetLink"/>
                  <w:rFonts w:ascii="Times New Roman;serif" w:hAnsi="Times New Roman;serif"/>
                  <w:b w:val="false"/>
                  <w:strike w:val="false"/>
                  <w:dstrike w:val="false"/>
                  <w:color w:val="000000"/>
                  <w:sz w:val="20"/>
                  <w:u w:val="none"/>
                  <w:effect w:val="none"/>
                </w:rPr>
                <w:t>36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39">
              <w:r>
                <w:rPr>
                  <w:rStyle w:val="InternetLink"/>
                  <w:rFonts w:ascii="Times New Roman;serif" w:hAnsi="Times New Roman;serif"/>
                  <w:b w:val="false"/>
                  <w:strike w:val="false"/>
                  <w:dstrike w:val="false"/>
                  <w:color w:val="000000"/>
                  <w:sz w:val="20"/>
                  <w:u w:val="none"/>
                  <w:effect w:val="none"/>
                </w:rPr>
                <w:t>Item 1.</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39">
              <w:r>
                <w:rPr>
                  <w:rStyle w:val="InternetLink"/>
                  <w:rFonts w:ascii="Times New Roman;serif" w:hAnsi="Times New Roman;serif"/>
                  <w:b w:val="false"/>
                  <w:color w:val="0000FF"/>
                  <w:sz w:val="20"/>
                  <w:u w:val="single"/>
                </w:rPr>
                <w:t>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139">
              <w:r>
                <w:rPr>
                  <w:rStyle w:val="InternetLink"/>
                  <w:rFonts w:ascii="Times New Roman;serif" w:hAnsi="Times New Roman;serif"/>
                  <w:b w:val="false"/>
                  <w:strike w:val="false"/>
                  <w:dstrike w:val="false"/>
                  <w:color w:val="000000"/>
                  <w:sz w:val="20"/>
                  <w:u w:val="none"/>
                  <w:effect w:val="none"/>
                </w:rPr>
                <w:t>36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42">
              <w:r>
                <w:rPr>
                  <w:rStyle w:val="InternetLink"/>
                  <w:rFonts w:ascii="Times New Roman;serif" w:hAnsi="Times New Roman;serif"/>
                  <w:b w:val="false"/>
                  <w:strike w:val="false"/>
                  <w:dstrike w:val="false"/>
                  <w:color w:val="000000"/>
                  <w:sz w:val="20"/>
                  <w:u w:val="none"/>
                  <w:effect w:val="none"/>
                </w:rPr>
                <w:t>Item 1A.</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42">
              <w:r>
                <w:rPr>
                  <w:rStyle w:val="InternetLink"/>
                  <w:rFonts w:ascii="Times New Roman;serif" w:hAnsi="Times New Roman;serif"/>
                  <w:b w:val="false"/>
                  <w:color w:val="0000FF"/>
                  <w:sz w:val="20"/>
                  <w:u w:val="single"/>
                </w:rPr>
                <w:t>Risk Factors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142">
              <w:r>
                <w:rPr>
                  <w:rStyle w:val="InternetLink"/>
                  <w:rFonts w:ascii="Times New Roman;serif" w:hAnsi="Times New Roman;serif"/>
                  <w:b w:val="false"/>
                  <w:strike w:val="false"/>
                  <w:dstrike w:val="false"/>
                  <w:color w:val="000000"/>
                  <w:sz w:val="20"/>
                  <w:u w:val="none"/>
                  <w:effect w:val="none"/>
                </w:rPr>
                <w:t>36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45">
              <w:r>
                <w:rPr>
                  <w:rStyle w:val="InternetLink"/>
                  <w:rFonts w:ascii="Times New Roman;serif" w:hAnsi="Times New Roman;serif"/>
                  <w:b w:val="false"/>
                  <w:strike w:val="false"/>
                  <w:dstrike w:val="false"/>
                  <w:color w:val="000000"/>
                  <w:sz w:val="20"/>
                  <w:u w:val="none"/>
                  <w:effect w:val="none"/>
                </w:rPr>
                <w:t>Item 2.</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45">
              <w:r>
                <w:rPr>
                  <w:rStyle w:val="InternetLink"/>
                  <w:rFonts w:ascii="Times New Roman;serif" w:hAnsi="Times New Roman;serif"/>
                  <w:b w:val="false"/>
                  <w:color w:val="0000FF"/>
                  <w:sz w:val="20"/>
                  <w:u w:val="single"/>
                </w:rPr>
                <w:t>Unregistered Sales of Equity Securities and Use of Proceeds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145">
              <w:r>
                <w:rPr>
                  <w:rStyle w:val="InternetLink"/>
                  <w:rFonts w:ascii="Times New Roman;serif" w:hAnsi="Times New Roman;serif"/>
                  <w:b w:val="false"/>
                  <w:strike w:val="false"/>
                  <w:dstrike w:val="false"/>
                  <w:color w:val="000000"/>
                  <w:sz w:val="20"/>
                  <w:u w:val="none"/>
                  <w:effect w:val="none"/>
                </w:rPr>
                <w:t>37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48">
              <w:r>
                <w:rPr>
                  <w:rStyle w:val="InternetLink"/>
                  <w:rFonts w:ascii="Times New Roman;serif" w:hAnsi="Times New Roman;serif"/>
                  <w:b w:val="false"/>
                  <w:strike w:val="false"/>
                  <w:dstrike w:val="false"/>
                  <w:color w:val="000000"/>
                  <w:sz w:val="20"/>
                  <w:u w:val="none"/>
                  <w:effect w:val="none"/>
                </w:rPr>
                <w:t>Item 3.</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48">
              <w:r>
                <w:rPr>
                  <w:rStyle w:val="InternetLink"/>
                  <w:rFonts w:ascii="Times New Roman;serif" w:hAnsi="Times New Roman;serif"/>
                  <w:b w:val="false"/>
                  <w:color w:val="0000FF"/>
                  <w:sz w:val="20"/>
                  <w:u w:val="single"/>
                </w:rPr>
                <w:t>Defaults Upon Senior Securities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148">
              <w:r>
                <w:rPr>
                  <w:rStyle w:val="InternetLink"/>
                  <w:rFonts w:ascii="Times New Roman;serif" w:hAnsi="Times New Roman;serif"/>
                  <w:b w:val="false"/>
                  <w:strike w:val="false"/>
                  <w:dstrike w:val="false"/>
                  <w:color w:val="000000"/>
                  <w:sz w:val="20"/>
                  <w:u w:val="none"/>
                  <w:effect w:val="none"/>
                </w:rPr>
                <w:t>37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51">
              <w:r>
                <w:rPr>
                  <w:rStyle w:val="InternetLink"/>
                  <w:rFonts w:ascii="Times New Roman;serif" w:hAnsi="Times New Roman;serif"/>
                  <w:b w:val="false"/>
                  <w:strike w:val="false"/>
                  <w:dstrike w:val="false"/>
                  <w:color w:val="000000"/>
                  <w:sz w:val="20"/>
                  <w:u w:val="none"/>
                  <w:effect w:val="none"/>
                </w:rPr>
                <w:t>Item 4.</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51">
              <w:r>
                <w:rPr>
                  <w:rStyle w:val="InternetLink"/>
                  <w:rFonts w:ascii="Times New Roman;serif" w:hAnsi="Times New Roman;serif"/>
                  <w:b w:val="false"/>
                  <w:color w:val="0000FF"/>
                  <w:sz w:val="20"/>
                  <w:u w:val="single"/>
                </w:rPr>
                <w:t>Mine Safety Disclosures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151">
              <w:r>
                <w:rPr>
                  <w:rStyle w:val="InternetLink"/>
                  <w:rFonts w:ascii="Times New Roman;serif" w:hAnsi="Times New Roman;serif"/>
                  <w:b w:val="false"/>
                  <w:strike w:val="false"/>
                  <w:dstrike w:val="false"/>
                  <w:color w:val="000000"/>
                  <w:sz w:val="20"/>
                  <w:u w:val="none"/>
                  <w:effect w:val="none"/>
                </w:rPr>
                <w:t>37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54">
              <w:r>
                <w:rPr>
                  <w:rStyle w:val="InternetLink"/>
                  <w:rFonts w:ascii="Times New Roman;serif" w:hAnsi="Times New Roman;serif"/>
                  <w:b w:val="false"/>
                  <w:strike w:val="false"/>
                  <w:dstrike w:val="false"/>
                  <w:color w:val="000000"/>
                  <w:sz w:val="20"/>
                  <w:u w:val="none"/>
                  <w:effect w:val="none"/>
                </w:rPr>
                <w:t>Item 5.</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54">
              <w:r>
                <w:rPr>
                  <w:rStyle w:val="InternetLink"/>
                  <w:rFonts w:ascii="Times New Roman;serif" w:hAnsi="Times New Roman;serif"/>
                  <w:b w:val="false"/>
                  <w:color w:val="0000FF"/>
                  <w:sz w:val="20"/>
                  <w:u w:val="single"/>
                </w:rPr>
                <w:t>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154">
              <w:r>
                <w:rPr>
                  <w:rStyle w:val="InternetLink"/>
                  <w:rFonts w:ascii="Times New Roman;serif" w:hAnsi="Times New Roman;serif"/>
                  <w:b w:val="false"/>
                  <w:strike w:val="false"/>
                  <w:dstrike w:val="false"/>
                  <w:color w:val="000000"/>
                  <w:sz w:val="20"/>
                  <w:u w:val="none"/>
                  <w:effect w:val="none"/>
                </w:rPr>
                <w:t>37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60">
              <w:r>
                <w:rPr>
                  <w:rStyle w:val="InternetLink"/>
                  <w:rFonts w:ascii="Times New Roman;serif" w:hAnsi="Times New Roman;serif"/>
                  <w:b w:val="false"/>
                  <w:strike w:val="false"/>
                  <w:dstrike w:val="false"/>
                  <w:color w:val="000000"/>
                  <w:sz w:val="20"/>
                  <w:u w:val="none"/>
                  <w:effect w:val="none"/>
                </w:rPr>
                <w:t>Item 6.</w:t>
              </w:r>
            </w:hyperlink>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60">
              <w:r>
                <w:rPr>
                  <w:rStyle w:val="InternetLink"/>
                  <w:rFonts w:ascii="Times New Roman;serif" w:hAnsi="Times New Roman;serif"/>
                  <w:b w:val="false"/>
                  <w:color w:val="0000FF"/>
                  <w:sz w:val="20"/>
                  <w:u w:val="single"/>
                </w:rPr>
                <w:t>Exhibits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160">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e17d9b0efc4096bd67d8d2976a25ce_163">
              <w:r>
                <w:rPr>
                  <w:rStyle w:val="InternetLink"/>
                  <w:rFonts w:ascii="Times New Roman;serif" w:hAnsi="Times New Roman;serif"/>
                  <w:b w:val="false"/>
                  <w:color w:val="0000FF"/>
                  <w:sz w:val="20"/>
                  <w:u w:val="single"/>
                </w:rPr>
                <w:t>Signatures</w:t>
              </w:r>
            </w:hyperlink>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e17d9b0efc4096bd67d8d2976a25ce_163">
              <w:r>
                <w:rPr>
                  <w:rStyle w:val="InternetLink"/>
                  <w:rFonts w:ascii="Times New Roman;serif" w:hAnsi="Times New Roman;serif"/>
                  <w:b w:val="false"/>
                  <w:strike w:val="false"/>
                  <w:dstrike w:val="false"/>
                  <w:color w:val="000000"/>
                  <w:sz w:val="20"/>
                  <w:u w:val="none"/>
                  <w:effect w:val="none"/>
                </w:rPr>
                <w:t>39</w:t>
              </w:r>
            </w:hyperlink>
          </w:p>
        </w:tc>
      </w:tr>
    </w:tbl>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this Quarterly Report on Form 10-Q, the terms “we”, “us”, “our”, the “Company” or “Quantum-Si” mean Quantum-Si Incorporated and our subsidiaries. Quantum-Si Incorporated was incorporated in Delaware on June 10, 2020.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99085"/>
                <wp:effectExtent l="0" t="0" r="0" b="0"/>
                <wp:wrapNone/>
                <wp:docPr id="2"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NOTE REGARDING FORWARD-LOOKING STATEMENTS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Quarterly Report on Form 10-Q includes forward-looking statements within the meaning of Section 27A of the Securities Act of 1933, as amended (the “Securities Act”), and Section 21E of the Securities Exchange Act of 1934, as amended (the “Exchange Act”) and subject to the safe harbor created by the Private Securities Litigation Reform Act of 1995,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Actual results may differ from our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our expectations with respect to future performance and development and commercialization of products and services. The forward-looking statements are based on projections prepared by, and are the responsibility of, management and involve significant risks and uncertainties that could cause the actual results to differ materially from those discussed in the forward-looking statements. Many of these factors are outside our control and are difficult to predict. Forward-looking statements contained in this Quarterly Report on Form 10-Q include, but are not limited to, statements about: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Proteus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(“Proteus”), which was originally anticipated to be launched at the end of 2026, is now estimated to be commercially available in the second quarter of 2027. If Proteus is not launched within our updated time frame, or is delivered without the applications and capabilities our customers are seeking, it could materially impact any potential of long-term financial success and our market credibility;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development and launch of new products may slow or delay customer purchasing decisions for existing instruments and/or consumables and the potential adverse impact to revenue in anticipation of superior technology that is pending launch;</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utilize or develop artificial intelligence tools effectively, the effects of artificial intelligence on our business and the industry as a whole;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of international conflicts, pandemics or epidemics on our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of general conditions in the global economy and in the global financial markets, including changes in inflation, interest rates, tariffs, retaliatory trade policies including limitations of shipments of products, and overall economic conditions and uncertainties;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maintaining the listing of our Class A common stock on The Nasdaq Stock Market LLC;</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raise financing in the future;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success, cost and timing of our product development and commercialization activities;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commercialization and adoption of our existing products, including our Platinum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line of instruments and our consumable kits, and the success of any product we may offer in the future;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obtain and maintain regulatory approval for our products, and any related restrictions and limitations of any approved product;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identify, in-license or acquire additional technology;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maintain our existing lease agreements, license agreements, and manufacturing and supply agreements;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ability to compete with other companies currently marketing or engaged in the development or commercialization of products and services that serve customers engaged in proteomic analysis, many of which have greater financial and marketing resources than us;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size and growth potential of the markets for our products and services, and our ability to serve those markets once commercialized, either alone or in partnership with others;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estimates regarding future expenses, future revenue, capital requirements and needs for additional financing;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in Part I, Item 1A, “Risk Factors” of our Annual Report on Form 10-K for the fiscal year ended December 31, 2025, this Quarterly Report on Form 10-Q and in other filings that we make with the Securities and Exchange Commission.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BALANCE SHEETS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par value amounts)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0205" w:type="dxa"/>
        <w:jc w:val="left"/>
        <w:tblInd w:w="0" w:type="dxa"/>
        <w:tblLayout w:type="fixed"/>
        <w:tblCellMar>
          <w:top w:w="28" w:type="dxa"/>
          <w:left w:w="28" w:type="dxa"/>
          <w:bottom w:w="28" w:type="dxa"/>
          <w:right w:w="28" w:type="dxa"/>
        </w:tblCellMar>
      </w:tblPr>
      <w:tblGrid>
        <w:gridCol w:w="2932"/>
        <w:gridCol w:w="2405"/>
        <w:gridCol w:w="2390"/>
        <w:gridCol w:w="196"/>
        <w:gridCol w:w="736"/>
        <w:gridCol w:w="109"/>
        <w:gridCol w:w="109"/>
        <w:gridCol w:w="109"/>
        <w:gridCol w:w="109"/>
        <w:gridCol w:w="199"/>
        <w:gridCol w:w="751"/>
        <w:gridCol w:w="160"/>
      </w:tblGrid>
      <w:tr>
        <w:trPr/>
        <w:tc>
          <w:tcPr>
            <w:tcW w:w="2932"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76"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21,639 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141,271 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Accounts receivable, net of allowance of $270 and $270, respectively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Legal settlement insurance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119,087 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175,860 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52,855 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13,194 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193,575 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245,607 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payroll-related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contracted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legal settlement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6" w:before="0" w:after="30"/>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23,025 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6" w:before="0" w:after="30"/>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25,381 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16)</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600,000,000 shares authorized as of June 30, 2026 and December 31, 2025; 198,946,412 and 196,431,273 shares issued and outstanding as of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27,000,000 shares authorized as of June 30, 2026 and December 31, 2025; 19,937,500 shares issued and outstanding as of June 30, 2026 and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918,190 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(743,185)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(697,980)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FFFFFF" w:val="clear"/>
            <w:tcMar>
              <w:top w:w="0" w:type="dxa"/>
              <w:left w:w="0" w:type="dxa"/>
              <w:bottom w:w="0" w:type="dxa"/>
              <w:right w:w="0" w:type="dxa"/>
            </w:tcMar>
            <w:vAlign w:val="center"/>
          </w:tcPr>
          <w:p>
            <w:pPr>
              <w:pStyle w:val="TableContents"/>
              <w:bidi w:val="0"/>
              <w:spacing w:lineRule="auto" w:line="273" w:before="0" w:after="30"/>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180,201 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220,226 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7" w:type="dxa"/>
            <w:gridSpan w:val="3"/>
            <w:tcBorders/>
            <w:shd w:fill="CCEEFF" w:val="clear"/>
            <w:tcMar>
              <w:top w:w="0" w:type="dxa"/>
              <w:left w:w="0" w:type="dxa"/>
              <w:bottom w:w="0" w:type="dxa"/>
              <w:right w:w="0" w:type="dxa"/>
            </w:tcMar>
            <w:vAlign w:val="center"/>
          </w:tcPr>
          <w:p>
            <w:pPr>
              <w:pStyle w:val="TableContents"/>
              <w:bidi w:val="0"/>
              <w:spacing w:lineRule="auto" w:line="276" w:before="0" w:after="60"/>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193,575 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245,607 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18"/>
          <w:shd w:fill="FFFFFF" w:val="clear"/>
        </w:rPr>
      </w:pPr>
      <w:r>
        <w:rPr>
          <w:rFonts w:ascii="Times New Roman;serif" w:hAnsi="Times New Roman;serif"/>
          <w:b w:val="false"/>
          <w:i/>
          <w:color w:val="000000"/>
          <w:sz w:val="18"/>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OPERATIONS AND COMPREHENSIVE LOSS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per share amounts)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0205" w:type="dxa"/>
        <w:jc w:val="left"/>
        <w:tblInd w:w="0" w:type="dxa"/>
        <w:tblLayout w:type="fixed"/>
        <w:tblCellMar>
          <w:top w:w="28" w:type="dxa"/>
          <w:left w:w="28" w:type="dxa"/>
          <w:bottom w:w="28" w:type="dxa"/>
          <w:right w:w="28" w:type="dxa"/>
        </w:tblCellMar>
      </w:tblPr>
      <w:tblGrid>
        <w:gridCol w:w="2042"/>
        <w:gridCol w:w="1403"/>
        <w:gridCol w:w="1407"/>
        <w:gridCol w:w="211"/>
        <w:gridCol w:w="761"/>
        <w:gridCol w:w="109"/>
        <w:gridCol w:w="109"/>
        <w:gridCol w:w="109"/>
        <w:gridCol w:w="109"/>
        <w:gridCol w:w="211"/>
        <w:gridCol w:w="761"/>
        <w:gridCol w:w="109"/>
        <w:gridCol w:w="109"/>
        <w:gridCol w:w="109"/>
        <w:gridCol w:w="109"/>
        <w:gridCol w:w="211"/>
        <w:gridCol w:w="760"/>
        <w:gridCol w:w="109"/>
        <w:gridCol w:w="109"/>
        <w:gridCol w:w="109"/>
        <w:gridCol w:w="109"/>
        <w:gridCol w:w="211"/>
        <w:gridCol w:w="760"/>
        <w:gridCol w:w="159"/>
      </w:tblGrid>
      <w:tr>
        <w:trPr/>
        <w:tc>
          <w:tcPr>
            <w:tcW w:w="204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expense, net of insurance proceeds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56,069 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(55,232)</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852"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benefit for income taxes</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(47,994)</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(48,025)</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attributable to common stockholders,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loss per share attributable to common stockholders, basic and diluted</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182,968</w:t>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marketable securities, net of tax</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net of tax</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(23,593)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(28,874)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(45,640)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(48,110)</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CONDENSED CONSOLIDATED STATEMENTS OF CHANGES IN STOCKHOLDERS’ EQUITY </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amounts)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1551" w:type="dxa"/>
        <w:jc w:val="center"/>
        <w:tblInd w:w="0" w:type="dxa"/>
        <w:tblLayout w:type="fixed"/>
        <w:tblCellMar>
          <w:top w:w="28" w:type="dxa"/>
          <w:left w:w="28" w:type="dxa"/>
          <w:bottom w:w="28" w:type="dxa"/>
          <w:right w:w="28" w:type="dxa"/>
        </w:tblCellMar>
      </w:tblPr>
      <w:tblGrid>
        <w:gridCol w:w="464"/>
        <w:gridCol w:w="315"/>
        <w:gridCol w:w="317"/>
        <w:gridCol w:w="435"/>
        <w:gridCol w:w="436"/>
        <w:gridCol w:w="338"/>
        <w:gridCol w:w="109"/>
        <w:gridCol w:w="109"/>
        <w:gridCol w:w="109"/>
        <w:gridCol w:w="231"/>
        <w:gridCol w:w="390"/>
        <w:gridCol w:w="130"/>
        <w:gridCol w:w="109"/>
        <w:gridCol w:w="109"/>
        <w:gridCol w:w="109"/>
        <w:gridCol w:w="304"/>
        <w:gridCol w:w="304"/>
        <w:gridCol w:w="308"/>
        <w:gridCol w:w="109"/>
        <w:gridCol w:w="109"/>
        <w:gridCol w:w="109"/>
        <w:gridCol w:w="269"/>
        <w:gridCol w:w="331"/>
        <w:gridCol w:w="151"/>
        <w:gridCol w:w="109"/>
        <w:gridCol w:w="109"/>
        <w:gridCol w:w="109"/>
        <w:gridCol w:w="196"/>
        <w:gridCol w:w="736"/>
        <w:gridCol w:w="109"/>
        <w:gridCol w:w="109"/>
        <w:gridCol w:w="109"/>
        <w:gridCol w:w="109"/>
        <w:gridCol w:w="329"/>
        <w:gridCol w:w="733"/>
        <w:gridCol w:w="184"/>
        <w:gridCol w:w="109"/>
        <w:gridCol w:w="109"/>
        <w:gridCol w:w="109"/>
        <w:gridCol w:w="208"/>
        <w:gridCol w:w="800"/>
        <w:gridCol w:w="118"/>
        <w:gridCol w:w="109"/>
        <w:gridCol w:w="109"/>
        <w:gridCol w:w="109"/>
        <w:gridCol w:w="203"/>
        <w:gridCol w:w="763"/>
        <w:gridCol w:w="160"/>
      </w:tblGrid>
      <w:tr>
        <w:trPr/>
        <w:tc>
          <w:tcPr>
            <w:tcW w:w="46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Class A</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Additional</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paid-in</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Total stockholders’</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equity </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8"/>
              </w:rPr>
            </w:pPr>
            <w:r>
              <w:rPr>
                <w:rFonts w:ascii="Times New Roman;serif" w:hAnsi="Times New Roman;serif"/>
                <w:b/>
                <w:color w:val="010101"/>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8"/>
              </w:rPr>
            </w:pPr>
            <w:r>
              <w:rPr>
                <w:rFonts w:ascii="Times New Roman;serif" w:hAnsi="Times New Roman;serif"/>
                <w:b/>
                <w:color w:val="010101"/>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8"/>
              </w:rPr>
            </w:pPr>
            <w:r>
              <w:rPr>
                <w:rFonts w:ascii="Times New Roman;serif" w:hAnsi="Times New Roman;serif"/>
                <w:b/>
                <w:color w:val="010101"/>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8"/>
              </w:rPr>
            </w:pPr>
            <w:r>
              <w:rPr>
                <w:rFonts w:ascii="Times New Roman;serif" w:hAnsi="Times New Roman;serif"/>
                <w:b/>
                <w:color w:val="010101"/>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10101"/>
                <w:sz w:val="18"/>
              </w:rPr>
            </w:pPr>
            <w:r>
              <w:rPr>
                <w:rFonts w:ascii="Times New Roman;serif" w:hAnsi="Times New Roman;serif"/>
                <w:b/>
                <w:color w:val="010101"/>
                <w:sz w:val="18"/>
              </w:rPr>
              <w:t>Balance - December 31, 2025</w:t>
            </w:r>
          </w:p>
        </w:tc>
        <w:tc>
          <w:tcPr>
            <w:tcW w:w="12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8"/>
              </w:rPr>
            </w:pPr>
            <w:r>
              <w:rPr>
                <w:rFonts w:ascii="Times New Roman;serif" w:hAnsi="Times New Roman;serif"/>
                <w:b w:val="false"/>
                <w:color w:val="010101"/>
                <w:sz w:val="18"/>
              </w:rPr>
              <w:t>196,431,273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8"/>
              </w:rPr>
            </w:pPr>
            <w:r>
              <w:rPr>
                <w:rFonts w:ascii="Times New Roman;serif" w:hAnsi="Times New Roman;serif"/>
                <w:b w:val="false"/>
                <w:color w:val="010101"/>
                <w:sz w:val="18"/>
              </w:rPr>
              <w:t>19,937,500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918,190 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(697,980)</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220,226 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Common stock issued upon vesting of restricted stock units</w:t>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8"/>
              </w:rPr>
            </w:pPr>
            <w:r>
              <w:rPr>
                <w:rFonts w:ascii="Times New Roman;serif" w:hAnsi="Times New Roman;serif"/>
                <w:b w:val="false"/>
                <w:color w:val="010101"/>
                <w:sz w:val="18"/>
              </w:rPr>
              <w:t>787,223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Stock-based compensation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Net unrealized loss on marketable securities, net of tax</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Foreign currency translation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(21,671)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10101"/>
                <w:sz w:val="18"/>
              </w:rPr>
            </w:pPr>
            <w:r>
              <w:rPr>
                <w:rFonts w:ascii="Times New Roman;serif" w:hAnsi="Times New Roman;serif"/>
                <w:b/>
                <w:color w:val="010101"/>
                <w:sz w:val="18"/>
              </w:rPr>
              <w:t>Balance - March 31, 2026</w:t>
            </w:r>
          </w:p>
        </w:tc>
        <w:tc>
          <w:tcPr>
            <w:tcW w:w="12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8"/>
              </w:rPr>
            </w:pPr>
            <w:r>
              <w:rPr>
                <w:rFonts w:ascii="Times New Roman;serif" w:hAnsi="Times New Roman;serif"/>
                <w:b w:val="false"/>
                <w:color w:val="010101"/>
                <w:sz w:val="18"/>
              </w:rPr>
              <w:t>197,218,496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8"/>
              </w:rPr>
            </w:pPr>
            <w:r>
              <w:rPr>
                <w:rFonts w:ascii="Times New Roman;serif" w:hAnsi="Times New Roman;serif"/>
                <w:b w:val="false"/>
                <w:color w:val="010101"/>
                <w:sz w:val="18"/>
              </w:rPr>
              <w:t>19,937,500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8"/>
              </w:rPr>
            </w:pPr>
            <w:r>
              <w:rPr>
                <w:rFonts w:ascii="Times New Roman;serif" w:hAnsi="Times New Roman;serif"/>
                <w:b w:val="false"/>
                <w:color w:val="010101"/>
                <w:sz w:val="18"/>
              </w:rPr>
              <w:t>920,755 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8"/>
              </w:rPr>
            </w:pPr>
            <w:r>
              <w:rPr>
                <w:rFonts w:ascii="Times New Roman;serif" w:hAnsi="Times New Roman;serif"/>
                <w:b w:val="false"/>
                <w:color w:val="010101"/>
                <w:sz w:val="18"/>
              </w:rPr>
              <w:t>(382)</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8"/>
              </w:rPr>
            </w:pPr>
            <w:r>
              <w:rPr>
                <w:rFonts w:ascii="Times New Roman;serif" w:hAnsi="Times New Roman;serif"/>
                <w:b w:val="false"/>
                <w:color w:val="010101"/>
                <w:sz w:val="18"/>
              </w:rPr>
              <w:t>(719,651)</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8"/>
              </w:rPr>
            </w:pPr>
            <w:r>
              <w:rPr>
                <w:rFonts w:ascii="Times New Roman;serif" w:hAnsi="Times New Roman;serif"/>
                <w:b w:val="false"/>
                <w:color w:val="010101"/>
                <w:sz w:val="18"/>
              </w:rPr>
              <w:t>200,744 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Common stock issued upon vesting of restricted stock units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1,727,916 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Stock-based compensation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Net unrealized loss on marketable securities, net of tax</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Foreign currency translation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(23,534)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(23,534)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10101"/>
                <w:sz w:val="18"/>
              </w:rPr>
            </w:pPr>
            <w:r>
              <w:rPr>
                <w:rFonts w:ascii="Times New Roman;serif" w:hAnsi="Times New Roman;serif"/>
                <w:b/>
                <w:color w:val="010101"/>
                <w:sz w:val="18"/>
              </w:rPr>
              <w:t>Balance - June 30, 2026</w:t>
            </w:r>
          </w:p>
        </w:tc>
        <w:tc>
          <w:tcPr>
            <w:tcW w:w="120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8"/>
              </w:rPr>
            </w:pPr>
            <w:r>
              <w:rPr>
                <w:rFonts w:ascii="Times New Roman;serif" w:hAnsi="Times New Roman;serif"/>
                <w:b w:val="false"/>
                <w:color w:val="010101"/>
                <w:sz w:val="18"/>
              </w:rPr>
              <w:t>198,946,412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8"/>
              </w:rPr>
            </w:pPr>
            <w:r>
              <w:rPr>
                <w:rFonts w:ascii="Times New Roman;serif" w:hAnsi="Times New Roman;serif"/>
                <w:b w:val="false"/>
                <w:color w:val="010101"/>
                <w:sz w:val="18"/>
              </w:rPr>
              <w:t>19,937,500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8"/>
              </w:rPr>
            </w:pPr>
            <w:r>
              <w:rPr>
                <w:rFonts w:ascii="Times New Roman;serif" w:hAnsi="Times New Roman;serif"/>
                <w:b w:val="false"/>
                <w:color w:val="010101"/>
                <w:sz w:val="18"/>
              </w:rPr>
              <w:t>923,805 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8"/>
              </w:rPr>
            </w:pPr>
            <w:r>
              <w:rPr>
                <w:rFonts w:ascii="Times New Roman;serif" w:hAnsi="Times New Roman;serif"/>
                <w:b w:val="false"/>
                <w:color w:val="010101"/>
                <w:sz w:val="18"/>
              </w:rPr>
              <w:t>(441)</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8"/>
              </w:rPr>
            </w:pPr>
            <w:r>
              <w:rPr>
                <w:rFonts w:ascii="Times New Roman;serif" w:hAnsi="Times New Roman;serif"/>
                <w:b w:val="false"/>
                <w:color w:val="010101"/>
                <w:sz w:val="18"/>
              </w:rPr>
              <w:t>(743,185)</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10101"/>
                <w:sz w:val="18"/>
              </w:rPr>
            </w:pPr>
            <w:r>
              <w:rPr>
                <w:rFonts w:ascii="Times New Roman;serif" w:hAnsi="Times New Roman;serif"/>
                <w:b w:val="false"/>
                <w:color w:val="010101"/>
                <w:sz w:val="18"/>
              </w:rPr>
              <w:t>180,201 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tbl>
      <w:tblPr>
        <w:tblW w:w="11860" w:type="dxa"/>
        <w:jc w:val="left"/>
        <w:tblInd w:w="0" w:type="dxa"/>
        <w:tblLayout w:type="fixed"/>
        <w:tblCellMar>
          <w:top w:w="28" w:type="dxa"/>
          <w:left w:w="28" w:type="dxa"/>
          <w:bottom w:w="28" w:type="dxa"/>
          <w:right w:w="28" w:type="dxa"/>
        </w:tblCellMar>
      </w:tblPr>
      <w:tblGrid>
        <w:gridCol w:w="464"/>
        <w:gridCol w:w="315"/>
        <w:gridCol w:w="317"/>
        <w:gridCol w:w="525"/>
        <w:gridCol w:w="526"/>
        <w:gridCol w:w="211"/>
        <w:gridCol w:w="109"/>
        <w:gridCol w:w="109"/>
        <w:gridCol w:w="109"/>
        <w:gridCol w:w="231"/>
        <w:gridCol w:w="390"/>
        <w:gridCol w:w="130"/>
        <w:gridCol w:w="109"/>
        <w:gridCol w:w="109"/>
        <w:gridCol w:w="109"/>
        <w:gridCol w:w="480"/>
        <w:gridCol w:w="481"/>
        <w:gridCol w:w="211"/>
        <w:gridCol w:w="109"/>
        <w:gridCol w:w="109"/>
        <w:gridCol w:w="109"/>
        <w:gridCol w:w="269"/>
        <w:gridCol w:w="331"/>
        <w:gridCol w:w="151"/>
        <w:gridCol w:w="109"/>
        <w:gridCol w:w="109"/>
        <w:gridCol w:w="109"/>
        <w:gridCol w:w="196"/>
        <w:gridCol w:w="736"/>
        <w:gridCol w:w="109"/>
        <w:gridCol w:w="109"/>
        <w:gridCol w:w="109"/>
        <w:gridCol w:w="109"/>
        <w:gridCol w:w="375"/>
        <w:gridCol w:w="662"/>
        <w:gridCol w:w="209"/>
        <w:gridCol w:w="109"/>
        <w:gridCol w:w="109"/>
        <w:gridCol w:w="109"/>
        <w:gridCol w:w="208"/>
        <w:gridCol w:w="800"/>
        <w:gridCol w:w="118"/>
        <w:gridCol w:w="109"/>
        <w:gridCol w:w="109"/>
        <w:gridCol w:w="109"/>
        <w:gridCol w:w="203"/>
        <w:gridCol w:w="763"/>
        <w:gridCol w:w="160"/>
      </w:tblGrid>
      <w:tr>
        <w:trPr/>
        <w:tc>
          <w:tcPr>
            <w:tcW w:w="46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Class A</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Additional</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paid-in</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stockholders’</w:t>
            </w:r>
          </w:p>
          <w:p>
            <w:pPr>
              <w:pStyle w:val="TableContents"/>
              <w:bidi w:val="0"/>
              <w:spacing w:lineRule="auto" w:line="276"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 xml:space="preserve">equity </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8"/>
              </w:rPr>
            </w:pPr>
            <w:r>
              <w:rPr>
                <w:rFonts w:ascii="Times New Roman;serif" w:hAnsi="Times New Roman;serif"/>
                <w:b/>
                <w:color w:val="010101"/>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8"/>
              </w:rPr>
            </w:pPr>
            <w:r>
              <w:rPr>
                <w:rFonts w:ascii="Times New Roman;serif" w:hAnsi="Times New Roman;serif"/>
                <w:b/>
                <w:color w:val="010101"/>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8"/>
              </w:rPr>
            </w:pPr>
            <w:r>
              <w:rPr>
                <w:rFonts w:ascii="Times New Roman;serif" w:hAnsi="Times New Roman;serif"/>
                <w:b/>
                <w:color w:val="010101"/>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10101"/>
                <w:sz w:val="18"/>
              </w:rPr>
            </w:pPr>
            <w:r>
              <w:rPr>
                <w:rFonts w:ascii="Times New Roman;serif" w:hAnsi="Times New Roman;serif"/>
                <w:b/>
                <w:color w:val="010101"/>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10101"/>
                <w:sz w:val="18"/>
              </w:rPr>
            </w:pPr>
            <w:r>
              <w:rPr>
                <w:rFonts w:ascii="Times New Roman;serif" w:hAnsi="Times New Roman;serif"/>
                <w:b/>
                <w:color w:val="010101"/>
                <w:sz w:val="18"/>
              </w:rPr>
              <w:t>Balance - December 31, 2024</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146,953,271 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19,937,500 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811,998 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(596,641)</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215,420 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Common stock issued upon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623,834 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Common stock issued upon vesting of restricted stock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358,511 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Common stock issued from direct equity offering, net of fees and issuance costs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15,625,000 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46,774 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Net unrealized loss on marketable securities,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Foreign currency translation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(19,189)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(19,189)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10101"/>
                <w:sz w:val="18"/>
              </w:rPr>
            </w:pPr>
            <w:r>
              <w:rPr>
                <w:rFonts w:ascii="Times New Roman;serif" w:hAnsi="Times New Roman;serif"/>
                <w:b/>
                <w:color w:val="010101"/>
                <w:sz w:val="18"/>
              </w:rPr>
              <w:t>Balance - March 31, 2025</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163,560,616 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19,937,500 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862,734 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(615,830)</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246,920 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Common stock issued upon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24,583 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Common stock issued upon vesting of restricted stock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772,335 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Net unrealized loss on marketable securities,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Foreign currency translation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10101"/>
                <w:sz w:val="18"/>
              </w:rPr>
            </w:pPr>
            <w:r>
              <w:rPr>
                <w:rFonts w:ascii="Times New Roman;serif" w:hAnsi="Times New Roman;serif"/>
                <w:b w:val="false"/>
                <w:color w:val="010101"/>
                <w:sz w:val="18"/>
              </w:rPr>
              <w:t>Net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(28,836)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(28,836)</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10101"/>
                <w:sz w:val="18"/>
              </w:rPr>
            </w:pPr>
            <w:r>
              <w:rPr>
                <w:rFonts w:ascii="Times New Roman;serif" w:hAnsi="Times New Roman;serif"/>
                <w:b/>
                <w:color w:val="010101"/>
                <w:sz w:val="18"/>
              </w:rPr>
              <w:t>Balance - June 30, 2025</w:t>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164,357,534 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19,937,500 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865,671 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(644,666)</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220,983 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2770"/>
        <w:gridCol w:w="2416"/>
        <w:gridCol w:w="2423"/>
        <w:gridCol w:w="211"/>
        <w:gridCol w:w="791"/>
        <w:gridCol w:w="109"/>
        <w:gridCol w:w="109"/>
        <w:gridCol w:w="109"/>
        <w:gridCol w:w="109"/>
        <w:gridCol w:w="211"/>
        <w:gridCol w:w="791"/>
        <w:gridCol w:w="156"/>
      </w:tblGrid>
      <w:tr>
        <w:trPr/>
        <w:tc>
          <w:tcPr>
            <w:tcW w:w="2770"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marketable securities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fixed assets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Write-down of inventory</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insurance receivable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legal settlement liability </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(46,351)</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security deposit paid</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(191,605)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(29,139)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from direct equity offerings, net of fees and issuance costs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48,415 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(27,053)</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49,241 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22,188 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tbl>
      <w:tblPr>
        <w:tblW w:w="10205" w:type="dxa"/>
        <w:jc w:val="center"/>
        <w:tblInd w:w="0" w:type="dxa"/>
        <w:tblLayout w:type="fixed"/>
        <w:tblCellMar>
          <w:top w:w="28" w:type="dxa"/>
          <w:left w:w="28" w:type="dxa"/>
          <w:bottom w:w="28" w:type="dxa"/>
          <w:right w:w="28" w:type="dxa"/>
        </w:tblCellMar>
      </w:tblPr>
      <w:tblGrid>
        <w:gridCol w:w="2748"/>
        <w:gridCol w:w="2417"/>
        <w:gridCol w:w="2428"/>
        <w:gridCol w:w="211"/>
        <w:gridCol w:w="721"/>
        <w:gridCol w:w="109"/>
        <w:gridCol w:w="109"/>
        <w:gridCol w:w="109"/>
        <w:gridCol w:w="109"/>
        <w:gridCol w:w="211"/>
        <w:gridCol w:w="721"/>
        <w:gridCol w:w="312"/>
      </w:tblGrid>
      <w:tr>
        <w:trPr/>
        <w:tc>
          <w:tcPr>
            <w:tcW w:w="2748"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76"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Reconciliation of cash, cash equivalents and restricted cash to the Condensed Consolidated Balance Sheets: </w:t>
            </w:r>
          </w:p>
        </w:tc>
        <w:tc>
          <w:tcPr>
            <w:tcW w:w="104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22,188 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22,188 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purchased but not paid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from inventory to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QUANTUM-SI INCORPORATED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 Description of Business and Basis of Presentation</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Background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Quantum-Si Incorporated (including its subsidiaries, the “Company” or “Quantum-Si”) was incorporated in Delaware on June 10, 2020 as HighCape Capital Acquisition Corp. (“HighCape”). The Company’s legal name became Quantum-Si Incorporated following a business combination on June 10, 2021 between the Company and Q-SI Operations Inc. (formerly Quantum-Si Incorporated) (the “Business Combination”), which was founded in 2013.</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Quantum-Si is a life sciences company focused on proteomics research, with the mission of transforming single-molecule analysis and democratizing its use by providing researchers and clinicians access to the proteome, the set of proteins expressed within a cell through single-molecule sequencing. The Company has developed a proprietary, universal, single-molecule detection platform that is applied to proteomics to enable single-molecule protein sequencing to sequence proteins in a massively parallel fashion (rather than sequentially, one at a time), which can also be used for the study of nucleic acids. The Company believes in the ability to sequence proteins in a massively parallel fashion and the ability to offer a fast analysis time has the potential to unlock significant biological information through improved resolution and unbiased access to the proteome at a speed and scale not available today. Traditionally, proteomic workflows to sequence proteins required days or weeks to complete. The current platform includes the Platinum</w:t>
      </w:r>
      <w:r>
        <w:rPr>
          <w:rFonts w:ascii="Times New Roman;serif" w:hAnsi="Times New Roman;serif"/>
          <w:b w:val="false"/>
          <w:color w:val="000000"/>
          <w:sz w:val="13"/>
        </w:rPr>
        <w:t>®</w:t>
      </w:r>
      <w:r>
        <w:rPr>
          <w:color w:val="000000"/>
          <w:shd w:fill="FFFFFF" w:val="clear"/>
        </w:rPr>
        <w:t xml:space="preserve"> </w:t>
      </w:r>
      <w:r>
        <w:rPr>
          <w:rFonts w:ascii="Times New Roman;serif" w:hAnsi="Times New Roman;serif"/>
          <w:b w:val="false"/>
          <w:color w:val="000000"/>
          <w:sz w:val="20"/>
          <w:shd w:fill="FFFFFF" w:val="clear"/>
        </w:rPr>
        <w:t>single-molecule protein sequencing line of instruments, Platinum Analysis Software and consumable kits for use with the Platinum line of instruments.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development of Proteus</w:t>
      </w:r>
      <w:r>
        <w:rPr>
          <w:rFonts w:ascii="Times New Roman;serif" w:hAnsi="Times New Roman;serif"/>
          <w:b w:val="false"/>
          <w:color w:val="000000"/>
          <w:sz w:val="13"/>
        </w:rPr>
        <w:t>TM</w:t>
      </w:r>
      <w:r>
        <w:rPr>
          <w:rFonts w:ascii="Times New Roman;serif" w:hAnsi="Times New Roman;serif"/>
          <w:b w:val="false"/>
          <w:color w:val="000000"/>
          <w:sz w:val="20"/>
        </w:rPr>
        <w:t>, the Company</w:t>
      </w:r>
      <w:r>
        <w:rPr>
          <w:color w:val="000000"/>
          <w:shd w:fill="FFFFFF" w:val="clear"/>
        </w:rPr>
        <w:t>’</w:t>
      </w:r>
      <w:r>
        <w:rPr>
          <w:rFonts w:ascii="Times New Roman;serif" w:hAnsi="Times New Roman;serif"/>
          <w:b w:val="false"/>
          <w:color w:val="000000"/>
          <w:sz w:val="20"/>
        </w:rPr>
        <w:t>s next-generation platform, was announced in November 2024 and is estimated to be launched in the second quarter of 2027</w:t>
      </w:r>
      <w:r>
        <w:rPr>
          <w:rFonts w:ascii="Times New Roman;serif" w:hAnsi="Times New Roman;serif"/>
          <w:b w:val="false"/>
          <w:color w:val="000000"/>
          <w:sz w:val="24"/>
        </w:rPr>
        <w:t xml:space="preserve">. </w:t>
      </w:r>
      <w:r>
        <w:rPr>
          <w:rFonts w:ascii="Times New Roman;serif" w:hAnsi="Times New Roman;serif"/>
          <w:b w:val="false"/>
          <w:color w:val="000000"/>
          <w:sz w:val="20"/>
        </w:rPr>
        <w:t xml:space="preserve">Proteus aims to provide single-molecule, amino acid level resolution while also providing anticipated significantly higher sequencing output per sample and increased sample throughput per run, automation of the sequencing workflow and automated data analysis as compared to Platinum Pro. The platform is being developed to be a modular, scalable system that allows for expansion in the overall platform, the number of consumables that can be processed concurrently and the overall output of sample data from the platform. The first generation of Proteus and associated sequencing consumables is anticipated to include motion control, liquid handling, and a new on-board single optical system with the ability to accept a new consumable chip that has approximately 80 million features. This new platform is expected to provide much deeper insights, while simplifying and significantly reducing the cost of the underlying consumable, with a wide range of proteomics applications that are addressable with our proprietary, single-molecule, kinetic detection technology.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Liquidity and Capital Resources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Company has historically financed its operations primarily with proceeds from the issuance of equity to private investors, as well as with the proceeds received from the closing of the Business Combination. The Company has incurred significant losses and negative cash flows from operations in all periods since inception and had an accumulated deficit of </w:t>
      </w:r>
      <w:r>
        <w:rPr>
          <w:rFonts w:ascii="Times New Roman;serif" w:hAnsi="Times New Roman;serif"/>
          <w:b w:val="false"/>
          <w:color w:val="000000"/>
          <w:sz w:val="20"/>
        </w:rPr>
        <w:t>$743.2 million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 xml:space="preserve">June 30, 2026. The Company </w:t>
      </w:r>
      <w:r>
        <w:rPr>
          <w:rFonts w:ascii="Times New Roman;serif" w:hAnsi="Times New Roman;serif"/>
          <w:b w:val="false"/>
          <w:color w:val="000000"/>
          <w:sz w:val="20"/>
          <w:shd w:fill="FFFFFF" w:val="clear"/>
        </w:rPr>
        <w:t xml:space="preserve">has incurred significant operating losses, including net losses of </w:t>
      </w:r>
      <w:r>
        <w:rPr>
          <w:rFonts w:ascii="Times New Roman;serif" w:hAnsi="Times New Roman;serif"/>
          <w:b w:val="false"/>
          <w:color w:val="000000"/>
          <w:sz w:val="20"/>
        </w:rPr>
        <w:t>$45.2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$48.0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respectively.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Company ha</w:t>
      </w:r>
      <w:r>
        <w:rPr>
          <w:rFonts w:ascii="Times New Roman;serif" w:hAnsi="Times New Roman;serif"/>
          <w:b w:val="false"/>
          <w:color w:val="000000"/>
          <w:sz w:val="20"/>
        </w:rPr>
        <w:t>d cash, cash equivalents and investments in marketable securities of $169.9 million. Management believes the Company’s cash, cash equivalents and marketable securities, together with revenue from the sales of its products and services, will be suffic</w:t>
      </w:r>
      <w:r>
        <w:rPr>
          <w:rFonts w:ascii="Times New Roman;serif" w:hAnsi="Times New Roman;serif"/>
          <w:b w:val="false"/>
          <w:color w:val="000000"/>
          <w:sz w:val="20"/>
          <w:shd w:fill="FFFFFF" w:val="clear"/>
        </w:rPr>
        <w:t>ient to fund its planned operations for at least the next twelve months from the date of the issuance of the accompanying unaudited Condensed Consolidated Financial Statements.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Until such time as the Company can generate significant revenue from product sales, if ever, it expects to finance its operations through private and public equity offerings, debt financings, and/or potential future collaboration, license and development agreements. However, there can be no assurance the Company will be able to complete any such transactions on acceptable terms or otherwise, and the Company may be unable to obtain sufficient additional capital when needed.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Global Developments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the U.S. Federal Reserve lowered interest rates slightly in the third and fourth quarters of 2025, it is not known whether additional action will be taken to lower interest rates and if this decrease, and any other increase or decrease, will have an impact on inflation. While these rate fluctuations have not had a significant adverse impact on the Company to date, the impact of such rate fluctuations on the overall financial markets and the economy may adversely impact the Company in the future. In addition, the global economy has experienced and may experience high levels of inflation and global supply chain disruptions. The Company continues to monitor these supply chain, inflation and interest rate factors, as well as the uncertainty resulting from the overall economic environment.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date, the Company has not been materially affected by enacted tariffs either by the U.S. government or foreign retaliatory tariffs; however, the Company’s finished goods and/or their components could become materially affected by changing tariffs in the future. If increased tariffs are imposed on the Company’s finished goods and/or components, they may impact the business, financial condition, results of operations and cash flows.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the Company has not been significantly impacted by geopolitical conflicts throughout the world, the Company has experienced certain constraints in product and material availability and increasing costs required to obtain certain materials and supplies as a result of these conflicts on the global economy. To date, the business has not been materially impacted by these conflicts, however, as the conflicts continue or worsen, they may impact the business, financial condition, results of operations and cash flows.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Basis of Presentation and Principles of Consolidation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accompanying unaudited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All intercompany transactions are eliminated.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should be read in conjunction with the audited Consolidated Financial Statements and the notes thereto included in the Company’s Annual Report on Form 10-K for the year ended December 31, 2025. The Condensed Consolidated Balance Sheet as of December 31, 2025 included herein was derived from the audited Consolidated Financial Statements as of that date, but does not include all disclosures, including certain notes required by U.S. GAAP, on an annual reporting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Condensed Consolidated Financial Statements reflect all normal recurring adjustments necessary to fairly state the financial position, results of operations, and cash flows for the interim periods. The results for the three and six months ended June 30, 2026 are not necessarily indicative of the results to be expected for any subsequent quarter, the year ending December 31, 2026, or any other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as described in the Company’s Annual Report on Form 10-K for the year ended December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prior year amounts have been reclassified for consistency with the current year’s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2. Summary of Significant Accounting Policies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the Company’s Significant Accounting Policies, please refer to its Annual Report on Form 10-K for the fiscal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Any reference in these notes to applicable guidance is meant to refer to the authoritative U.S. GAAP as found in the Accounting Standards Codification and Accounting Standards Update (“ASU”) of the Financial Accounting Standards Board (“FASB”).</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Use of Estimates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preparation of the unaudited Condensed Consolidated Financial Statements in conformity with U.S. GAAP requires the Company to make estimates and assumptions about future events that may affect the amounts recorded in its unaudited Condensed Consolidated Financial Statements and accompanying notes. Future events and their effects cannot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determined with certainty. On an ongoing basis, management evaluates these estimates and assumptions. Significant estimates and assumptions include:</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inventory valuation;</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assumptions used for leases;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valuation of warrant liabilities;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valuation allowances with respect to deferred tax assets;</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assumptions associated with revenue recognition; and</w:t>
      </w:r>
    </w:p>
    <w:p>
      <w:pPr>
        <w:pStyle w:val="TextBody"/>
        <w:bidi w:val="0"/>
        <w:spacing w:lineRule="auto" w:line="288" w:before="6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assumptions underlying the fair value used in the calculation of stock-based compensation.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bases these estimates on historical and anticipated results and trends and on various other assumptions the Company believes are reasonable under the circumstances, including assumptions as to future events. Changes in estimates are recorded in the period in which they become known. Actual results could differ from those estimates, and any such differences may be material to the unaudited Condensed Consolidated Financial Statements.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Restricted Cash</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Restricted cash consists of deposits and other cash balances that are restricted as to withdrawal or use under the terms of certain contractual arrangements.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restricted cash primarily consisted of </w:t>
      </w:r>
      <w:r>
        <w:rPr>
          <w:rFonts w:ascii="Times New Roman;serif" w:hAnsi="Times New Roman;serif"/>
          <w:b w:val="false"/>
          <w:color w:val="000000"/>
          <w:sz w:val="20"/>
        </w:rPr>
        <w:t>$2.1 million</w:t>
      </w:r>
      <w:r>
        <w:rPr>
          <w:color w:val="000000"/>
          <w:shd w:fill="FFFFFF" w:val="clear"/>
        </w:rPr>
        <w:t xml:space="preserve"> </w:t>
      </w:r>
      <w:r>
        <w:rPr>
          <w:rFonts w:ascii="Times New Roman;serif" w:hAnsi="Times New Roman;serif"/>
          <w:b w:val="false"/>
          <w:color w:val="000000"/>
          <w:sz w:val="20"/>
          <w:shd w:fill="FFFFFF" w:val="clear"/>
        </w:rPr>
        <w:t xml:space="preserve">in the form of a letter of credit held for the benefit of a landlord in connection with a non-cancelable lease, which is recorded within Restricted cash, non-current, on the Condensed Consolidated Balance Sheets. There was no such amount as of December 31, 2025. For further information regarding restricted cash, please refer to </w:t>
      </w:r>
      <w:hyperlink w:anchor="ie8e17d9b0efc4096bd67d8d2976a25ce_52">
        <w:r>
          <w:rPr>
            <w:rStyle w:val="InternetLink"/>
          </w:rPr>
          <w:t xml:space="preserve">Note </w:t>
        </w:r>
      </w:hyperlink>
      <w:hyperlink w:anchor="ie8e17d9b0efc4096bd67d8d2976a25ce_52">
        <w:r>
          <w:rPr>
            <w:rStyle w:val="InternetLink"/>
          </w:rPr>
          <w:t>7</w:t>
        </w:r>
      </w:hyperlink>
      <w:hyperlink w:anchor="ie8e17d9b0efc4096bd67d8d2976a25ce_52">
        <w:r>
          <w:rPr>
            <w:rStyle w:val="InternetLink"/>
          </w:rPr>
          <w:t xml:space="preserve">. </w:t>
        </w:r>
      </w:hyperlink>
      <w:hyperlink w:anchor="ie8e17d9b0efc4096bd67d8d2976a25ce_52">
        <w:r>
          <w:rPr>
            <w:rStyle w:val="InternetLink"/>
          </w:rPr>
          <w:t>Leases</w:t>
        </w:r>
      </w:hyperlink>
      <w:r>
        <w:rPr>
          <w:rFonts w:ascii="Times New Roman;serif" w:hAnsi="Times New Roman;serif"/>
          <w:b w:val="false"/>
          <w:color w:val="000000"/>
          <w:sz w:val="20"/>
          <w:shd w:fill="FFFFFF" w:val="clear"/>
        </w:rPr>
        <w:t>.</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Issued Accounting Pronouncements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July 2025, the FASB issued ASU 2025-05, Financial Instruments - Credit Losses (Topic 326): Measurement of Credit Losses for Accounts Receivable and Contract Assets. This standard provides entities with a practical expedient when calculating current expected credit loss by assuming the current conditions as of the balance sheet date will not change for the remaining life of the asset. The ASU is effective for fiscal years beginning after December 15, 2025 and interim periods within those annual periods, with early adoption permitted. The ASU is to be applied on a prospective basis. The Company adopted ASU 2025-05 effective January 1, 2026. The adoption of ASU 2025-05 did not have a material impact to the Consolidated Financial Statements and disclosures.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No. 2024-03, Disaggregation of Income Statement Expenses (“DISE”), which requires additional disclosure of the nature of expenses included in the income statement. The ASU requires disclosures about specific types of expenses included in the expense captions presented on the face of the income statement as well as disclosures about selling expenses. The amendments in this update are effective for annual reporting periods beginning after December 15, 2026 and interim reporting periods beginning after December 15, 2027, with early adoption permitted. The ASU is required to be applied prospectively with the option for retrospective application. The Company is currently evaluating the impact ASU 2024-03 may have on its Consolidated Financial Statements and disclosures.</w:t>
      </w:r>
    </w:p>
    <w:p>
      <w:pPr>
        <w:pStyle w:val="TextBody"/>
        <w:bidi w:val="0"/>
        <w:spacing w:lineRule="auto" w:line="288" w:before="240" w:after="283"/>
        <w:jc w:val="both"/>
        <w:rPr/>
      </w:pPr>
      <w:r>
        <w:rPr>
          <w:rFonts w:ascii="Times New Roman;serif" w:hAnsi="Times New Roman;serif"/>
          <w:b w:val="false"/>
          <w:color w:val="000000"/>
          <w:sz w:val="20"/>
          <w:shd w:fill="FFFFFF" w:val="clear"/>
        </w:rPr>
        <w:t>There are no additional ASUs issued and not yet adopted that are expected to have a material impact on the Company</w:t>
      </w:r>
      <w:r>
        <w:rPr>
          <w:color w:val="000000"/>
        </w:rPr>
        <w:t>’</w:t>
      </w:r>
      <w:r>
        <w:rPr>
          <w:rFonts w:ascii="Times New Roman;serif" w:hAnsi="Times New Roman;serif"/>
          <w:b w:val="false"/>
          <w:color w:val="000000"/>
          <w:sz w:val="20"/>
          <w:shd w:fill="FFFFFF" w:val="clear"/>
        </w:rPr>
        <w:t>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Investments in Marketable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investments in marketable securities were determined to be available-for-sale securities, carried at fair value, with the unrealized holding gains/(losses), net of income taxes, reflected in accumulated other comprehensive income/(loss) until realized.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available-for-sale securities recorded within Marketable securities, current and non-current, on the Condensed Consolidated Balance Sheets as of June 30, 2026 and December 31,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tbl>
      <w:tblPr>
        <w:tblW w:w="9373" w:type="dxa"/>
        <w:jc w:val="left"/>
        <w:tblInd w:w="0" w:type="dxa"/>
        <w:tblLayout w:type="fixed"/>
        <w:tblCellMar>
          <w:top w:w="28" w:type="dxa"/>
          <w:left w:w="28" w:type="dxa"/>
          <w:bottom w:w="28" w:type="dxa"/>
          <w:right w:w="28" w:type="dxa"/>
        </w:tblCellMar>
      </w:tblPr>
      <w:tblGrid>
        <w:gridCol w:w="1281"/>
        <w:gridCol w:w="1126"/>
        <w:gridCol w:w="1133"/>
        <w:gridCol w:w="211"/>
        <w:gridCol w:w="826"/>
        <w:gridCol w:w="109"/>
        <w:gridCol w:w="109"/>
        <w:gridCol w:w="109"/>
        <w:gridCol w:w="109"/>
        <w:gridCol w:w="109"/>
        <w:gridCol w:w="109"/>
        <w:gridCol w:w="689"/>
        <w:gridCol w:w="1576"/>
        <w:gridCol w:w="359"/>
        <w:gridCol w:w="109"/>
        <w:gridCol w:w="109"/>
        <w:gridCol w:w="109"/>
        <w:gridCol w:w="211"/>
        <w:gridCol w:w="82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518" w:type="dxa"/>
            <w:gridSpan w:val="6"/>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Net Unrealized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short-term marketable securities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88,088 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marketable securities: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long-term marketable securities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146,546 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146,210 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74" w:type="dxa"/>
        <w:jc w:val="left"/>
        <w:tblInd w:w="0" w:type="dxa"/>
        <w:tblLayout w:type="fixed"/>
        <w:tblCellMar>
          <w:top w:w="28" w:type="dxa"/>
          <w:left w:w="28" w:type="dxa"/>
          <w:bottom w:w="28" w:type="dxa"/>
          <w:right w:w="28" w:type="dxa"/>
        </w:tblCellMar>
      </w:tblPr>
      <w:tblGrid>
        <w:gridCol w:w="1281"/>
        <w:gridCol w:w="1126"/>
        <w:gridCol w:w="1133"/>
        <w:gridCol w:w="211"/>
        <w:gridCol w:w="826"/>
        <w:gridCol w:w="109"/>
        <w:gridCol w:w="109"/>
        <w:gridCol w:w="109"/>
        <w:gridCol w:w="109"/>
        <w:gridCol w:w="109"/>
        <w:gridCol w:w="109"/>
        <w:gridCol w:w="811"/>
        <w:gridCol w:w="1391"/>
        <w:gridCol w:w="423"/>
        <w:gridCol w:w="109"/>
        <w:gridCol w:w="109"/>
        <w:gridCol w:w="109"/>
        <w:gridCol w:w="211"/>
        <w:gridCol w:w="82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18" w:type="dxa"/>
            <w:gridSpan w:val="6"/>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Net Unrealized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short-term marketable securities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 government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long-term marketable securities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4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available-for-sale securities included within Marketable securities, current and non-current, on the Condensed Consolidated Balance Sheets as of June 30, 2026 and December 31, 2025, by remaining contractual maturity,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tbl>
      <w:tblPr>
        <w:tblW w:w="7415" w:type="dxa"/>
        <w:jc w:val="left"/>
        <w:tblInd w:w="0" w:type="dxa"/>
        <w:tblLayout w:type="fixed"/>
        <w:tblCellMar>
          <w:top w:w="28" w:type="dxa"/>
          <w:left w:w="28" w:type="dxa"/>
          <w:bottom w:w="28" w:type="dxa"/>
          <w:right w:w="28" w:type="dxa"/>
        </w:tblCellMar>
      </w:tblPr>
      <w:tblGrid>
        <w:gridCol w:w="1183"/>
        <w:gridCol w:w="1040"/>
        <w:gridCol w:w="1047"/>
        <w:gridCol w:w="211"/>
        <w:gridCol w:w="721"/>
        <w:gridCol w:w="109"/>
        <w:gridCol w:w="109"/>
        <w:gridCol w:w="109"/>
        <w:gridCol w:w="109"/>
        <w:gridCol w:w="211"/>
        <w:gridCol w:w="721"/>
        <w:gridCol w:w="109"/>
        <w:gridCol w:w="109"/>
        <w:gridCol w:w="109"/>
        <w:gridCol w:w="109"/>
        <w:gridCol w:w="109"/>
        <w:gridCol w:w="109"/>
        <w:gridCol w:w="211"/>
        <w:gridCol w:w="826"/>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300" w:type="dxa"/>
            <w:gridSpan w:val="4"/>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w:t>
              <w:br/>
              <w:t>One Year</w:t>
              <w:br/>
              <w:t>Through</w:t>
              <w:br/>
              <w:t>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marketable securities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88,088 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Total long-term marketable securities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146,210 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90" w:type="dxa"/>
        <w:jc w:val="left"/>
        <w:tblInd w:w="0" w:type="dxa"/>
        <w:tblLayout w:type="fixed"/>
        <w:tblCellMar>
          <w:top w:w="28" w:type="dxa"/>
          <w:left w:w="28" w:type="dxa"/>
          <w:bottom w:w="28" w:type="dxa"/>
          <w:right w:w="28" w:type="dxa"/>
        </w:tblCellMar>
      </w:tblPr>
      <w:tblGrid>
        <w:gridCol w:w="1281"/>
        <w:gridCol w:w="1126"/>
        <w:gridCol w:w="1133"/>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300" w:type="dxa"/>
            <w:gridSpan w:val="4"/>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w:t>
              <w:br/>
              <w:t>One Year</w:t>
              <w:br/>
              <w:t>Through</w:t>
              <w:br/>
              <w:t>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short-term marketable securities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141,271 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141,271 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 government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long-term marketable securities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141,271 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194,126 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Fair Value of Financial Instruments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shd w:fill="FFFFFF" w:val="clear"/>
        </w:rPr>
        <w:t>Level 1:</w:t>
      </w:r>
      <w:r>
        <w:rPr>
          <w:color w:val="000000"/>
          <w:shd w:fill="FFFFFF" w:val="clear"/>
        </w:rPr>
        <w:t xml:space="preserve"> </w:t>
      </w:r>
      <w:r>
        <w:rPr>
          <w:rFonts w:ascii="Times New Roman;serif" w:hAnsi="Times New Roman;serif"/>
          <w:b w:val="false"/>
          <w:color w:val="000000"/>
          <w:sz w:val="20"/>
          <w:shd w:fill="FFFFFF" w:val="clear"/>
        </w:rPr>
        <w:t>Valuations based on quoted prices in active markets for identical assets or liabilities that an entity has the ability to access.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shd w:fill="FFFFFF" w:val="clear"/>
        </w:rPr>
        <w:t>Level 2:</w:t>
      </w:r>
      <w:r>
        <w:rPr>
          <w:color w:val="000000"/>
          <w:shd w:fill="FFFFFF" w:val="clear"/>
        </w:rPr>
        <w:t xml:space="preserve"> </w:t>
      </w:r>
      <w:r>
        <w:rPr>
          <w:rFonts w:ascii="Times New Roman;serif" w:hAnsi="Times New Roman;serif"/>
          <w:b w:val="false"/>
          <w:color w:val="000000"/>
          <w:sz w:val="20"/>
          <w:shd w:fill="FFFFFF" w:val="clear"/>
        </w:rPr>
        <w:t>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shd w:fill="FFFFFF" w:val="clear"/>
        </w:rPr>
        <w:t>Level 3:</w:t>
      </w:r>
      <w:r>
        <w:rPr>
          <w:color w:val="000000"/>
          <w:shd w:fill="FFFFFF" w:val="clear"/>
        </w:rPr>
        <w:t xml:space="preserve"> </w:t>
      </w:r>
      <w:r>
        <w:rPr>
          <w:rFonts w:ascii="Times New Roman;serif" w:hAnsi="Times New Roman;serif"/>
          <w:b w:val="false"/>
          <w:color w:val="000000"/>
          <w:sz w:val="20"/>
          <w:shd w:fill="FFFFFF" w:val="clear"/>
        </w:rPr>
        <w:t>Valuations based on inputs that are supported by little or no market activity and that are significant to the fair value of the assets or liabilities.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carrying value of cash and cash equivalents, restricted cash, accounts payable and accrued expenses and other current liabilities approximates their fair values due to the short-term or on-demand nature of these instruments.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Company’s investment portfolio included available-for-sale securities which were comprised of money market funds, U.S. Treasury bills, U.S. government agency bonds, high-quality corporate bonds and commercial paper. The Company has U.S. Treasury bills, U.S. government agency bonds, corporate bonds and commercial paper that are classified as Level 2 due to the fair value for these instruments being determined by utilizing observable inputs in similar assets or identical assets in non-active markets.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Warrants are recorded as Warrant liabilities on the Condensed Consolidated Balance Sheets. The warrant liabilities were measured at fair value at inception and on a recurring basis, with changes in fair value presented as Change in fair value of warrant liabilities in the Condensed Consolidated Statements of Operations and Comprehensive Loss.</w:t>
      </w:r>
    </w:p>
    <w:p>
      <w:pPr>
        <w:pStyle w:val="TextBody"/>
        <w:bidi w:val="0"/>
        <w:spacing w:lineRule="auto" w:line="288" w:before="240" w:after="283"/>
        <w:jc w:val="both"/>
        <w:rPr/>
      </w:pPr>
      <w:r>
        <w:rPr>
          <w:rFonts w:ascii="Times New Roman;serif" w:hAnsi="Times New Roman;serif"/>
          <w:b w:val="false"/>
          <w:color w:val="000000"/>
          <w:sz w:val="20"/>
          <w:shd w:fill="FFFFFF" w:val="clear"/>
        </w:rPr>
        <w:t>The Company issued registered warrants (the “Public Warrants”) in connection with the initial public offering of HighCape and as well as private placement warrants (the “Private Warrants”)</w:t>
      </w:r>
      <w:r>
        <w:rPr>
          <w:rFonts w:ascii="Times New Roman;serif" w:hAnsi="Times New Roman;serif"/>
          <w:b w:val="false"/>
          <w:color w:val="000000"/>
          <w:sz w:val="20"/>
        </w:rPr>
        <w:t>. The Public Warrants and Private Warrants were measured at fair value as of June 10, 2026 (the “Warrant Expiration Date”) and December 31, 2025. Prior to the Warrant Expiration Date, the Public Warrants wer</w:t>
      </w:r>
      <w:r>
        <w:rPr>
          <w:rFonts w:ascii="Times New Roman;serif" w:hAnsi="Times New Roman;serif"/>
          <w:b w:val="false"/>
          <w:color w:val="000000"/>
          <w:sz w:val="20"/>
          <w:shd w:fill="FFFFFF" w:val="clear"/>
        </w:rPr>
        <w:t xml:space="preserve">e valued using Level 1 inputs as they were traded in an active market. The Private Warrants were valued using a binomial lattice model.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significant assumptions used in preparing the binomial lattice model for valuing the Private Warrants liability include (i) volatility of 263.6%, (ii) risk-free interest rate of 3.6%, (iii) strike price of $11.50, (iv) fair value of Class A common stock of $1.10, and (v) expected life of 0.4 years.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There were no exercises or redemptions of the Public Warrants or Private Warrants during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288" w:before="240" w:after="283"/>
        <w:jc w:val="both"/>
        <w:rPr/>
      </w:pPr>
      <w:r>
        <w:rPr>
          <w:rFonts w:ascii="Times New Roman;serif" w:hAnsi="Times New Roman;serif"/>
          <w:b w:val="false"/>
          <w:color w:val="000000"/>
          <w:sz w:val="20"/>
          <w:shd w:fill="FFFFFF" w:val="clear"/>
        </w:rPr>
        <w:t>The following tables summarize the Company’s financial assets and liabilities o</w:t>
      </w:r>
      <w:r>
        <w:rPr>
          <w:rFonts w:ascii="Times New Roman;serif" w:hAnsi="Times New Roman;serif"/>
          <w:b w:val="false"/>
          <w:color w:val="000000"/>
          <w:sz w:val="20"/>
        </w:rPr>
        <w:t>n the Condensed Consolidated Balance Sheets as of June 30, 2026 and December 31, 2025,</w:t>
      </w:r>
      <w:r>
        <w:rPr>
          <w:color w:val="000000"/>
          <w:shd w:fill="FFFFFF" w:val="clear"/>
        </w:rPr>
        <w:t xml:space="preserve"> </w:t>
      </w:r>
      <w:r>
        <w:rPr>
          <w:rFonts w:ascii="Times New Roman;serif" w:hAnsi="Times New Roman;serif"/>
          <w:b w:val="false"/>
          <w:color w:val="000000"/>
          <w:sz w:val="20"/>
          <w:shd w:fill="FFFFFF" w:val="clear"/>
        </w:rPr>
        <w:t>that are measured at fair value on a recurring basis, by level, within the fair value hierarchy (in thousands):</w:t>
      </w:r>
    </w:p>
    <w:tbl>
      <w:tblPr>
        <w:tblW w:w="8266" w:type="dxa"/>
        <w:jc w:val="left"/>
        <w:tblInd w:w="0" w:type="dxa"/>
        <w:tblLayout w:type="fixed"/>
        <w:tblCellMar>
          <w:top w:w="28" w:type="dxa"/>
          <w:left w:w="28" w:type="dxa"/>
          <w:bottom w:w="28" w:type="dxa"/>
          <w:right w:w="28" w:type="dxa"/>
        </w:tblCellMar>
      </w:tblPr>
      <w:tblGrid>
        <w:gridCol w:w="1333"/>
        <w:gridCol w:w="1174"/>
        <w:gridCol w:w="1182"/>
        <w:gridCol w:w="109"/>
        <w:gridCol w:w="109"/>
        <w:gridCol w:w="109"/>
        <w:gridCol w:w="211"/>
        <w:gridCol w:w="721"/>
        <w:gridCol w:w="109"/>
        <w:gridCol w:w="109"/>
        <w:gridCol w:w="109"/>
        <w:gridCol w:w="109"/>
        <w:gridCol w:w="211"/>
        <w:gridCol w:w="826"/>
        <w:gridCol w:w="109"/>
        <w:gridCol w:w="109"/>
        <w:gridCol w:w="109"/>
        <w:gridCol w:w="109"/>
        <w:gridCol w:w="109"/>
        <w:gridCol w:w="109"/>
        <w:gridCol w:w="211"/>
        <w:gridCol w:w="826"/>
        <w:gridCol w:w="154"/>
      </w:tblGrid>
      <w:tr>
        <w:trPr/>
        <w:tc>
          <w:tcPr>
            <w:tcW w:w="133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300" w:type="dxa"/>
            <w:gridSpan w:val="4"/>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 on a recurring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164,544 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tbl>
      <w:tblPr>
        <w:tblW w:w="9425" w:type="dxa"/>
        <w:jc w:val="left"/>
        <w:tblInd w:w="0" w:type="dxa"/>
        <w:tblLayout w:type="fixed"/>
        <w:tblCellMar>
          <w:top w:w="28" w:type="dxa"/>
          <w:left w:w="28" w:type="dxa"/>
          <w:bottom w:w="28" w:type="dxa"/>
          <w:right w:w="28" w:type="dxa"/>
        </w:tblCellMar>
      </w:tblPr>
      <w:tblGrid>
        <w:gridCol w:w="1448"/>
        <w:gridCol w:w="1272"/>
        <w:gridCol w:w="1285"/>
        <w:gridCol w:w="109"/>
        <w:gridCol w:w="109"/>
        <w:gridCol w:w="109"/>
        <w:gridCol w:w="211"/>
        <w:gridCol w:w="721"/>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 on a recurring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211,293 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 on a recurring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Inventory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Inventory consists of the following as of June 30, 2026 and December 31, 2025 (in thousands):</w:t>
      </w:r>
    </w:p>
    <w:tbl>
      <w:tblPr>
        <w:tblW w:w="4067" w:type="dxa"/>
        <w:jc w:val="left"/>
        <w:tblInd w:w="0" w:type="dxa"/>
        <w:tblLayout w:type="fixed"/>
        <w:tblCellMar>
          <w:top w:w="28" w:type="dxa"/>
          <w:left w:w="28" w:type="dxa"/>
          <w:bottom w:w="28" w:type="dxa"/>
          <w:right w:w="28" w:type="dxa"/>
        </w:tblCellMar>
      </w:tblPr>
      <w:tblGrid>
        <w:gridCol w:w="543"/>
        <w:gridCol w:w="476"/>
        <w:gridCol w:w="480"/>
        <w:gridCol w:w="211"/>
        <w:gridCol w:w="616"/>
        <w:gridCol w:w="109"/>
        <w:gridCol w:w="109"/>
        <w:gridCol w:w="109"/>
        <w:gridCol w:w="109"/>
        <w:gridCol w:w="280"/>
        <w:gridCol w:w="819"/>
        <w:gridCol w:w="206"/>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Charges recorded for inventory write-downs included in Research and development expenses in the Condensed Consolidated Statements of Operations and Comprehensive Loss were $0.1 million and $0.2 million for the three months ended June 30, 2026 and 2025, respectively, and $1.4 million and $0.7 million for the six months ended June 30, 2026 and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Charges recorded for inventory write-downs included in Cost of revenue in the Condensed Consolidated Statements of Operations and Comprehensive Loss were immaterial for the three months ended June 30, 2026 and $0.1 million for the three months ended June 30, 2025, and immaterial for the six months ended June 30, 2026 and $0.3 million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Property and Equipment, Net</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Property and equipment, net, consists of the following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(in thousands):</w:t>
      </w:r>
    </w:p>
    <w:tbl>
      <w:tblPr>
        <w:tblW w:w="6828" w:type="dxa"/>
        <w:jc w:val="left"/>
        <w:tblInd w:w="0" w:type="dxa"/>
        <w:tblLayout w:type="fixed"/>
        <w:tblCellMar>
          <w:top w:w="28" w:type="dxa"/>
          <w:left w:w="28" w:type="dxa"/>
          <w:bottom w:w="28" w:type="dxa"/>
          <w:right w:w="28" w:type="dxa"/>
        </w:tblCellMar>
      </w:tblPr>
      <w:tblGrid>
        <w:gridCol w:w="1506"/>
        <w:gridCol w:w="1322"/>
        <w:gridCol w:w="1327"/>
        <w:gridCol w:w="211"/>
        <w:gridCol w:w="721"/>
        <w:gridCol w:w="109"/>
        <w:gridCol w:w="109"/>
        <w:gridCol w:w="109"/>
        <w:gridCol w:w="109"/>
        <w:gridCol w:w="253"/>
        <w:gridCol w:w="867"/>
        <w:gridCol w:w="185"/>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and production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14,615 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29,931 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76" w:before="0" w:after="3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(16,737)</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13,194 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is included within Cost of revenue, Research and development and Selling, general and administrative expenses in the Condensed Consolidated Statements of Operations and Comprehensive Loss. Depreciation and amortization expense was $1.2 million for both the three months ended June 30, 2026 and 2025, and $2.5 million and $2.1 million for the six months ended June 30, 2026 and 2025, respectively. No impairments of property and equipment were recorded for both the three and six months ended June 30,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Leases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Lease-related costs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are as follows (in thousands):</w:t>
      </w:r>
    </w:p>
    <w:tbl>
      <w:tblPr>
        <w:tblW w:w="7010" w:type="dxa"/>
        <w:jc w:val="left"/>
        <w:tblInd w:w="0" w:type="dxa"/>
        <w:tblLayout w:type="fixed"/>
        <w:tblCellMar>
          <w:top w:w="28" w:type="dxa"/>
          <w:left w:w="28" w:type="dxa"/>
          <w:bottom w:w="28" w:type="dxa"/>
          <w:right w:w="28" w:type="dxa"/>
        </w:tblCellMar>
      </w:tblPr>
      <w:tblGrid>
        <w:gridCol w:w="635"/>
        <w:gridCol w:w="558"/>
        <w:gridCol w:w="562"/>
        <w:gridCol w:w="264"/>
        <w:gridCol w:w="583"/>
        <w:gridCol w:w="136"/>
        <w:gridCol w:w="136"/>
        <w:gridCol w:w="136"/>
        <w:gridCol w:w="136"/>
        <w:gridCol w:w="264"/>
        <w:gridCol w:w="771"/>
        <w:gridCol w:w="136"/>
        <w:gridCol w:w="109"/>
        <w:gridCol w:w="109"/>
        <w:gridCol w:w="109"/>
        <w:gridCol w:w="222"/>
        <w:gridCol w:w="650"/>
        <w:gridCol w:w="115"/>
        <w:gridCol w:w="115"/>
        <w:gridCol w:w="115"/>
        <w:gridCol w:w="115"/>
        <w:gridCol w:w="222"/>
        <w:gridCol w:w="650"/>
        <w:gridCol w:w="162"/>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Future minimum lease payments under non-cancellable leases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are as follows (dollars in thousands):</w:t>
      </w:r>
    </w:p>
    <w:tbl>
      <w:tblPr>
        <w:tblW w:w="6614" w:type="dxa"/>
        <w:jc w:val="left"/>
        <w:tblInd w:w="0" w:type="dxa"/>
        <w:tblLayout w:type="fixed"/>
        <w:tblCellMar>
          <w:top w:w="28" w:type="dxa"/>
          <w:left w:w="28" w:type="dxa"/>
          <w:bottom w:w="28" w:type="dxa"/>
          <w:right w:w="28" w:type="dxa"/>
        </w:tblCellMar>
      </w:tblPr>
      <w:tblGrid>
        <w:gridCol w:w="1493"/>
        <w:gridCol w:w="1311"/>
        <w:gridCol w:w="1321"/>
        <w:gridCol w:w="459"/>
        <w:gridCol w:w="1342"/>
        <w:gridCol w:w="688"/>
      </w:tblGrid>
      <w:tr>
        <w:trPr/>
        <w:tc>
          <w:tcPr>
            <w:tcW w:w="149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Remaining Lease Payments</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remaining undiscounted lease payments</w:t>
            </w:r>
          </w:p>
        </w:tc>
        <w:tc>
          <w:tcPr>
            <w:tcW w:w="1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3,511 </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1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(1,843)</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248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table provides certain cash flow and supplemental cash flow information related to the Company’s lease liabilities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(in thousands):</w:t>
      </w:r>
    </w:p>
    <w:tbl>
      <w:tblPr>
        <w:tblW w:w="6896" w:type="dxa"/>
        <w:jc w:val="left"/>
        <w:tblInd w:w="0" w:type="dxa"/>
        <w:tblLayout w:type="fixed"/>
        <w:tblCellMar>
          <w:top w:w="28" w:type="dxa"/>
          <w:left w:w="28" w:type="dxa"/>
          <w:bottom w:w="28" w:type="dxa"/>
          <w:right w:w="28" w:type="dxa"/>
        </w:tblCellMar>
      </w:tblPr>
      <w:tblGrid>
        <w:gridCol w:w="1640"/>
        <w:gridCol w:w="1440"/>
        <w:gridCol w:w="1450"/>
        <w:gridCol w:w="222"/>
        <w:gridCol w:w="650"/>
        <w:gridCol w:w="115"/>
        <w:gridCol w:w="115"/>
        <w:gridCol w:w="115"/>
        <w:gridCol w:w="115"/>
        <w:gridCol w:w="222"/>
        <w:gridCol w:w="650"/>
        <w:gridCol w:w="162"/>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paid to settle operating lease liabilities</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18, 2026, we entered into a facility lease agreement (the “Lease Agreement”) with Sterling City Science South Development, LLC for the lease of approximately 54,374 square feet of office, laboratory and manufacturing space located in San Diego, California. The leased premises are expected to replace the Company’s existing San Diego facility.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Lease Agreement provides for an initial non-cancellable lease term of 120 months. Aggregate minimum cash lease payments under the lease are estimated to be approximately $38.3 million and are not included in the future minimum lease payments table above as the lease had not commenced as of June 30, 2026. The Company has an option to extend the lease term for an additional five-year period, subject to the terms and conditions specified in the Lease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Lease Agreement also provides for a tenant improvement allowance of up to approximately $17.1 million. As of June 30, 2026, the Company has not used any portion of this allowance.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Upon execution of the lease, the Company paid a security deposit of approximately $0.4 million, which is recorded in Other assets on the Condensed Consolidated Balance Sheets and will be applied to the first installment(s) of base rent due under the lease. The Company also provided an additional security deposit in the form of a letter of credit with an initial amount of approximately $2.1 million, which is recorded within Restricted cash, non-current, on the Condensed Consolidated Balance Sheets.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expects the lease to commence on or about September 1, 2027, but no later than November 1, 2027, subject to the completion of tenant improvements and other customary conditions. Upon lease commencement, the Company will recognize a right-of-use asset and corresponding lease liability in accordance with ASC 842.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8. Accrued Expenses and Other Current Liabilities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 xml:space="preserve">June 30, 2026 and December 31, 2025, </w:t>
      </w:r>
      <w:r>
        <w:rPr>
          <w:rFonts w:ascii="Times New Roman;serif" w:hAnsi="Times New Roman;serif"/>
          <w:b w:val="false"/>
          <w:color w:val="000000"/>
          <w:sz w:val="20"/>
          <w:shd w:fill="FFFFFF" w:val="clear"/>
        </w:rPr>
        <w:t>Accrued expenses and other current liabilities included on the Condensed Consolidated Balance Sheets consist of the following (in thousands):</w:t>
      </w:r>
    </w:p>
    <w:tbl>
      <w:tblPr>
        <w:tblW w:w="6827" w:type="dxa"/>
        <w:jc w:val="left"/>
        <w:tblInd w:w="0" w:type="dxa"/>
        <w:tblLayout w:type="fixed"/>
        <w:tblCellMar>
          <w:top w:w="28" w:type="dxa"/>
          <w:left w:w="28" w:type="dxa"/>
          <w:bottom w:w="28" w:type="dxa"/>
          <w:right w:w="28" w:type="dxa"/>
        </w:tblCellMar>
      </w:tblPr>
      <w:tblGrid>
        <w:gridCol w:w="1542"/>
        <w:gridCol w:w="1353"/>
        <w:gridCol w:w="1364"/>
        <w:gridCol w:w="211"/>
        <w:gridCol w:w="616"/>
        <w:gridCol w:w="109"/>
        <w:gridCol w:w="109"/>
        <w:gridCol w:w="109"/>
        <w:gridCol w:w="109"/>
        <w:gridCol w:w="280"/>
        <w:gridCol w:w="819"/>
        <w:gridCol w:w="206"/>
      </w:tblGrid>
      <w:tr>
        <w:trPr/>
        <w:tc>
          <w:tcPr>
            <w:tcW w:w="154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tax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Equity Transactions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At-the-Market Equity Offering Program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filed a universal shelf registration statement on Form S-3 and a subsequent amendment to the Form S-3 (the “Shelf Registration Statement”), on September 26, 2025 and October 9, 2025, respectively, covering the offering of Class A common stock, preferred stock, debt securities, warrants, rights and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26, 2025, the Company entered into a Sales Agreement (the “Sales Agreement”) with Leerink Partners LLC (“Leerink”), pursuant to which the Company may offer and sell shares of its Class A common stock, having an aggregate offering price of up to $100.0 million, from time to time through an “at-the-market” offering program under which Leerink will act as sales agent (the “ATM Offering”). The Company has no obligation to sell any shares under the Sales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and may at any time suspend solicitation and offers under the Sales Agreement. The ATM Offering is being made pursuant to the Shelf Registration Statement and a sales agreement prospectus related to the ATM Offering. During the three and six months ended June 30, 2026, there were no shares sold under the Sales Agreement.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authorized 1,000,000 shares of preferred stock at $0.0001 par value per share. There were no preferred shares outstanding for both periods.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Preferred stock may be issued from time to time in one or more series. Any shares of preferred stock which may be redeemed, purchased or acquired by the Company may be reissued except as otherwise provided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Stock-based Compensation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Quantum-Si Incorporated 2021 Equity Incentive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 As of June 30, 2026, there were 10,864,268 shares available for future grant under the 2021 Plan.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Inducement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May 8, 2023, the Company adopted the 2023 Inducement Equity Incentive Plan (the “2023 Inducement Plan”) to reserve 3,000,000 shares of its Class A common stock to be used exclusively for grants of awards to individuals that were not previously employees or directors of the Company as a material inducement to such individuals’ entry into employment with the Company within the meaning of Rule 5635(c)(4) of the Nasdaq Listing Rules. On August 23, 2024, the Company amended the 2023 Inducement Plan to reserve an additional 3,000,000 shares of its Class A common stock under the 2023 Inducement Plan. The terms and conditions of the 2023 Inducement Plan, as amended, are substantially similar to those of the 2021 Plan. As of June 30, 2026, there were 1,703,934 shares available for future issuance under the 2023 Inducement Plan, as amended.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granted participants an aggregate of 2,260,665 and 5,498,109 stock options awards to participants during the three and six months ended June 30, 2026, respectively, with vesting subject to the participant’s continued employment with or continued service provided to the Company through the applicable vesting dates. During the three and six months ended June 30, 2025, the Company granted an aggregate of 1,134,855 and 1,166,855 stock option awards, respectively, to participants with vesting subject to the participant’s continued employment with or continued service provided to the Company through the applicable vesting dates.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$1.4 million and $1.7 million for stock-based compensation related to stock options for the three months ended June 30, 2026 and 2025, respectively, and $2.7 million and $3.2 million for stock-based compensation related to stock options for the six months ended June 30, 2026 and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award granted during the six months ended June 30, 2026 was estimated as of the grant date using a Black-Scholes model with the following assumptions:</w:t>
      </w:r>
    </w:p>
    <w:tbl>
      <w:tblPr>
        <w:tblW w:w="7182" w:type="dxa"/>
        <w:jc w:val="left"/>
        <w:tblInd w:w="0" w:type="dxa"/>
        <w:tblLayout w:type="fixed"/>
        <w:tblCellMar>
          <w:top w:w="28" w:type="dxa"/>
          <w:left w:w="28" w:type="dxa"/>
          <w:bottom w:w="28" w:type="dxa"/>
          <w:right w:w="28" w:type="dxa"/>
        </w:tblCellMar>
      </w:tblPr>
      <w:tblGrid>
        <w:gridCol w:w="1457"/>
        <w:gridCol w:w="1278"/>
        <w:gridCol w:w="1285"/>
        <w:gridCol w:w="109"/>
        <w:gridCol w:w="109"/>
        <w:gridCol w:w="109"/>
        <w:gridCol w:w="829"/>
        <w:gridCol w:w="829"/>
        <w:gridCol w:w="1177"/>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5.7 - 6.0</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3.9% - 4.6%</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109.4% - 111.8%</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$0.72 - $0.82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stock option activity for the six months ended June 30, 2026 is presented in the table below:</w:t>
      </w:r>
    </w:p>
    <w:tbl>
      <w:tblPr>
        <w:tblW w:w="10205" w:type="dxa"/>
        <w:jc w:val="left"/>
        <w:tblInd w:w="0" w:type="dxa"/>
        <w:tblLayout w:type="fixed"/>
        <w:tblCellMar>
          <w:top w:w="28" w:type="dxa"/>
          <w:left w:w="28" w:type="dxa"/>
          <w:bottom w:w="28" w:type="dxa"/>
          <w:right w:w="28" w:type="dxa"/>
        </w:tblCellMar>
      </w:tblPr>
      <w:tblGrid>
        <w:gridCol w:w="1284"/>
        <w:gridCol w:w="1127"/>
        <w:gridCol w:w="1133"/>
        <w:gridCol w:w="344"/>
        <w:gridCol w:w="344"/>
        <w:gridCol w:w="348"/>
        <w:gridCol w:w="109"/>
        <w:gridCol w:w="109"/>
        <w:gridCol w:w="109"/>
        <w:gridCol w:w="408"/>
        <w:gridCol w:w="993"/>
        <w:gridCol w:w="213"/>
        <w:gridCol w:w="109"/>
        <w:gridCol w:w="109"/>
        <w:gridCol w:w="109"/>
        <w:gridCol w:w="548"/>
        <w:gridCol w:w="548"/>
        <w:gridCol w:w="550"/>
        <w:gridCol w:w="109"/>
        <w:gridCol w:w="109"/>
        <w:gridCol w:w="109"/>
        <w:gridCol w:w="376"/>
        <w:gridCol w:w="725"/>
        <w:gridCol w:w="283"/>
      </w:tblGrid>
      <w:tr>
        <w:trPr/>
        <w:tc>
          <w:tcPr>
            <w:tcW w:w="128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Number of</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Weighted 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Weighted Average</w:t>
              <w:br/>
              <w:t>Remaining</w:t>
              <w:br/>
              <w:t xml:space="preserve">Contractual Term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Aggregate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Intrinsic Value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19,129,950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5,498,109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23,833,001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at June 30, 2026</w:t>
            </w:r>
          </w:p>
        </w:tc>
        <w:tc>
          <w:tcPr>
            <w:tcW w:w="103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12,593,718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June 30, 2026</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23,833,001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stock-based compensation related to stock options was $7.4 million, which is expected to be recognized over a remaining weighted average vesting period of 1.9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2022 and May 2023, the Company granted 2,780,000 and 1,000,000 performance-based stock option awards to its Chief Executive Officer and Chief Financial Officer, respectively. The vesting of these awards is subject to continued service to the Company and certain market conditions. The market conditions require the Company’s Class A common stock to trade above specified levels for certain periods of time. The fair values of the awards were estimated at the grant date using the Monte Carlo simulation model.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March 15, 2024, the market conditions that trigger the vesting of these performance-based stock option awards were modified. The modified market conditions require the Company’s Class A common stock to trade above specified levels for certain defined periods of time that are different from the original awards. The Company accounted for the modifications as modifications of market conditions. The total incremental stock-based compensation expense to be recognized for these awards within Selling, general and administrative operating expenses in the Condensed Consolidated Statements of Operations and Comprehensive Loss is approximately $2.4 million. Incremental stock-based compensation expense for these awards was $0.2 million and $0.4 million for both the three and six months ended June 30, 2026 and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granted participants an aggregate of 623,216 and 8,939,509 restricted stock unit (“RSU”) awards during the three and six months ended June 30, 2026, respectively, to participants with vesting subject to the participant’s continued employment with or continued service provided to the Company through the applicable vesting dates. During the three and six months ended June 30, 2025, the Company granted an aggregate of 77,270 and 8,181,743 RSU awards, respectively, to participants with vesting subject to the participant’s continued employment with or continued service provided to the Company through the applicable vesting dates.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$1.6 million and $1.3 million for stock-based compensation related to RSU awards for the three months ended June 30, 2026 and 2025, respectively, and $2.9 million and $2.1 million for stock-based compensation related to RSU awards for the six months ended June 30, 2026 and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RSU activity for the six months ended June 30, 2026 is presented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tbl>
      <w:tblPr>
        <w:tblW w:w="6926" w:type="dxa"/>
        <w:jc w:val="left"/>
        <w:tblInd w:w="0" w:type="dxa"/>
        <w:tblLayout w:type="fixed"/>
        <w:tblCellMar>
          <w:top w:w="28" w:type="dxa"/>
          <w:left w:w="28" w:type="dxa"/>
          <w:bottom w:w="28" w:type="dxa"/>
          <w:right w:w="28" w:type="dxa"/>
        </w:tblCellMar>
      </w:tblPr>
      <w:tblGrid>
        <w:gridCol w:w="1587"/>
        <w:gridCol w:w="1392"/>
        <w:gridCol w:w="1400"/>
        <w:gridCol w:w="369"/>
        <w:gridCol w:w="369"/>
        <w:gridCol w:w="371"/>
        <w:gridCol w:w="109"/>
        <w:gridCol w:w="109"/>
        <w:gridCol w:w="109"/>
        <w:gridCol w:w="267"/>
        <w:gridCol w:w="648"/>
        <w:gridCol w:w="196"/>
      </w:tblGrid>
      <w:tr>
        <w:trPr/>
        <w:tc>
          <w:tcPr>
            <w:tcW w:w="158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br/>
              <w:t xml:space="preserve">of Shares </w:t>
              <w:br/>
              <w:t xml:space="preserve">Underlying </w:t>
              <w:br/>
              <w:t xml:space="preserve">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Grant-Date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RSUs at December 31, 2025</w:t>
            </w:r>
          </w:p>
        </w:tc>
        <w:tc>
          <w:tcPr>
            <w:tcW w:w="1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11,118,391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8,939,509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(2,515,139)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76" w:before="0" w:after="3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0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non-vested RSUs at June 30, 2026</w:t>
            </w:r>
          </w:p>
        </w:tc>
        <w:tc>
          <w:tcPr>
            <w:tcW w:w="110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16,828,765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stock-based compensation related to restricted stock units was $18.3 million, which is expected to be recognized over the remaining weighted average vesting period of 3.0 years.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is allocated to Research and development and Selling, general and administrative operating expenses in the Condensed Consolidated Statements of Operations and Comprehensive Loss. Stock-based compensation expense for the three and six months ended June 30, 2026 and 2025 was allocated as follows (in thousands):</w:t>
      </w:r>
    </w:p>
    <w:tbl>
      <w:tblPr>
        <w:tblW w:w="8210" w:type="dxa"/>
        <w:jc w:val="left"/>
        <w:tblInd w:w="0" w:type="dxa"/>
        <w:tblLayout w:type="fixed"/>
        <w:tblCellMar>
          <w:top w:w="28" w:type="dxa"/>
          <w:left w:w="28" w:type="dxa"/>
          <w:bottom w:w="28" w:type="dxa"/>
          <w:right w:w="28" w:type="dxa"/>
        </w:tblCellMar>
      </w:tblPr>
      <w:tblGrid>
        <w:gridCol w:w="1071"/>
        <w:gridCol w:w="939"/>
        <w:gridCol w:w="944"/>
        <w:gridCol w:w="246"/>
        <w:gridCol w:w="718"/>
        <w:gridCol w:w="127"/>
        <w:gridCol w:w="127"/>
        <w:gridCol w:w="127"/>
        <w:gridCol w:w="127"/>
        <w:gridCol w:w="246"/>
        <w:gridCol w:w="718"/>
        <w:gridCol w:w="127"/>
        <w:gridCol w:w="109"/>
        <w:gridCol w:w="109"/>
        <w:gridCol w:w="109"/>
        <w:gridCol w:w="222"/>
        <w:gridCol w:w="650"/>
        <w:gridCol w:w="115"/>
        <w:gridCol w:w="115"/>
        <w:gridCol w:w="115"/>
        <w:gridCol w:w="115"/>
        <w:gridCol w:w="222"/>
        <w:gridCol w:w="650"/>
        <w:gridCol w:w="162"/>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6" w:before="0" w:after="60"/>
              <w:jc w:val="left"/>
              <w:rPr>
                <w:color w:val="000000"/>
              </w:rPr>
            </w:pPr>
            <w:r>
              <w:rPr>
                <w:color w:val="000000"/>
              </w:rPr>
              <w:t>   </w:t>
            </w:r>
            <w:r>
              <w:rPr>
                <w:rFonts w:ascii="Times New Roman;serif" w:hAnsi="Times New Roman;serif"/>
                <w:b w:val="false"/>
                <w:color w:val="000000"/>
                <w:sz w:val="20"/>
              </w:rPr>
              <w:t>Total stock-based compensation</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5,258 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11. Warrant Liabilities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Public Warrants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there was an aggregate of </w:t>
      </w:r>
      <w:r>
        <w:rPr>
          <w:rFonts w:ascii="Times New Roman;serif" w:hAnsi="Times New Roman;serif"/>
          <w:b w:val="false"/>
          <w:color w:val="000000"/>
          <w:sz w:val="20"/>
        </w:rPr>
        <w:t>3,833,317</w:t>
      </w:r>
      <w:r>
        <w:rPr>
          <w:color w:val="000000"/>
          <w:shd w:fill="FFFFFF" w:val="clear"/>
        </w:rPr>
        <w:t xml:space="preserve"> </w:t>
      </w:r>
      <w:r>
        <w:rPr>
          <w:rFonts w:ascii="Times New Roman;serif" w:hAnsi="Times New Roman;serif"/>
          <w:b w:val="false"/>
          <w:color w:val="000000"/>
          <w:sz w:val="20"/>
          <w:shd w:fill="FFFFFF" w:val="clear"/>
        </w:rPr>
        <w:t xml:space="preserve">outstanding Public Warrants. The Public Warrants did not meet the criteria to be classified in stockholders’ equity as the exercise of the Public Warrants could have been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precluded the Public Warrants from being classified in equity and thus, they are classified as current liabilities on the Condensed Consolidated Balance Sheets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These warrants expired on June 10, 2026 and, as of June 30, 2026, there were no outstanding Public Warrants.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Private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135,000 outstanding Private Warrants. The Private Warrants did not meet the criteria to be classified in stockholders’ equity as the terms of the Private Warrants provide for potential changes to the settlement amounts depending upon the characteristics of the warrant holder, and because the holder of a warrant is not an input into the pricing of a fixed-for-fixed option on equity shares. This provision precluded the Private Warrants from being classified in equity and thus, they are classified as current liabilities on the Condensed Consolidated Balance Sheets as of December 31, 2025. These warrants expired on June 10, 2026 and, as of June 30, 2026, there were no outstanding Private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combined fair value of warrant liabilities was $0.8 million. There were no such warrant liabilities as of June 30, 2026. The Company recognized a gain of $0.4 million and a loss of $1.0 million for the three months ended June 30, 2026 and 2025, respectively, as a Change in fair value of warrant liabilities in the Condensed Consolidated Statements of Operations and Comprehensive Loss. The Company recognized gains of $0.8 million and $2.4 million for the six months ended June 30, 2026 and 2025, respectively, as a Change in fair value of warrant liabilities in the Condensed Consolidated Statements of Operations and Comprehensive Loss. There were no exercises or redemptions of the Public Warrants or Private Warrants during the three and six months ended June 30, 2026 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further details regarding the warrant liabilities, please refer to </w:t>
      </w:r>
      <w:hyperlink w:anchor="ie8e17d9b0efc4096bd67d8d2976a25ce_43">
        <w:r>
          <w:rPr>
            <w:rStyle w:val="InternetLink"/>
            <w:rFonts w:ascii="Times New Roman;serif" w:hAnsi="Times New Roman;serif"/>
            <w:b w:val="false"/>
            <w:color w:val="0000FF"/>
            <w:sz w:val="20"/>
            <w:u w:val="single"/>
            <w:shd w:fill="FFFFFF" w:val="clear"/>
          </w:rPr>
          <w:t>Note 4. Fair Value of Financial Instruments</w:t>
        </w:r>
      </w:hyperlink>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12. Net Loss Per Share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presents both basic earnings per share (“EPS”) and diluted EPS. Basic and diluted net loss per share was the same for each period presented as the inclusion of all common share equivalents would have been anti-dilutive.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table presents the calculations for the </w:t>
      </w:r>
      <w:r>
        <w:rPr>
          <w:rFonts w:ascii="Times New Roman;serif" w:hAnsi="Times New Roman;serif"/>
          <w:b w:val="false"/>
          <w:color w:val="000000"/>
          <w:sz w:val="20"/>
        </w:rPr>
        <w:t>three and six months</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of basic and diluted net loss per share for the Company’s common stock (in thousands, except per share amounts):</w:t>
      </w:r>
    </w:p>
    <w:tbl>
      <w:tblPr>
        <w:tblW w:w="10205" w:type="dxa"/>
        <w:jc w:val="left"/>
        <w:tblInd w:w="0" w:type="dxa"/>
        <w:tblLayout w:type="fixed"/>
        <w:tblCellMar>
          <w:top w:w="28" w:type="dxa"/>
          <w:left w:w="28" w:type="dxa"/>
          <w:bottom w:w="28" w:type="dxa"/>
          <w:right w:w="28" w:type="dxa"/>
        </w:tblCellMar>
      </w:tblPr>
      <w:tblGrid>
        <w:gridCol w:w="1851"/>
        <w:gridCol w:w="1465"/>
        <w:gridCol w:w="1481"/>
        <w:gridCol w:w="211"/>
        <w:gridCol w:w="775"/>
        <w:gridCol w:w="109"/>
        <w:gridCol w:w="109"/>
        <w:gridCol w:w="109"/>
        <w:gridCol w:w="109"/>
        <w:gridCol w:w="211"/>
        <w:gridCol w:w="775"/>
        <w:gridCol w:w="109"/>
        <w:gridCol w:w="109"/>
        <w:gridCol w:w="109"/>
        <w:gridCol w:w="109"/>
        <w:gridCol w:w="211"/>
        <w:gridCol w:w="774"/>
        <w:gridCol w:w="109"/>
        <w:gridCol w:w="109"/>
        <w:gridCol w:w="109"/>
        <w:gridCol w:w="109"/>
        <w:gridCol w:w="211"/>
        <w:gridCol w:w="774"/>
        <w:gridCol w:w="158"/>
      </w:tblGrid>
      <w:tr>
        <w:trPr/>
        <w:tc>
          <w:tcPr>
            <w:tcW w:w="185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(48,025)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EPS - loss attributable to common stockholders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(48,025)</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182,968</w:t>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and diluted EPS - weighted-average common stock</w:t>
            </w:r>
          </w:p>
        </w:tc>
        <w:tc>
          <w:tcPr>
            <w:tcW w:w="10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182,968</w:t>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loss per share attributable to Class A and Class B common stockholders was the same on a basic and diluted basis, as the inclusion of all potential common equivalent shares outstanding would have been anti-dilutive.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potential dilutive shares were excluded from the calculation of diluted net loss per share because their effect would be anti-dilutive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tbl>
      <w:tblPr>
        <w:tblW w:w="7510" w:type="dxa"/>
        <w:jc w:val="left"/>
        <w:tblInd w:w="0" w:type="dxa"/>
        <w:tblLayout w:type="fixed"/>
        <w:tblCellMar>
          <w:top w:w="28" w:type="dxa"/>
          <w:left w:w="28" w:type="dxa"/>
          <w:bottom w:w="28" w:type="dxa"/>
          <w:right w:w="28" w:type="dxa"/>
        </w:tblCellMar>
      </w:tblPr>
      <w:tblGrid>
        <w:gridCol w:w="1446"/>
        <w:gridCol w:w="1268"/>
        <w:gridCol w:w="1275"/>
        <w:gridCol w:w="650"/>
        <w:gridCol w:w="431"/>
        <w:gridCol w:w="251"/>
        <w:gridCol w:w="251"/>
        <w:gridCol w:w="251"/>
        <w:gridCol w:w="251"/>
        <w:gridCol w:w="650"/>
        <w:gridCol w:w="431"/>
        <w:gridCol w:w="355"/>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options to purchase common stock</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23,833,001 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20,691,445 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restricted stock units</w:t>
            </w:r>
          </w:p>
        </w:tc>
        <w:tc>
          <w:tcPr>
            <w:tcW w:w="10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16,828,765 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13,835,961 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3,968,319 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40,661,766 </w:t>
            </w:r>
          </w:p>
        </w:tc>
        <w:tc>
          <w:tcPr>
            <w:tcW w:w="2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38,495,725 </w:t>
            </w:r>
          </w:p>
        </w:tc>
        <w:tc>
          <w:tcPr>
            <w:tcW w:w="3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Income Taxes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Income taxes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were recorded at the Company’s estimated annual effective income tax rate, subject to adjustments for discrete events, if they occur. The Company’s estimated annual effective tax rate was </w:t>
      </w:r>
      <w:r>
        <w:rPr>
          <w:rFonts w:ascii="Times New Roman;serif" w:hAnsi="Times New Roman;serif"/>
          <w:b w:val="false"/>
          <w:color w:val="000000"/>
          <w:sz w:val="20"/>
        </w:rPr>
        <w:t xml:space="preserve">0.00% and 0.27%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2026, respectively. </w:t>
      </w:r>
      <w:r>
        <w:rPr>
          <w:rFonts w:ascii="Times New Roman;serif" w:hAnsi="Times New Roman;serif"/>
          <w:b w:val="false"/>
          <w:color w:val="000000"/>
          <w:sz w:val="20"/>
          <w:shd w:fill="FFFFFF" w:val="clear"/>
        </w:rPr>
        <w:t xml:space="preserve">The Company’s estimated annual effective tax rate was </w:t>
      </w:r>
      <w:r>
        <w:rPr>
          <w:rFonts w:ascii="Times New Roman;serif" w:hAnsi="Times New Roman;serif"/>
          <w:b w:val="false"/>
          <w:color w:val="000000"/>
          <w:sz w:val="20"/>
        </w:rPr>
        <w:t>(0.11)%</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(0.06)%,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2025 respectively. </w:t>
      </w:r>
      <w:r>
        <w:rPr>
          <w:rFonts w:ascii="Times New Roman;serif" w:hAnsi="Times New Roman;serif"/>
          <w:b w:val="false"/>
          <w:color w:val="000000"/>
          <w:sz w:val="20"/>
          <w:shd w:fill="FFFFFF" w:val="clear"/>
        </w:rPr>
        <w:t>The primary reconciling items between the federal statutory rate of 21.0% and the Company’s overall effective tax rate for these periods were related to the valuation allowance recorded against the Company’s U.S. net deferred tax assets.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Management believes that based on the earnings history of the Company, it is more likely than not that the benefits of these assets will not be realized, and therefore, a full valuation allowance has been recorded against the Company’s U.S. net deferred tax assets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14. Segment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Quantum-Si is a life sciences company focused on proteomics research, with the mission of transforming single-molecule analysis and democratizing its use by providing researchers and clinicians access to the proteome, the set of proteins expressed within a cell. The Company’s platform includes its Platinum single-molecule protein sequencing instrument, Platinum Analysis Software, and consumable kits for use with its Platinum line of instruments.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Chief Operating Decision Maker (the “CODM”), its Chief Executive Officer, reviews financial information presented on a consolidated basis for purposes of assessing financial performance, making operating decisions and allocating resources. Accordingly, the Company has determined it operates as a single reportable segment. The CODM utilizes the Company’s long-range plan, which includes product development roadmaps and long-range financial models, as a key input to resource allocation. The CODM makes decisions on resource allocation, assesses the performance of the business, and monitors budget versus actual results on a consolidated basis using loss from operations as reported in the Condensed Consolidated Statements of Operations and Comprehensive Loss as the primary measure of segment profit or loss. Net loss and the change in cash and cash equivalents and marketable securities are also measures considered in monitoring budget versus actual results.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Significant expenses within loss from operations, as well as within net loss, include research and development, and selling, general and administrative expenses, which are each separately presented in the Company’s Condensed Consolidated Statements of Operations and Comprehensive Loss. Other segment items included in net loss on the Company’s Condensed Consolidated Statements of Operations and Comprehensive Loss are dividend income, interest income, change in fair value of warrant liabilities, other expense or income, net, and benefit or provision for income taxes.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revenue is derived from sales of products and services. Product revenue is primarily generated from the sales of instruments and consumables used in protein sequencing and analysis. Service revenue is primarily generated from service maintenance contracts including access to analysis software and advanced training for instrument use.</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Total revenue generated from domestic and international sales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is as follows (in thousands):</w:t>
      </w:r>
    </w:p>
    <w:tbl>
      <w:tblPr>
        <w:tblW w:w="6828" w:type="dxa"/>
        <w:jc w:val="left"/>
        <w:tblInd w:w="0" w:type="dxa"/>
        <w:tblLayout w:type="fixed"/>
        <w:tblCellMar>
          <w:top w:w="28" w:type="dxa"/>
          <w:left w:w="28" w:type="dxa"/>
          <w:bottom w:w="28" w:type="dxa"/>
          <w:right w:w="28" w:type="dxa"/>
        </w:tblCellMar>
      </w:tblPr>
      <w:tblGrid>
        <w:gridCol w:w="451"/>
        <w:gridCol w:w="395"/>
        <w:gridCol w:w="399"/>
        <w:gridCol w:w="109"/>
        <w:gridCol w:w="109"/>
        <w:gridCol w:w="109"/>
        <w:gridCol w:w="285"/>
        <w:gridCol w:w="629"/>
        <w:gridCol w:w="147"/>
        <w:gridCol w:w="147"/>
        <w:gridCol w:w="147"/>
        <w:gridCol w:w="147"/>
        <w:gridCol w:w="285"/>
        <w:gridCol w:w="629"/>
        <w:gridCol w:w="147"/>
        <w:gridCol w:w="109"/>
        <w:gridCol w:w="109"/>
        <w:gridCol w:w="109"/>
        <w:gridCol w:w="238"/>
        <w:gridCol w:w="527"/>
        <w:gridCol w:w="123"/>
        <w:gridCol w:w="123"/>
        <w:gridCol w:w="123"/>
        <w:gridCol w:w="123"/>
        <w:gridCol w:w="238"/>
        <w:gridCol w:w="697"/>
        <w:gridCol w:w="17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15. Related Party Transactions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was a party to the Amended and Restated Technology Services Agreement (the “ARTSA”), most recently amended on November 11, 2020, by and among 4Catalyzer Corporation (“4C”), the Company and other participant companies controlled by Dr. Jonathan Rothberg, the former Chairman of the Board and current director.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existing arm’s length lease agreement with 4C and negotiated an arm’s length lease agreement.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There were </w:t>
      </w: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 xml:space="preserve">expenses paid to 4C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Expenses paid to 4C for the three months ended June 30, 2025 were immaterial. Expenses paid to 4C for the six months ended June 30, 2025 were</w:t>
      </w:r>
      <w:r>
        <w:rPr>
          <w:color w:val="000000"/>
          <w:shd w:fill="FFFFFF" w:val="clear"/>
        </w:rPr>
        <w:t xml:space="preserve"> </w:t>
      </w:r>
      <w:r>
        <w:rPr>
          <w:rFonts w:ascii="Times New Roman;serif" w:hAnsi="Times New Roman;serif"/>
          <w:b w:val="false"/>
          <w:color w:val="000000"/>
          <w:sz w:val="20"/>
        </w:rPr>
        <w:t>$0.1 million. These expenses included amounts for month-to-month sublease arrangements for office and laboratory spaces from 4C and certain administrative expenses and a</w:t>
      </w:r>
      <w:r>
        <w:rPr>
          <w:rFonts w:ascii="Times New Roman;serif" w:hAnsi="Times New Roman;serif"/>
          <w:b w:val="false"/>
          <w:color w:val="000000"/>
          <w:sz w:val="20"/>
          <w:shd w:fill="FFFFFF" w:val="clear"/>
        </w:rPr>
        <w:t>re included in Selling, general and administrative expenses in the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ARTSA also provided for the participant companies to provide other services to each other. As of both </w:t>
      </w:r>
      <w:r>
        <w:rPr>
          <w:rFonts w:ascii="Times New Roman;serif" w:hAnsi="Times New Roman;serif"/>
          <w:b w:val="false"/>
          <w:color w:val="000000"/>
          <w:sz w:val="20"/>
        </w:rPr>
        <w:t xml:space="preserve">June 30, 2026 and December 31, 2025, there were no </w:t>
      </w:r>
      <w:r>
        <w:rPr>
          <w:rFonts w:ascii="Times New Roman;serif" w:hAnsi="Times New Roman;serif"/>
          <w:b w:val="false"/>
          <w:color w:val="000000"/>
          <w:sz w:val="20"/>
          <w:shd w:fill="FFFFFF" w:val="clear"/>
        </w:rPr>
        <w:t>amounts payable to or payable by the Company related to such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16. Commitments and Contingencies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Commitments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Licenses related to certain intellectual property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licenses certain intellectual property, some of which may be utilized in its current or future product offerings. To preserve the right to use such intellectual property, the Company is required to make annual minimum fixed payments totaling approximately $0.1 million as well as royalties based on net sales if the royalties exceed annual minimum fixed payments. As of both June 30, 2026 and December 31, 2025, the Company had accrued royalties of approximately $0.1 million included in Accrued expenses and other current liabilities on the Condensed Consolidated Balance Sheets.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commitments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Company sponsors a 401(k) defined contribution plan covering all eligible U.S. employees (the “401(k) Plan”). Contributions to the 401(k) Plan are discretionary. The Company did not make any matching contributions to the 401(k) Plan for both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Contingencies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subject to claims in the ordinary course of business. Except as discussed below, the Company is not currently a party to any pending or threatened litigation, the outcome of which would be expected to have a material adverse effect on its financial condition, results of operations, or cash flows. The Company discloses contingent liabilities even if the liability is not probable or estimable, or both, if there is a reasonable possibility that a material loss may have been incurred.</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Delaware Stockholder Litigation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16, 2024, a putative class action lawsuit was filed in the Delaware Court of Chancery, styled Farzad v. HighCape Capital, et al. (the “Delaware Stockholder Litigation”). The Delaware Stockholder Litigation asserted breach of fiduciary duty claims against the former officers and directors of HighCape, including Kevin Rakin, Matt Zuga, David Colpman, Robert Taub and Antony Loebel, HighCape Capital Acquisition LLC and HighCape Capital L.P.; aiding and abetting breach of fiduciary duty claims against Foresite Capital Management, LLC and Dr. Rothberg; and unjust enrichment claims against all defendants related to the Business Combination. The Delaware Stockholder Litigation complaint alleged that the transactions contemplated by the Business Combination were a product of an unfair process which was allegedly impacted by conflicts of interest, resulting in mispricing of the Business Combination. Quantum-Si, as part of the Business Combination, had previously agreed to indemnify certain of the defendants related to actions such as the Delaware Stockholder Litigation to the extent allowable by law.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On July 22, 2025, the parties of the Delaware Stockholder Litigation, through a mediation process, reached a preliminary settlement. </w:t>
      </w:r>
      <w:r>
        <w:rPr>
          <w:rFonts w:ascii="Times New Roman;serif" w:hAnsi="Times New Roman;serif"/>
          <w:b w:val="false"/>
          <w:color w:val="000000"/>
          <w:sz w:val="20"/>
        </w:rPr>
        <w:t>In connection with the preliminary settlement, the Company recorded an accrued legal settlement liability of $8.0 million, consisting of $7.6 million for the settlement and $0.4 million for legal and related expenses, as well as a legal settlement insurance receivable of $4.6 million on the Consolidated Balance Sheets as of December 31, 2025. The Company also recognized associated legal settlement expenses of $3.4 million recorded in legal settlement, net of insurance proceeds, in the Consolidated Statements of Operations and Comprehensive Loss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Subsequently, on March 27, 2026, the Delaware Court of Chancery executed an order and final judgment approving the legal settlement. In the first quarter of 2026, the Company paid $3.0 million in connection with the settlement and the remaining $4.6 million was funded by insurance proceeds. Accordingly, the accrued legal settlement liability and associated legal settlement insurance receivable were derecognized from the Condensed Consolidated Balance Sheets in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Subsequent Event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Nasdaq Deficiency Notice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23, 2026, the Company received a notice (the “Notice”) from the Listing Qualifications Staff of The Nasdaq Stock Market LLC (“Nasdaq”) notifying the Company that, for the last 30 consecutive business days, the bid price of the Company’s Class A common stock had closed below $1.00 per share, the minimum closing bid price required by the continued listing requirements of Nasdaq Listing Rule 5450(a)(1) (the “Bid Price Requirement”). While the Notice has no immediate effect on the listing or trading of the Company’s Class A common stock on The Nasdaq Global Market, the Company has until January 19, 2027 (the “Compliance Date”) to regain compliance. If the Company does not regain compliance with the Bid Price Requirement by the Compliance Date, the Company may be eligible for an additional 180 calendar day compliance period. If the Company does not regain compliance during the compliance period, including any additional compliance period, the Company’s Class A common stock may be subject to a delisting determination.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Organizational Restructuring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10, 2026, the Company committed to an organizational restructuring program (the “2026 Restructuring Program”) designed to restructure resources focused specifically on its Proteus development program as well as other adjustments to streamline general and administrative expenses to align with the estimated Proteus launch. As a result, the Company is terminating approximately 20% of its 152 employee workforce. In connection with the restructuring, the Company expects that it will recognize one-time cash charges related to severance and other benefits of approximately $2.6 million in the second half of 2026, and expects substantially all related cash expenditures to be incurred in the second half of 2026. In addition, the Company expects to recognize non-cash expense related to stock option modifications in the second half of 2026 in the amount of approximately $0.1 million. The Company expects to substantially complete the 2026 Restructuring Program by the end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following discussion and analysis provides information which management believes is relevant to an assessment and understanding of our condensed consolidated results of operations and financial condition. The discussion should be read in conjunction with (i) the unaudited Condensed Consolidated Financial Statements and notes thereto contained in this Quarterly Report on Form 10-Q, (ii) the Consolidated Financial Statements and notes thereto for the year ended December 31, 2025 contained in our Annual Report on Form 10-K for the year ended December 31, 2025, filed with the Securities and Exchange Commission (the “SEC”) on March 3, 2026, and (iii) our other public reports filed with the SEC. This discussion contains forward looking statements and involves numerous risks and uncertainties, including, but not limited to, those described in the “Risk Factors” section of our Annual Report on Form 10-K for the year ended December 31, 2025, this Quarterly Report on Form 10-Q and in other filings that we make with the Securities and Exchange Commission. Actual results may differ materially from those contained in any forward-looking statements. Unless the context otherwise requires, references to “we”, “us”, “our”, the “Company” or “Quantum-Si” are intended to mean the business and operations of Quantum-Si Incorporated and its consolidated subsidiaries. The unaudited Condensed Consolidated Financial Statements for the three and six months ended June 30, 2026 and 2025 present the financial position and results of operations of Quantum-Si Incorporated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240" w:after="283"/>
        <w:jc w:val="both"/>
        <w:rPr/>
      </w:pPr>
      <w:r>
        <w:rPr>
          <w:rFonts w:ascii="Times New Roman;serif" w:hAnsi="Times New Roman;serif"/>
          <w:b w:val="false"/>
          <w:color w:val="000000"/>
          <w:sz w:val="20"/>
        </w:rPr>
        <w:t>We are a life sciences company focused on proteomics research, with the mission of transforming single-molecule analysis and democratizing its use by providing researchers and clinicians access to the proteome, the set of proteins expressed within a cell through single-molecule protein sequencing. We have developed a proprietary, universal, single-molecule detection platform that we are applying to proteomics to enable single-molecule protein sequencing to sequence proteins in a massively parallel fashion (rather than sequentially, one at a time), which can also be used for the study of nucleic acids. We believe the ability to sequence proteins in a massively parallel fashion and offer a fast analysis time has the potential to unlock significant biological information through improved resolution and unbiased access to the proteome at a speed and scale not available today. Traditionally, proteomic workflows to sequence proteins required days or weeks to complete. Our current platform includes our Platinum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single-molecule protein sequencing line of instruments, Platinum Analysis Software and consumable kits for use with our Platinum line of instruments. In 2021, we introduced our Platinum early access program to sites with participation from leading academic centers and key industry partners. The early access program introduced the Platinum single-molecule sequencing system to key opinion leaders across the globe for both expansion and development of applications and workflows. We began a controlled launch of the Platinum instrument and started to take orders in December 2022, subsequently began a controlled commercial launch of Platinum in January 2023 and then moved to a full commercial launch of Platinum beginning in the second quarter of 2024. In January 2025, we announced the launch of our Platinum Pro benchtop sequencer. First shipments of Platinum Pro occurred in March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our platform offers a differentiated solution in a rapidly evolving proteomics tools market. Within our initial focus market of proteomics, our platform is designed to provide users a seamless opportunity to gain key insights into the immediate state of biological pathways and cell state. Our platform aims to address many of the key challenges and bottlenecks with legacy proteomic solutions, such as mass spectrometry (“MS”), which include high instrument costs both in terms of acquisition and ownership, and complexity with data analysis, which together limit broad adoption. We believe our platform, which is designed to streamline sequencing and data analysis at a lower instrument cost and with greater automation than legacy proteomic solutions, could allow our product to have wide utility across the study of the proteome. For example, our platform could be used for biomarker discovery and disease detection, pathway analysis, immune response, vaccine development, quality assurance and quality control, among other applications.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2025, we presented an updated technology and product roadmap that we believe positions us to be a leader in proteomics, including instrumentation, consumable kits and software tools. We intend to continue to execute on this roadmap through a combination of internal development programs and external partnerships to bring to market the most comprehensive proteomics platform in our industry.</w:t>
      </w:r>
    </w:p>
    <w:p>
      <w:pPr>
        <w:pStyle w:val="TextBody"/>
        <w:bidi w:val="0"/>
        <w:spacing w:lineRule="auto" w:line="288" w:before="240" w:after="283"/>
        <w:jc w:val="both"/>
        <w:rPr/>
      </w:pPr>
      <w:r>
        <w:rPr>
          <w:rFonts w:ascii="Times New Roman;serif" w:hAnsi="Times New Roman;serif"/>
          <w:b w:val="false"/>
          <w:color w:val="000000"/>
          <w:sz w:val="20"/>
        </w:rPr>
        <w:t>Most importantly, this roadmap includes the development of Proteus</w:t>
      </w:r>
      <w:r>
        <w:rPr>
          <w:rFonts w:ascii="Times New Roman;serif" w:hAnsi="Times New Roman;serif"/>
          <w:b w:val="false"/>
          <w:color w:val="000000"/>
          <w:sz w:val="13"/>
        </w:rPr>
        <w:t>TM</w:t>
      </w:r>
      <w:r>
        <w:rPr>
          <w:rFonts w:ascii="Times New Roman;serif" w:hAnsi="Times New Roman;serif"/>
          <w:b w:val="false"/>
          <w:color w:val="000000"/>
          <w:sz w:val="20"/>
        </w:rPr>
        <w:t xml:space="preserve">, our next-generation platform, which was announced in November 2024 and is estimated to be launched in the second quarter of 2027. Proteus aims to provide single-molecule, amino acid level resolution while also providing anticipated significantly higher sequencing output per sample and increased sample throughput per run, automation of the sequencing workflow and automated data analysis as compared to Platinum Pro. The Proteus platform is being developed to be a modular, scalable system that allows for expansion in the overall platform, the number of consumables that can be processed concurrently and the overall output of sample data from the platform. The first generation of Proteus and associated sequencing consumables is anticipated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include motion control, liquid handling, and a new on-board single optical system with the ability to accept a new consumable chip that has approximately 80 million features. We believe this new platform will provide much deeper insights while simplifying and significantly reducing the cost of the underlying consumable. In addition, during our presentation in November 2025, we provided data demonstrating the wide range of proteomics applications that are addressable with our proprietary, single-molecule, kinetic detection technology. As a result of the anticipated launch of Proteus, we expect some customers may delay purchasing decisions for existing products, which is expected to adversely impact revenue until Proteus becomes commercially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shd w:fill="FFFFFF" w:val="clear"/>
        </w:rPr>
        <w:t xml:space="preserve">Results of Operations for the Three and Six Months Ended </w:t>
      </w:r>
      <w:r>
        <w:rPr>
          <w:rFonts w:ascii="Times New Roman;serif" w:hAnsi="Times New Roman;serif"/>
          <w:b/>
          <w:color w:val="000000"/>
          <w:sz w:val="20"/>
        </w:rPr>
        <w:t>June 30, 2026</w:t>
      </w:r>
      <w:r>
        <w:rPr>
          <w:color w:val="000000"/>
          <w:shd w:fill="FFFFFF" w:val="clear"/>
        </w:rPr>
        <w:t xml:space="preserve"> </w:t>
      </w:r>
      <w:r>
        <w:rPr>
          <w:rFonts w:ascii="Times New Roman;serif" w:hAnsi="Times New Roman;serif"/>
          <w:b/>
          <w:color w:val="000000"/>
          <w:sz w:val="20"/>
          <w:shd w:fill="FFFFFF" w:val="clear"/>
        </w:rPr>
        <w:t xml:space="preserve">as Compared to the </w:t>
      </w:r>
      <w:r>
        <w:rPr>
          <w:rFonts w:ascii="Times New Roman;serif" w:hAnsi="Times New Roman;serif"/>
          <w:b/>
          <w:color w:val="000000"/>
          <w:sz w:val="20"/>
        </w:rPr>
        <w:t>Three and Six</w:t>
      </w:r>
      <w:r>
        <w:rPr>
          <w:color w:val="000000"/>
          <w:shd w:fill="FFFFFF" w:val="clear"/>
        </w:rPr>
        <w:t xml:space="preserve"> </w:t>
      </w:r>
      <w:r>
        <w:rPr>
          <w:rFonts w:ascii="Times New Roman;serif" w:hAnsi="Times New Roman;serif"/>
          <w:b/>
          <w:color w:val="000000"/>
          <w:sz w:val="20"/>
          <w:shd w:fill="FFFFFF" w:val="clear"/>
        </w:rPr>
        <w:t xml:space="preserve">Months Ended </w:t>
      </w:r>
      <w:r>
        <w:rPr>
          <w:rFonts w:ascii="Times New Roman;serif" w:hAnsi="Times New Roman;serif"/>
          <w:b/>
          <w:color w:val="000000"/>
          <w:sz w:val="20"/>
        </w:rPr>
        <w:t>June 30, 2025</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following table presents the Condensed Consolidated Statements of Operations and Comprehensive Loss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(dollars in thousands):</w:t>
      </w:r>
    </w:p>
    <w:tbl>
      <w:tblPr>
        <w:tblW w:w="11115" w:type="dxa"/>
        <w:jc w:val="left"/>
        <w:tblInd w:w="0" w:type="dxa"/>
        <w:tblLayout w:type="fixed"/>
        <w:tblCellMar>
          <w:top w:w="28" w:type="dxa"/>
          <w:left w:w="28" w:type="dxa"/>
          <w:bottom w:w="28" w:type="dxa"/>
          <w:right w:w="28" w:type="dxa"/>
        </w:tblCellMar>
      </w:tblPr>
      <w:tblGrid>
        <w:gridCol w:w="613"/>
        <w:gridCol w:w="248"/>
        <w:gridCol w:w="250"/>
        <w:gridCol w:w="196"/>
        <w:gridCol w:w="661"/>
        <w:gridCol w:w="109"/>
        <w:gridCol w:w="109"/>
        <w:gridCol w:w="109"/>
        <w:gridCol w:w="109"/>
        <w:gridCol w:w="196"/>
        <w:gridCol w:w="661"/>
        <w:gridCol w:w="109"/>
        <w:gridCol w:w="109"/>
        <w:gridCol w:w="109"/>
        <w:gridCol w:w="109"/>
        <w:gridCol w:w="196"/>
        <w:gridCol w:w="556"/>
        <w:gridCol w:w="109"/>
        <w:gridCol w:w="109"/>
        <w:gridCol w:w="109"/>
        <w:gridCol w:w="109"/>
        <w:gridCol w:w="284"/>
        <w:gridCol w:w="287"/>
        <w:gridCol w:w="503"/>
        <w:gridCol w:w="109"/>
        <w:gridCol w:w="109"/>
        <w:gridCol w:w="109"/>
        <w:gridCol w:w="196"/>
        <w:gridCol w:w="661"/>
        <w:gridCol w:w="109"/>
        <w:gridCol w:w="109"/>
        <w:gridCol w:w="109"/>
        <w:gridCol w:w="109"/>
        <w:gridCol w:w="196"/>
        <w:gridCol w:w="661"/>
        <w:gridCol w:w="109"/>
        <w:gridCol w:w="109"/>
        <w:gridCol w:w="109"/>
        <w:gridCol w:w="109"/>
        <w:gridCol w:w="196"/>
        <w:gridCol w:w="556"/>
        <w:gridCol w:w="109"/>
        <w:gridCol w:w="109"/>
        <w:gridCol w:w="109"/>
        <w:gridCol w:w="109"/>
        <w:gridCol w:w="284"/>
        <w:gridCol w:w="287"/>
        <w:gridCol w:w="484"/>
      </w:tblGrid>
      <w:tr>
        <w:trPr/>
        <w:tc>
          <w:tcPr>
            <w:tcW w:w="61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8"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(58.0)</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Cost of revenue</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(75.9)</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Legal settlement expense, net of insurance proceeds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(30,120)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(49,682)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(55,232)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(144.0)</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(67.0)</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(provision) benefit for income taxes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(45,327)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(47,994)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(493.5)</w:t>
            </w:r>
          </w:p>
        </w:tc>
        <w:tc>
          <w:tcPr>
            <w:tcW w:w="48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(23,534)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(28,836)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(45,205)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(48,025)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4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Revenue, Cost of Revenue and Gross Profit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 is derived from sales of products and services. Product revenue is generated from the following sources: (i) sales of our Platinum line of instruments, (ii) consumables kits, including Library Preparation Kits, Sequencing Kits (which includes sequencing reagents and semiconductor chips), and other related reagent kits, and (iii) freight revenue, which is recognized upon shipment. Service revenue is generated from service maintenance contracts including Platinum Analysis Software access, and advanced training for instrument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revenue primarily consists of product and service costs including material costs, personnel costs and benefits, inbound and outbound freight, packaging, warranty replacement costs, royalty costs, facilities costs, depreciation and amortization expense, and inventory write-offs.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Revenue, Cost of revenue and Gross profit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are as follows (dollars in thousands):</w:t>
      </w:r>
    </w:p>
    <w:tbl>
      <w:tblPr>
        <w:tblW w:w="10502" w:type="dxa"/>
        <w:jc w:val="left"/>
        <w:tblInd w:w="0" w:type="dxa"/>
        <w:tblLayout w:type="fixed"/>
        <w:tblCellMar>
          <w:top w:w="28" w:type="dxa"/>
          <w:left w:w="28" w:type="dxa"/>
          <w:bottom w:w="28" w:type="dxa"/>
          <w:right w:w="28" w:type="dxa"/>
        </w:tblCellMar>
      </w:tblPr>
      <w:tblGrid>
        <w:gridCol w:w="283"/>
        <w:gridCol w:w="248"/>
        <w:gridCol w:w="250"/>
        <w:gridCol w:w="196"/>
        <w:gridCol w:w="421"/>
        <w:gridCol w:w="256"/>
        <w:gridCol w:w="109"/>
        <w:gridCol w:w="109"/>
        <w:gridCol w:w="109"/>
        <w:gridCol w:w="196"/>
        <w:gridCol w:w="421"/>
        <w:gridCol w:w="256"/>
        <w:gridCol w:w="109"/>
        <w:gridCol w:w="109"/>
        <w:gridCol w:w="109"/>
        <w:gridCol w:w="222"/>
        <w:gridCol w:w="494"/>
        <w:gridCol w:w="125"/>
        <w:gridCol w:w="109"/>
        <w:gridCol w:w="109"/>
        <w:gridCol w:w="109"/>
        <w:gridCol w:w="284"/>
        <w:gridCol w:w="287"/>
        <w:gridCol w:w="503"/>
        <w:gridCol w:w="109"/>
        <w:gridCol w:w="109"/>
        <w:gridCol w:w="109"/>
        <w:gridCol w:w="196"/>
        <w:gridCol w:w="421"/>
        <w:gridCol w:w="256"/>
        <w:gridCol w:w="109"/>
        <w:gridCol w:w="109"/>
        <w:gridCol w:w="109"/>
        <w:gridCol w:w="196"/>
        <w:gridCol w:w="556"/>
        <w:gridCol w:w="256"/>
        <w:gridCol w:w="109"/>
        <w:gridCol w:w="109"/>
        <w:gridCol w:w="109"/>
        <w:gridCol w:w="222"/>
        <w:gridCol w:w="494"/>
        <w:gridCol w:w="125"/>
        <w:gridCol w:w="109"/>
        <w:gridCol w:w="109"/>
        <w:gridCol w:w="109"/>
        <w:gridCol w:w="240"/>
        <w:gridCol w:w="241"/>
        <w:gridCol w:w="568"/>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2"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5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5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(831)</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(58.0)</w:t>
            </w:r>
          </w:p>
        </w:tc>
        <w:tc>
          <w:tcPr>
            <w:tcW w:w="5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Cost of revenue</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5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(75.9)</w:t>
            </w:r>
          </w:p>
        </w:tc>
        <w:tc>
          <w:tcPr>
            <w:tcW w:w="5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5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568"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Gross profit margin</w:t>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Total revenue for the sale of our Platinum line of instruments, related reagent kits and service maintenance contracts decreased by </w:t>
      </w:r>
      <w:r>
        <w:rPr>
          <w:rFonts w:ascii="Times New Roman;serif" w:hAnsi="Times New Roman;serif"/>
          <w:b w:val="false"/>
          <w:color w:val="000000"/>
          <w:sz w:val="20"/>
        </w:rPr>
        <w:t xml:space="preserve">$0.2 million, or 41.8%, and $0.8 million, or 58.0%,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2026, respectively, when </w:t>
      </w:r>
      <w:r>
        <w:rPr>
          <w:rFonts w:ascii="Times New Roman;serif" w:hAnsi="Times New Roman;serif"/>
          <w:b w:val="false"/>
          <w:color w:val="000000"/>
          <w:sz w:val="20"/>
          <w:shd w:fill="FFFFFF" w:val="clear"/>
        </w:rPr>
        <w:t xml:space="preserve">compared to the same periods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 decrease in revenue was primarily driven by lower sales volumes of instruments and consumables as customers deferred purchasing decisions in anticipation of the expected commercial launch of Proteus. We expect revenue in 2026 to continue to be impacted as customers may delay purchases ahead of Proteus becoming commercially available.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Total cost of revenue decreased </w:t>
      </w:r>
      <w:r>
        <w:rPr>
          <w:rFonts w:ascii="Times New Roman;serif" w:hAnsi="Times New Roman;serif"/>
          <w:b w:val="false"/>
          <w:color w:val="000000"/>
          <w:sz w:val="20"/>
        </w:rPr>
        <w:t xml:space="preserve">$0.1 million, or 28.3%, and $0.2 million, or 40.3%,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2026, when </w:t>
      </w:r>
      <w:r>
        <w:rPr>
          <w:rFonts w:ascii="Times New Roman;serif" w:hAnsi="Times New Roman;serif"/>
          <w:b w:val="false"/>
          <w:color w:val="000000"/>
          <w:sz w:val="20"/>
          <w:shd w:fill="FFFFFF" w:val="clear"/>
        </w:rPr>
        <w:t xml:space="preserve">compared to the same periods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The change in the cost of revenue is directly correlated to the relative revenue and volume decreases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as compared to the same periods in </w:t>
      </w:r>
      <w:r>
        <w:rPr>
          <w:rFonts w:ascii="Times New Roman;serif" w:hAnsi="Times New Roman;serif"/>
          <w:b w:val="false"/>
          <w:color w:val="000000"/>
          <w:sz w:val="20"/>
        </w:rPr>
        <w:t>2025.</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Gross profit decreased </w:t>
      </w:r>
      <w:r>
        <w:rPr>
          <w:rFonts w:ascii="Times New Roman;serif" w:hAnsi="Times New Roman;serif"/>
          <w:b w:val="false"/>
          <w:color w:val="000000"/>
          <w:sz w:val="20"/>
        </w:rPr>
        <w:t>$0.2 million, or</w:t>
      </w:r>
      <w:r>
        <w:rPr>
          <w:color w:val="000000"/>
          <w:shd w:fill="FFFFFF" w:val="clear"/>
        </w:rPr>
        <w:t xml:space="preserve"> </w:t>
      </w:r>
      <w:r>
        <w:rPr>
          <w:rFonts w:ascii="Times New Roman;serif" w:hAnsi="Times New Roman;serif"/>
          <w:b w:val="false"/>
          <w:color w:val="000000"/>
          <w:sz w:val="20"/>
        </w:rPr>
        <w:t xml:space="preserve">51.0%, and $0.6 million, or 70.6%,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when compared to the same periods in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Gross profit margin was </w:t>
      </w:r>
      <w:r>
        <w:rPr>
          <w:rFonts w:ascii="Times New Roman;serif" w:hAnsi="Times New Roman;serif"/>
          <w:b w:val="false"/>
          <w:color w:val="000000"/>
          <w:sz w:val="20"/>
        </w:rPr>
        <w:t xml:space="preserve">50.0% and 40.9%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respectively, as</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 xml:space="preserve">59.4% and 58.4% </w:t>
      </w:r>
      <w:r>
        <w:rPr>
          <w:rFonts w:ascii="Times New Roman;serif" w:hAnsi="Times New Roman;serif"/>
          <w:b w:val="false"/>
          <w:color w:val="000000"/>
          <w:sz w:val="20"/>
          <w:shd w:fill="FFFFFF" w:val="clear"/>
        </w:rPr>
        <w:t>f</w:t>
      </w:r>
      <w:r>
        <w:rPr>
          <w:rFonts w:ascii="Times New Roman;serif" w:hAnsi="Times New Roman;serif"/>
          <w:b w:val="false"/>
          <w:color w:val="000000"/>
          <w:sz w:val="20"/>
        </w:rPr>
        <w:t>or the same periods in 2025, respectively. This change in margin was primarily based on the mix of products sold during each period. We expect gross profit margin to be variable for the foreseeable future as we work through our continued commercialization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Research and Development Expenses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Research and development expenses primarily consist of personnel costs and benefits, stock-based compensation, lab supplies, consulting and professional services, fabrication services, charges related to product without an alternative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use, facilities costs, software, and other outsourced expenses. Research and development expenses are recognized as incurred. Our research and development expenses are primarily related to developing new products and services.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Research and development expenses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are as follows (dollars in thousands):</w:t>
      </w:r>
    </w:p>
    <w:tbl>
      <w:tblPr>
        <w:tblW w:w="11401" w:type="dxa"/>
        <w:jc w:val="left"/>
        <w:tblInd w:w="0" w:type="dxa"/>
        <w:tblLayout w:type="fixed"/>
        <w:tblCellMar>
          <w:top w:w="28" w:type="dxa"/>
          <w:left w:w="28" w:type="dxa"/>
          <w:bottom w:w="28" w:type="dxa"/>
          <w:right w:w="28" w:type="dxa"/>
        </w:tblCellMar>
      </w:tblPr>
      <w:tblGrid>
        <w:gridCol w:w="430"/>
        <w:gridCol w:w="377"/>
        <w:gridCol w:w="379"/>
        <w:gridCol w:w="211"/>
        <w:gridCol w:w="721"/>
        <w:gridCol w:w="109"/>
        <w:gridCol w:w="109"/>
        <w:gridCol w:w="109"/>
        <w:gridCol w:w="109"/>
        <w:gridCol w:w="211"/>
        <w:gridCol w:w="721"/>
        <w:gridCol w:w="109"/>
        <w:gridCol w:w="109"/>
        <w:gridCol w:w="109"/>
        <w:gridCol w:w="109"/>
        <w:gridCol w:w="241"/>
        <w:gridCol w:w="534"/>
        <w:gridCol w:w="126"/>
        <w:gridCol w:w="109"/>
        <w:gridCol w:w="109"/>
        <w:gridCol w:w="109"/>
        <w:gridCol w:w="220"/>
        <w:gridCol w:w="220"/>
        <w:gridCol w:w="55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195"/>
        <w:gridCol w:w="528"/>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$0.6 million, or 4.0%, for the three months ended June 30, 2026, when compared to the same period in 2025. This increase was primarily driven by a $0.6 million increase in fabrication and outsourced services driven by efforts to support the development of our Proteus platform, $0.3 million increase in laboratory supplies and a $0.3 million increase in payroll and payroll-related costs. These increases were partially offset by a $0.6 million decrease in facility-related costs primarily driven by the New Haven lease termination that occurred in the third quarter of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$1.4 million, or 4.8%, for the six months ended June 30, 2026, when compared to the same period in 2025. This increase was primarily driven by a $1.1 million increase in laboratory supplies, $0.8 million of fabrication and outsourced services driven by efforts to support the development of our Proteus platform, a $0.6 million increase of payroll and payroll-related costs and a $0.3 million net increase in depreciation expense. These increases were partially offset by a $1.2 million decrease in facility-related costs primarily driven by the New Haven lease termination that occurred in the third quarter of 2025 and a $0.2 million decrease in professional services and consulting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Selling, General and Administrative Expenses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Selling, general and administrative expenses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are as follows (dollars in thousands):</w:t>
      </w:r>
    </w:p>
    <w:tbl>
      <w:tblPr>
        <w:tblW w:w="11672" w:type="dxa"/>
        <w:jc w:val="left"/>
        <w:tblInd w:w="0" w:type="dxa"/>
        <w:tblLayout w:type="fixed"/>
        <w:tblCellMar>
          <w:top w:w="28" w:type="dxa"/>
          <w:left w:w="28" w:type="dxa"/>
          <w:bottom w:w="28" w:type="dxa"/>
          <w:right w:w="28" w:type="dxa"/>
        </w:tblCellMar>
      </w:tblPr>
      <w:tblGrid>
        <w:gridCol w:w="468"/>
        <w:gridCol w:w="411"/>
        <w:gridCol w:w="412"/>
        <w:gridCol w:w="211"/>
        <w:gridCol w:w="616"/>
        <w:gridCol w:w="109"/>
        <w:gridCol w:w="109"/>
        <w:gridCol w:w="109"/>
        <w:gridCol w:w="109"/>
        <w:gridCol w:w="211"/>
        <w:gridCol w:w="721"/>
        <w:gridCol w:w="109"/>
        <w:gridCol w:w="109"/>
        <w:gridCol w:w="109"/>
        <w:gridCol w:w="109"/>
        <w:gridCol w:w="211"/>
        <w:gridCol w:w="631"/>
        <w:gridCol w:w="109"/>
        <w:gridCol w:w="109"/>
        <w:gridCol w:w="109"/>
        <w:gridCol w:w="109"/>
        <w:gridCol w:w="263"/>
        <w:gridCol w:w="263"/>
        <w:gridCol w:w="551"/>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63"/>
        <w:gridCol w:w="263"/>
        <w:gridCol w:w="528"/>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6"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8"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$1.9 million, or 16.1%, for the three months ended June 30, 2026, when compared to the same period in 2025. This decrease was primarily due to a $0.9 million decrease in legal fees, a $0.4 million decrease in professional services and consulting fees, a $0.3 million decrease in payroll and payroll-related costs, a $0.2 million decrease in personal property tax expense, a $0.2 million decrease in trade show and other marketing-related costs and a $0.2 million net decrease in other expenses. These decreases were partially offset by a $0.3 million increase in stock-based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$4.2 million, or 17.5%, for the six months ended June 30, 2026, when compared to the same period in 2025. This decrease was primarily due to a $2.3 million decrease in legal fees, a $0.7 million decrease in payroll and payroll-related costs, a $0.6 million decrease in professional services and consulting fees, a $0.5 million decrease in trade show and other marketing-related costs, a $0.2 million decrease in personal property tax expense, a $0.2 million decrease in insurance expense and a $0.1 million net decrease in other expenses. These decreases were partially offset by a $0.4 million increase in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Legal Settlement Expense, Net of Insurance Proceeds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Legal settlement expense, net of insurance proceeds is as follows (dollars in thousands):</w:t>
      </w:r>
    </w:p>
    <w:tbl>
      <w:tblPr>
        <w:tblW w:w="10817" w:type="dxa"/>
        <w:jc w:val="left"/>
        <w:tblInd w:w="0" w:type="dxa"/>
        <w:tblLayout w:type="fixed"/>
        <w:tblCellMar>
          <w:top w:w="28" w:type="dxa"/>
          <w:left w:w="28" w:type="dxa"/>
          <w:bottom w:w="28" w:type="dxa"/>
          <w:right w:w="28" w:type="dxa"/>
        </w:tblCellMar>
      </w:tblPr>
      <w:tblGrid>
        <w:gridCol w:w="348"/>
        <w:gridCol w:w="306"/>
        <w:gridCol w:w="307"/>
        <w:gridCol w:w="211"/>
        <w:gridCol w:w="406"/>
        <w:gridCol w:w="109"/>
        <w:gridCol w:w="109"/>
        <w:gridCol w:w="109"/>
        <w:gridCol w:w="109"/>
        <w:gridCol w:w="211"/>
        <w:gridCol w:w="616"/>
        <w:gridCol w:w="109"/>
        <w:gridCol w:w="109"/>
        <w:gridCol w:w="109"/>
        <w:gridCol w:w="109"/>
        <w:gridCol w:w="211"/>
        <w:gridCol w:w="631"/>
        <w:gridCol w:w="109"/>
        <w:gridCol w:w="109"/>
        <w:gridCol w:w="109"/>
        <w:gridCol w:w="109"/>
        <w:gridCol w:w="315"/>
        <w:gridCol w:w="316"/>
        <w:gridCol w:w="551"/>
        <w:gridCol w:w="109"/>
        <w:gridCol w:w="109"/>
        <w:gridCol w:w="109"/>
        <w:gridCol w:w="211"/>
        <w:gridCol w:w="406"/>
        <w:gridCol w:w="109"/>
        <w:gridCol w:w="109"/>
        <w:gridCol w:w="109"/>
        <w:gridCol w:w="109"/>
        <w:gridCol w:w="211"/>
        <w:gridCol w:w="616"/>
        <w:gridCol w:w="109"/>
        <w:gridCol w:w="109"/>
        <w:gridCol w:w="109"/>
        <w:gridCol w:w="109"/>
        <w:gridCol w:w="211"/>
        <w:gridCol w:w="631"/>
        <w:gridCol w:w="109"/>
        <w:gridCol w:w="109"/>
        <w:gridCol w:w="109"/>
        <w:gridCol w:w="109"/>
        <w:gridCol w:w="315"/>
        <w:gridCol w:w="316"/>
        <w:gridCol w:w="528"/>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expense, net of insurance proceeds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val="false"/>
          <w:color w:val="000000"/>
          <w:sz w:val="20"/>
        </w:rPr>
        <w:t xml:space="preserve">Legal settlement expense, net of insurance proceeds, decreased $3.4 million, or 100.0% for both the three and six months ended June 30, 2026, as compared to the same periods in 2025. The $3.4 million of expense for the three and six months ended June 30, 2025 was related to a </w:t>
      </w:r>
      <w:r>
        <w:rPr>
          <w:rFonts w:ascii="Times New Roman;serif" w:hAnsi="Times New Roman;serif"/>
          <w:b w:val="false"/>
          <w:color w:val="000000"/>
          <w:sz w:val="20"/>
          <w:shd w:fill="FFFFFF" w:val="clear"/>
        </w:rPr>
        <w:t xml:space="preserve">preliminary legal settlement being reached for the Delaware Stockholder Litigation in the second quarter of 2025. For further information on the Delaware Stockholder Litigation, please refer to </w:t>
      </w:r>
      <w:hyperlink w:anchor="ie8e17d9b0efc4096bd67d8d2976a25ce_82">
        <w:r>
          <w:rPr>
            <w:rStyle w:val="InternetLink"/>
            <w:rFonts w:ascii="Times New Roman;serif" w:hAnsi="Times New Roman;serif"/>
            <w:b w:val="false"/>
            <w:color w:val="0000FF"/>
            <w:sz w:val="20"/>
            <w:u w:val="single"/>
          </w:rPr>
          <w:t>Note 16. Commitments and Contingencies</w:t>
        </w:r>
      </w:hyperlink>
      <w:r>
        <w:rPr>
          <w:color w:val="000000"/>
          <w:shd w:fill="FFFFFF" w:val="clear"/>
        </w:rPr>
        <w:t xml:space="preserve"> </w:t>
      </w:r>
      <w:r>
        <w:rPr>
          <w:rFonts w:ascii="Times New Roman;serif" w:hAnsi="Times New Roman;serif"/>
          <w:b w:val="false"/>
          <w:color w:val="000000"/>
          <w:sz w:val="20"/>
          <w:shd w:fill="FFFFFF" w:val="clear"/>
        </w:rPr>
        <w:t>in the notes to the unaudited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Dividend Income and Interest Income</w:t>
      </w:r>
    </w:p>
    <w:p>
      <w:pPr>
        <w:pStyle w:val="TextBody"/>
        <w:bidi w:val="0"/>
        <w:spacing w:before="240" w:after="283"/>
        <w:jc w:val="left"/>
        <w:rPr/>
      </w:pPr>
      <w:r>
        <w:rPr/>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dividend income and interest income was derived primarily from fixed income securities and money market mutual funds, respectively.</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Dividend income and interest income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is as follows (dollars in thousands):</w:t>
      </w:r>
    </w:p>
    <w:tbl>
      <w:tblPr>
        <w:tblW w:w="10902" w:type="dxa"/>
        <w:jc w:val="left"/>
        <w:tblInd w:w="0" w:type="dxa"/>
        <w:tblLayout w:type="fixed"/>
        <w:tblCellMar>
          <w:top w:w="28" w:type="dxa"/>
          <w:left w:w="28" w:type="dxa"/>
          <w:bottom w:w="28" w:type="dxa"/>
          <w:right w:w="28" w:type="dxa"/>
        </w:tblCellMar>
      </w:tblPr>
      <w:tblGrid>
        <w:gridCol w:w="321"/>
        <w:gridCol w:w="282"/>
        <w:gridCol w:w="283"/>
        <w:gridCol w:w="211"/>
        <w:gridCol w:w="616"/>
        <w:gridCol w:w="109"/>
        <w:gridCol w:w="109"/>
        <w:gridCol w:w="109"/>
        <w:gridCol w:w="109"/>
        <w:gridCol w:w="211"/>
        <w:gridCol w:w="616"/>
        <w:gridCol w:w="109"/>
        <w:gridCol w:w="109"/>
        <w:gridCol w:w="109"/>
        <w:gridCol w:w="109"/>
        <w:gridCol w:w="237"/>
        <w:gridCol w:w="541"/>
        <w:gridCol w:w="123"/>
        <w:gridCol w:w="109"/>
        <w:gridCol w:w="109"/>
        <w:gridCol w:w="109"/>
        <w:gridCol w:w="263"/>
        <w:gridCol w:w="263"/>
        <w:gridCol w:w="551"/>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63"/>
        <w:gridCol w:w="263"/>
        <w:gridCol w:w="528"/>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5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Dividend income decreased by </w:t>
      </w:r>
      <w:r>
        <w:rPr>
          <w:rFonts w:ascii="Times New Roman;serif" w:hAnsi="Times New Roman;serif"/>
          <w:b w:val="false"/>
          <w:color w:val="000000"/>
          <w:sz w:val="20"/>
        </w:rPr>
        <w:t xml:space="preserve">$41.0 thousand, or 26.5%, and $0.1 million, or 34.8%,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2026, respectively, when </w:t>
      </w:r>
      <w:r>
        <w:rPr>
          <w:rFonts w:ascii="Times New Roman;serif" w:hAnsi="Times New Roman;serif"/>
          <w:b w:val="false"/>
          <w:color w:val="000000"/>
          <w:sz w:val="20"/>
          <w:shd w:fill="FFFFFF" w:val="clear"/>
        </w:rPr>
        <w:t xml:space="preserve">compared to the same periods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Interest income decreased by </w:t>
      </w:r>
      <w:r>
        <w:rPr>
          <w:rFonts w:ascii="Times New Roman;serif" w:hAnsi="Times New Roman;serif"/>
          <w:b w:val="false"/>
          <w:color w:val="000000"/>
          <w:sz w:val="20"/>
        </w:rPr>
        <w:t xml:space="preserve">$0.6 million, or 28.4%, and $1.2 million, or 26.7%,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2026, respectively, when </w:t>
      </w:r>
      <w:r>
        <w:rPr>
          <w:rFonts w:ascii="Times New Roman;serif" w:hAnsi="Times New Roman;serif"/>
          <w:b w:val="false"/>
          <w:color w:val="000000"/>
          <w:sz w:val="20"/>
          <w:shd w:fill="FFFFFF" w:val="clear"/>
        </w:rPr>
        <w:t xml:space="preserve">compared to the same periods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These decreases in dividend income and interest income are a result of lower market interest rates on invested capital as well as relative lower invested balances in both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Change in Fair Value of Warrant Liabilities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Warrant liabilities were recorded at fair value as part of the Business Combination. Change in fair value of warrant liabilities primarily consists of the change in the fair value of our Public Warrants and Private Warrants.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Change in fair value of warrant liabilities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is as follows (dollars in thousands):</w:t>
      </w:r>
    </w:p>
    <w:tbl>
      <w:tblPr>
        <w:tblW w:w="10622" w:type="dxa"/>
        <w:jc w:val="left"/>
        <w:tblInd w:w="0" w:type="dxa"/>
        <w:tblLayout w:type="fixed"/>
        <w:tblCellMar>
          <w:top w:w="28" w:type="dxa"/>
          <w:left w:w="28" w:type="dxa"/>
          <w:bottom w:w="28" w:type="dxa"/>
          <w:right w:w="28" w:type="dxa"/>
        </w:tblCellMar>
      </w:tblPr>
      <w:tblGrid>
        <w:gridCol w:w="326"/>
        <w:gridCol w:w="287"/>
        <w:gridCol w:w="288"/>
        <w:gridCol w:w="211"/>
        <w:gridCol w:w="466"/>
        <w:gridCol w:w="109"/>
        <w:gridCol w:w="109"/>
        <w:gridCol w:w="109"/>
        <w:gridCol w:w="109"/>
        <w:gridCol w:w="211"/>
        <w:gridCol w:w="481"/>
        <w:gridCol w:w="109"/>
        <w:gridCol w:w="109"/>
        <w:gridCol w:w="109"/>
        <w:gridCol w:w="109"/>
        <w:gridCol w:w="211"/>
        <w:gridCol w:w="616"/>
        <w:gridCol w:w="109"/>
        <w:gridCol w:w="109"/>
        <w:gridCol w:w="109"/>
        <w:gridCol w:w="109"/>
        <w:gridCol w:w="315"/>
        <w:gridCol w:w="316"/>
        <w:gridCol w:w="551"/>
        <w:gridCol w:w="109"/>
        <w:gridCol w:w="109"/>
        <w:gridCol w:w="109"/>
        <w:gridCol w:w="211"/>
        <w:gridCol w:w="466"/>
        <w:gridCol w:w="109"/>
        <w:gridCol w:w="109"/>
        <w:gridCol w:w="109"/>
        <w:gridCol w:w="109"/>
        <w:gridCol w:w="211"/>
        <w:gridCol w:w="616"/>
        <w:gridCol w:w="109"/>
        <w:gridCol w:w="109"/>
        <w:gridCol w:w="109"/>
        <w:gridCol w:w="109"/>
        <w:gridCol w:w="211"/>
        <w:gridCol w:w="631"/>
        <w:gridCol w:w="109"/>
        <w:gridCol w:w="109"/>
        <w:gridCol w:w="109"/>
        <w:gridCol w:w="109"/>
        <w:gridCol w:w="263"/>
        <w:gridCol w:w="263"/>
        <w:gridCol w:w="528"/>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recognized $0.4 million of income upon the expiration of all outstanding Public Warrants and Private Warrants as compared to $1.0 million of expense from the increase in the fair value of warrant liabilities for the same period in 2025. The expense recognized for the three months ended June 30, 2025 was primarily driven by the change in the underlying trading price of our Class A common stock during the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we recognized $0.8 million of income due to the expiration of the outstanding Public Warrants and Private Warrants and the change in the underlying trading price of our Class A common stock during the period. For the six months ended June 30, 2025, we recognized $2.4 million of income from the decrease in the fair value of warrant liabilities, primarily driven by the change in the underlying trading price of our Class A common stock during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Other (Expense) Income, Net</w:t>
      </w:r>
    </w:p>
    <w:p>
      <w:pPr>
        <w:pStyle w:val="TextBody"/>
        <w:bidi w:val="0"/>
        <w:spacing w:lineRule="auto" w:line="288" w:before="240" w:after="120"/>
        <w:jc w:val="left"/>
        <w:rPr/>
      </w:pPr>
      <w:r>
        <w:rPr>
          <w:rFonts w:ascii="Times New Roman;serif" w:hAnsi="Times New Roman;serif"/>
          <w:b w:val="false"/>
          <w:color w:val="000000"/>
          <w:sz w:val="20"/>
          <w:shd w:fill="FFFFFF" w:val="clear"/>
        </w:rPr>
        <w:t xml:space="preserve">Other (expense) income, net, primarily consists of currency revaluations. Other (expense) income, net,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is as follows (dollars in thousands):</w:t>
      </w:r>
    </w:p>
    <w:tbl>
      <w:tblPr>
        <w:tblW w:w="10205" w:type="dxa"/>
        <w:jc w:val="left"/>
        <w:tblInd w:w="0" w:type="dxa"/>
        <w:tblLayout w:type="fixed"/>
        <w:tblCellMar>
          <w:top w:w="28" w:type="dxa"/>
          <w:left w:w="28" w:type="dxa"/>
          <w:bottom w:w="28" w:type="dxa"/>
          <w:right w:w="28" w:type="dxa"/>
        </w:tblCellMar>
      </w:tblPr>
      <w:tblGrid>
        <w:gridCol w:w="347"/>
        <w:gridCol w:w="306"/>
        <w:gridCol w:w="307"/>
        <w:gridCol w:w="211"/>
        <w:gridCol w:w="406"/>
        <w:gridCol w:w="109"/>
        <w:gridCol w:w="109"/>
        <w:gridCol w:w="109"/>
        <w:gridCol w:w="109"/>
        <w:gridCol w:w="211"/>
        <w:gridCol w:w="378"/>
        <w:gridCol w:w="109"/>
        <w:gridCol w:w="109"/>
        <w:gridCol w:w="109"/>
        <w:gridCol w:w="109"/>
        <w:gridCol w:w="279"/>
        <w:gridCol w:w="477"/>
        <w:gridCol w:w="145"/>
        <w:gridCol w:w="109"/>
        <w:gridCol w:w="109"/>
        <w:gridCol w:w="109"/>
        <w:gridCol w:w="316"/>
        <w:gridCol w:w="317"/>
        <w:gridCol w:w="551"/>
        <w:gridCol w:w="109"/>
        <w:gridCol w:w="109"/>
        <w:gridCol w:w="109"/>
        <w:gridCol w:w="211"/>
        <w:gridCol w:w="361"/>
        <w:gridCol w:w="109"/>
        <w:gridCol w:w="109"/>
        <w:gridCol w:w="109"/>
        <w:gridCol w:w="109"/>
        <w:gridCol w:w="211"/>
        <w:gridCol w:w="378"/>
        <w:gridCol w:w="109"/>
        <w:gridCol w:w="109"/>
        <w:gridCol w:w="109"/>
        <w:gridCol w:w="109"/>
        <w:gridCol w:w="279"/>
        <w:gridCol w:w="477"/>
        <w:gridCol w:w="145"/>
        <w:gridCol w:w="109"/>
        <w:gridCol w:w="109"/>
        <w:gridCol w:w="109"/>
        <w:gridCol w:w="316"/>
        <w:gridCol w:w="317"/>
        <w:gridCol w:w="534"/>
      </w:tblGrid>
      <w:tr>
        <w:trPr/>
        <w:tc>
          <w:tcPr>
            <w:tcW w:w="34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Liquidity and Capital Resources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following table presents a summary of our consolidated cash flows for operating, investing, and financing activities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(in thousands):</w:t>
      </w:r>
    </w:p>
    <w:tbl>
      <w:tblPr>
        <w:tblW w:w="8169" w:type="dxa"/>
        <w:jc w:val="left"/>
        <w:tblInd w:w="0" w:type="dxa"/>
        <w:tblLayout w:type="fixed"/>
        <w:tblCellMar>
          <w:top w:w="28" w:type="dxa"/>
          <w:left w:w="28" w:type="dxa"/>
          <w:bottom w:w="28" w:type="dxa"/>
          <w:right w:w="28" w:type="dxa"/>
        </w:tblCellMar>
      </w:tblPr>
      <w:tblGrid>
        <w:gridCol w:w="2013"/>
        <w:gridCol w:w="1773"/>
        <w:gridCol w:w="1779"/>
        <w:gridCol w:w="211"/>
        <w:gridCol w:w="796"/>
        <w:gridCol w:w="109"/>
        <w:gridCol w:w="109"/>
        <w:gridCol w:w="109"/>
        <w:gridCol w:w="109"/>
        <w:gridCol w:w="211"/>
        <w:gridCol w:w="796"/>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(46,351)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(29,139)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(27,053)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Net cash used in 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$44.1 million during the six months ended June 30, 2026. This cash used was primarily attributable to our net loss of $45.2 million, which resulted from continued spend on research and development and commercialization efforts. Net cash used was further impacted by $6.7 million of cash used from net changes in operating assets and liabilities, primarily due to the timing of cash receipts and payments for a legal settlement and activities in the ordinary course of business. In addition, operating cash flows were reduced by non-cash gains, including $1.6 million of accretion on marketable securities and a $0.8 million gain from changes in the fair value of warrant liabilities, primarily driven by the change in the underlying trading price of our Class A common stock. These items were partially offset by non-cash expenses, including stock-based compensation of $5.6 million, depreciation and amortization of $2.5 million, inventory write-downs of $1.4 million and non-cash lease expense of $0.8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$46.4 million during the six months ended June 30, 2025. This cash used was primarily attributable to our net loss of $48.0 million resulting from continued spend on research and development and commercialization efforts. Net cash used was further impacted by $1.3 million of cash used from net changes in operating assets and liabilities, primarily due to the timing of cash receipts and payments in the ordinary course of business. In addition, operating cash flows were reduced by non-cash gains, including $4.3 million of accretion on marketable securities and a $2.4 million gain from changes in fair value of warrant liabilities, primarily driven by the change in the underlying trading price of our Class A common stock. These items were partially offset by non-cash expenses, including stock-based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compensation of $5.3 million, depreciation and amortization of $2.1 million, non-cash lease expense of $1.3 million and inventory write-downs of $1.0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operating cash usage to continue to be impacted by operating results and working capital requirements.</w:t>
      </w:r>
    </w:p>
    <w:p>
      <w:pPr>
        <w:pStyle w:val="TextBody"/>
        <w:bidi w:val="0"/>
        <w:spacing w:lineRule="auto" w:line="288" w:before="24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Net cash provided by (used in) investing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$48.4 million during the six months ended June 30, 2026 compared to net cash used in investing activities of $29.1 million during the same period in 2025. Cash provided by investing activities during the current period was primarily attributable to $138.2 million of proceeds from sales and maturities of marketable securities, partially offset by $89.0 million of purchases of marketable securities, $0.4 million of purchases of property and equipment and $0.4 million of lease security deposits paid for the lease of a new facility in San Diego, California. The net cash inflow reflected the ongoing management of our investment portfolio to optimize liquidity and align investment maturities with anticipated cash requirements, while preserving capital, minimizing exposure to market and credit risk, and supporting our ability to fund ongoing research and development initiatives and operating needs. We also expect our net invested capital balance to vary in future quarters as we fund our operating needs primarily through our investment portfolio.</w:t>
      </w:r>
    </w:p>
    <w:p>
      <w:pPr>
        <w:pStyle w:val="TextBody"/>
        <w:bidi w:val="0"/>
        <w:spacing w:lineRule="auto" w:line="288" w:before="24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Net cash provided by financing activities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There was no net cash provided by financing activities during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$48.4 million</w:t>
      </w:r>
      <w:r>
        <w:rPr>
          <w:color w:val="000000"/>
          <w:shd w:fill="FFFFFF" w:val="clear"/>
        </w:rPr>
        <w:t xml:space="preserve"> </w:t>
      </w:r>
      <w:r>
        <w:rPr>
          <w:rFonts w:ascii="Times New Roman;serif" w:hAnsi="Times New Roman;serif"/>
          <w:b w:val="false"/>
          <w:color w:val="000000"/>
          <w:sz w:val="20"/>
          <w:shd w:fill="FFFFFF" w:val="clear"/>
        </w:rPr>
        <w:t xml:space="preserve">of net cash provided by financing activities during the same period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There were no financing transactions during the current period. Net cash provided by financing activities during the prior</w:t>
        <w:noBreakHyphen/>
        <w:t xml:space="preserve">year period was attributable to $46.8 million of net proceeds from the issuance of common stock in a net direct equity offering and $1.6 million of proceeds from the exercise of stock options. Further information regarding the direct equity offering can be found below under the header </w:t>
      </w:r>
      <w:hyperlink w:anchor="ie8e17d9b0efc4096bd67d8d2976a25ce_118">
        <w:r>
          <w:rPr>
            <w:rStyle w:val="InternetLink"/>
            <w:rFonts w:ascii="Times New Roman;serif" w:hAnsi="Times New Roman;serif"/>
            <w:b w:val="false"/>
            <w:color w:val="0000FF"/>
            <w:sz w:val="20"/>
            <w:u w:val="single"/>
            <w:shd w:fill="FFFFFF" w:val="clear"/>
          </w:rPr>
          <w:t>Liquidity Outlook</w:t>
        </w:r>
      </w:hyperlink>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Liquidity Outlook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our inception, we have funded our operations primarily with proceeds from the issuance of equity to private investors, as well as with the proceeds received from the closing of the Business Combination. Additionally, we began to generate revenue during 2023 from commercial sales of our Platinum instrument. Our primary uses of liquidity have been operating expenses, capital expenditures and our acquisition of certain assets. Cash flows from operations have been historically negative as we continue to invest in the development of our technology in single-molecule protein sequencing. Going forward, we anticipate debt or equity offerings will be the primary source of funds to support our operating needs and capital expenditures until we reach scale of our commercial operations. We expect to incur negative operating cash flows on an annual basis for the foreseeable future until such time that we can scale our revenue growth.</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our existing cash and cash equivalents and investments in marketable securities, together with revenue from the sale of our products and services, will be sufficient to meet our liquidity, capital expenditure, and anticipated working capital requirements and fund our operations for at least the next 12 months. We expect to use our cash and cash equivalents and investments in marketable securities and funds from revenue generated to invest in our continued commercialization efforts, to further invest in research and development, for other operating expenses, business acquisitions and for working capital and general corporate purposes.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we h</w:t>
      </w:r>
      <w:r>
        <w:rPr>
          <w:rFonts w:ascii="Times New Roman;serif" w:hAnsi="Times New Roman;serif"/>
          <w:b w:val="false"/>
          <w:color w:val="000000"/>
          <w:sz w:val="20"/>
        </w:rPr>
        <w:t>ad cash and cash eq</w:t>
      </w:r>
      <w:r>
        <w:rPr>
          <w:rFonts w:ascii="Times New Roman;serif" w:hAnsi="Times New Roman;serif"/>
          <w:b w:val="false"/>
          <w:color w:val="000000"/>
          <w:sz w:val="20"/>
          <w:shd w:fill="FFFFFF" w:val="clear"/>
        </w:rPr>
        <w:t xml:space="preserve">uivalents and investments in marketable securities of </w:t>
      </w:r>
      <w:r>
        <w:rPr>
          <w:rFonts w:ascii="Times New Roman;serif" w:hAnsi="Times New Roman;serif"/>
          <w:b w:val="false"/>
          <w:color w:val="000000"/>
          <w:sz w:val="20"/>
        </w:rPr>
        <w:t xml:space="preserve">$169.9 million. </w:t>
      </w:r>
      <w:r>
        <w:rPr>
          <w:rFonts w:ascii="Times New Roman;serif" w:hAnsi="Times New Roman;serif"/>
          <w:b w:val="false"/>
          <w:color w:val="000000"/>
          <w:sz w:val="20"/>
          <w:shd w:fill="FFFFFF" w:val="clear"/>
        </w:rPr>
        <w:t>Our future capital requirements may vary from those currently planned and will depend on various factors including the pace and success of product commercialization.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ongoing commercialization efforts and continued research and development activities in advance of the anticipated launch of Proteus may require increased levels of spending. These efforts and activities may include investments to expand sales and marketing capabilities, advance product development, and build inventory to support commercialization. Other factors that could accelerate cash requirements include: (i) delays in achieving scientific and technical milestones, (ii) unforeseen capital expenditures and manufacturing costs related to commercialization, (iii) changes to our business or commercialization strategy, including those related to the timing and scope of the Proteus launch, (iv) costs associated with operating as a public company, (v) other items affecting our forecasted expenditures and use of cash resources, including potential acquisitions and (vi) increased product and service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11, 2023, we filed a universal shelf registration statement on Form S-3 (the “2023 Shelf Registration Statement”) covering the offering of Class A common stock, preferred stock, debt securities, warrants, rights and units. After the closing of the July 2025 Registered Direct Offering, the remaining capacity of the 2023 Shelf Registration Statement was approximately $13.8 million. We filed a universal shelf registration statement on Form S-3 and a subsequent amendment to the Form S-3 (the “2025 Shelf Registration Statement”), on September 26, 2025 and October 9, 2025, respectively, covering the offering of Class A common stock, preferred stock, debt securities, warrants, rights and units.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On December 11, 2024, we entered into an Equity Distribution Agreement (the “Canaccord Sales Agreement”) with Canaccord to sell shares of our Class A common stock having an aggregate offering price of up to $75.0 million, from time to time through an “at-the-market” offering program under which Canaccord acted as sales agent (the “2024 ATM Offering”). We had no obligation to sell any shares under the Canaccord Sales Agreement and could at any time suspend solicitation and offers under the Canaccord Sales Agreement. The 2024 ATM Offering was made pursuant to the 2023 Shelf Registration Statement and a prospectus supplement related to the 2024 ATM Offering dated December 11, 2024. During the year ended December 31, 2024, we sold and issued 23,425,650 shares of our Class A common stock under the 2024 ATM Offering, resulting in gross proceeds of $36.2 million. Net proceeds were $34.8 million after commissions and issuance costs of $1.4 million. We sold no shares of our Class A common stock under the 2024 ATM Offering during the </w:t>
      </w:r>
      <w:r>
        <w:rPr>
          <w:rFonts w:ascii="Times New Roman;serif" w:hAnsi="Times New Roman;serif"/>
          <w:b w:val="false"/>
          <w:color w:val="000000"/>
          <w:sz w:val="20"/>
        </w:rPr>
        <w:t>year ended 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In connection with the July 2025 Registered Direct Offering, we provided written notice, effective as of July 3, 2025, to Canaccord of our election to terminate the Canaccord Sales Agreement for our at-the-market offering. At the time of termination, we had sold 23,425,650 shares of our Class A common stock under the Canaccord Sales Agreement for aggregate gross proceeds of $36.2 million.</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On January 3, 2025, we entered into a securities purchase agreement with certain institutional investors in connection with the January 2025 Registered Direct Offering. The gross proceeds from the January 2025 Registered Direct Offering were $50.0 million. After deducting estimated placement agents’ fees and other offering expenses payable by us, net proceeds recorded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were approximately $46.8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3, 2025, we entered into a securities purchase agreement with a certain institutional investor in connection with the July 2025 Registered Direct Offering. The Pre-Funded Warrants were exercised in full on August 1, 2025 at the exercise price of $0.0001 for one share of Class A common stock per Pre-Funded Warrant. The gross proceeds from the July 2025 Registered Direct Offering were $50.0 million. After deducting estimated placement agents’ fees and other offering expenses payable by us, net proceeds as of December 31, 2025 were approximately $46.7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26, 2025, we entered into the Leerink Sales Agreement. We have no obligation to sell any shares under the Leerink Sales Agreement and may at any time suspend solicitation and offers under the Leerink Sales Agreement. The 2025 ATM Offering is being made pursuant to the 2025 Shelf Registration Statement and a prospectus supplement related to the 2025 ATM Offering. During the three and six months ended June 30, 2026 and the year ended December 31, 2025, there were no shares sold under the Leerink Sales Agreement. Shares offered and sold in the 2025 ATM Offering, if any, will be sold pursuant to the 2025 Shelf Registration Statement.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Capital Expenditures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forecast capital expenditures in order to execute on our business plan and maintain growth; however, the actual amount and timing of such capital expenditures will ultimately be determined by the volume of business. We currently anticipate our capital expenditures for the year ended December 31, 2026 will be approximately $4.0 million. We have funded and plan to continue funding these capital expenditures with cash and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Contractual Obligations and Off-Balance Sheet Arrangements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lease certain facilities and equipment under non-cancellable lease agreements that expire at various dates through 2029.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future minimum lease payments were approximately </w:t>
      </w:r>
      <w:r>
        <w:rPr>
          <w:rFonts w:ascii="Times New Roman;serif" w:hAnsi="Times New Roman;serif"/>
          <w:b w:val="false"/>
          <w:color w:val="000000"/>
          <w:sz w:val="20"/>
        </w:rPr>
        <w:t>$3.5 million</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18, 2026, we entered into a facility lease agreement (the “Lease Agreement”) for the lease of office, laboratory and manufacturing space located in San Diego, California. This new space is expected to replace the existing San Diego facility.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Lease Agreement provides for an initial non-cancellable lease term of 120 months. Aggregate minimum cash lease payments under the lease are estimated to be approximately $38.3 million and are not included in future minimum lease payments as the lease had not commenced as of June 30,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Lease Agreement also provides for a tenant improvement allowance of up to approximately $17.1 million. As of June 30, 2026, we had not used any portion of this allowance.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the lease to commence on or about September 1, 2027, subject to the completion of tenant improvements and other customary conditions, but no later than November 1, 2027. Upon lease commencement, we will recognize a right-of-use asset and corresponding lease liability in accordance with ASC 842.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Aside from the new Lease Agreement, there have been no material changes in our contractual obligations, including those related to our other lease agreements, since December 31, 2025.</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Licenses related to certain intellectual property</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license certain intellectual property, some of which may be utilized in our current or future product offerings. To </w:t>
      </w:r>
      <w:r>
        <w:rPr>
          <w:rFonts w:ascii="Times New Roman;serif" w:hAnsi="Times New Roman;serif"/>
          <w:b w:val="false"/>
          <w:color w:val="000000"/>
          <w:sz w:val="20"/>
        </w:rPr>
        <w:t>preserve the right to use such intellectual property, we are required to make annual minimum fixed payments totaling approximately $0.1 million as we</w:t>
      </w:r>
      <w:r>
        <w:rPr>
          <w:rFonts w:ascii="Times New Roman;serif" w:hAnsi="Times New Roman;serif"/>
          <w:b w:val="false"/>
          <w:color w:val="000000"/>
          <w:sz w:val="20"/>
          <w:shd w:fill="FFFFFF" w:val="clear"/>
        </w:rPr>
        <w:t>ll as royalties based on net sales if the royalties exceed annual minimum fixed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Significant Judgments and Estimates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Our management’s discussion and analysis of our financial condition and results of operations is based on our unaudited Condensed Consolidated Financial Statements, which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expenses incurred during the reporting periods. Our estimates are based on historical experience and various other factors we believe to be reasonable under the circumstances, the results of which form the basis for making judgments about items not readily apparent from other sources. Actual results may differ from these estimates under different assumptions or conditions. Please refer to our critical accounting policies as disclosed in our Annual Report on Form 10-K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hyperlink w:anchor="ie8e17d9b0efc4096bd67d8d2976a25ce_37">
        <w:r>
          <w:rPr>
            <w:rStyle w:val="InternetLink"/>
            <w:rFonts w:ascii="Times New Roman;serif" w:hAnsi="Times New Roman;serif"/>
            <w:b w:val="false"/>
            <w:color w:val="0000FF"/>
            <w:sz w:val="20"/>
            <w:u w:val="single"/>
            <w:shd w:fill="FFFFFF" w:val="clear"/>
          </w:rPr>
          <w:t>Note 2. Summary of Significant Accounting Policies</w:t>
        </w:r>
      </w:hyperlink>
      <w:r>
        <w:rPr>
          <w:color w:val="000000"/>
          <w:shd w:fill="FFFFFF" w:val="clear"/>
        </w:rPr>
        <w:t xml:space="preserve"> </w:t>
      </w:r>
      <w:r>
        <w:rPr>
          <w:rFonts w:ascii="Times New Roman;serif" w:hAnsi="Times New Roman;serif"/>
          <w:b w:val="false"/>
          <w:color w:val="000000"/>
          <w:sz w:val="20"/>
          <w:shd w:fill="FFFFFF" w:val="clear"/>
        </w:rPr>
        <w:t>in the accompanying notes to the unaudited Condensed Consolidated Financial Statements included elsewhere in this Quarterly Report on Form 10-Q for a complete description of our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Recently Issued Accounting Pronouncements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Please refer to </w:t>
      </w:r>
      <w:hyperlink w:anchor="ie8e17d9b0efc4096bd67d8d2976a25ce_37">
        <w:r>
          <w:rPr>
            <w:rStyle w:val="InternetLink"/>
            <w:rFonts w:ascii="Times New Roman;serif" w:hAnsi="Times New Roman;serif"/>
            <w:b w:val="false"/>
            <w:color w:val="0000FF"/>
            <w:sz w:val="20"/>
            <w:u w:val="single"/>
            <w:shd w:fill="FFFFFF" w:val="clear"/>
          </w:rPr>
          <w:t>Note 2. Summary of Significant Accounting Policies</w:t>
        </w:r>
      </w:hyperlink>
      <w:r>
        <w:rPr>
          <w:color w:val="000000"/>
          <w:shd w:fill="FFFFFF" w:val="clear"/>
        </w:rPr>
        <w:t xml:space="preserve"> </w:t>
      </w:r>
      <w:r>
        <w:rPr>
          <w:rFonts w:ascii="Times New Roman;serif" w:hAnsi="Times New Roman;serif"/>
          <w:b w:val="false"/>
          <w:color w:val="000000"/>
          <w:sz w:val="20"/>
          <w:shd w:fill="FFFFFF" w:val="clear"/>
        </w:rPr>
        <w:t>in the accompanying notes to the unaudited Condensed Consolidated Financial Statements included elsewhere in this Quarterly Report on Form 10-Q for a description of recently issued accounting pronouncements that impacted or may potentially impact our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Inflation risk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inflation can and has had an impact on the underlying cost of our supplies and manufacturing components related to our business. To the extent our costs are impacted by general inflationary pressures, we may not be able to fully offset such higher costs through price increases or manufacturing efficiencies. Our inability or failure to do so could harm our business, financial condition, results of operations or cash flows.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rate risk</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are exposed to market risk with respect to certain of our cash and cash equivalents and marketable securities.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our investments are comprised primarily of investments in money market funds backed by U.S.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issued securities, U.S. Treasury bills, U.S. government agency bonds, high-quality corporate bonds and commercial paper. The primary objective of our investments is the preservation of capital to fulfill liquidity needs. We do not enter into investments for trading or speculative purposes. Based on the short-term nature of the majority of our holdings, future interest rate changes are not expected to have a material impact on our marketable securities.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Currency Risk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Presently, we operate our business primarily within the United States, with limited sales outside the United States. To date, we have executed the majority of our transactions in U.S. dollars. In the future, we anticipate expanding into Europe and other locations outside the United States. This expansion may include transacting business in currencies other than the U.S. Dollar. Despite this, we anticipate conducting limited activity outside the U.S. Dollar in the near term, and therefore foreign currency translation risk is not expected to have a material impact on our unaudited Condensed Consolidated Financial Statements. However, the growth of our operations, scope of transactions outside the United States, and the use of currencies other than the U.S. Dollar may grow in the future, at which point it is possible foreign currency translation will have a material effect on our operations. To date, we have not entered into any hedging arrangements with respect to foreign currency risk. As our international operations grow, we will continue to reassess our approach to managing our risk relating to fluctuations in currency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Evaluation of Disclosure Controls and Procedures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effective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Changes in Internal Control over Financial Reporting</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There were no changes in our internal control over financial reporting during the quarter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From time to time, the Company is engaged in legal proceedings in the ordinary course of business. For further information on the Company’s legal proceedings, please refer to </w:t>
      </w:r>
      <w:hyperlink w:anchor="ie8e17d9b0efc4096bd67d8d2976a25ce_82">
        <w:r>
          <w:rPr>
            <w:rStyle w:val="InternetLink"/>
            <w:rFonts w:ascii="Times New Roman;serif" w:hAnsi="Times New Roman;serif"/>
            <w:b w:val="false"/>
            <w:color w:val="0000FF"/>
            <w:sz w:val="20"/>
            <w:u w:val="single"/>
            <w:shd w:fill="FFFFFF" w:val="clear"/>
          </w:rPr>
          <w:t>Note 16. Commitments and Contingencies</w:t>
        </w:r>
      </w:hyperlink>
      <w:r>
        <w:rPr>
          <w:color w:val="000000"/>
          <w:shd w:fill="FFFFFF" w:val="clear"/>
        </w:rPr>
        <w:t xml:space="preserve"> </w:t>
      </w:r>
      <w:r>
        <w:rPr>
          <w:rFonts w:ascii="Times New Roman;serif" w:hAnsi="Times New Roman;serif"/>
          <w:b w:val="false"/>
          <w:color w:val="000000"/>
          <w:sz w:val="20"/>
          <w:shd w:fill="FFFFFF" w:val="clear"/>
        </w:rPr>
        <w:t>in the Notes to the unaudited Condensed Consolidated Financial Statements (Part I, Item 1)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results of operations, financial condition and cash flows are subject to various risks and uncertainties including the risk factors described under the caption “Risk Factors” in our Annual Report on Form 10-K for the year ended December 31, 2025, as filed with the SEC on March 3, 2026, and the risk factor described below. We may disclose changes to risk factors or additional risk factors from time to time in our future filings with the SEC.</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could fail to maintain the listing of our Class A common stock on the Nasdaq Stock Market LLC (“Nasdaq”), which could seriously harm the liquidity of our shares and our ability to raise capital or complete a strategic transaction.</w:t>
      </w:r>
    </w:p>
    <w:p>
      <w:pPr>
        <w:pStyle w:val="TextBody"/>
        <w:bidi w:val="0"/>
        <w:spacing w:lineRule="auto" w:line="288" w:before="240" w:after="283"/>
        <w:jc w:val="both"/>
        <w:rPr/>
      </w:pPr>
      <w:r>
        <w:rPr>
          <w:rFonts w:ascii="Times New Roman;serif" w:hAnsi="Times New Roman;serif"/>
          <w:b w:val="false"/>
          <w:color w:val="000000"/>
          <w:sz w:val="20"/>
          <w:shd w:fill="FFFFFF" w:val="clear"/>
        </w:rPr>
        <w:t>Nasdaq has established continued listing requirements, including a requirement to maintain a minimum closing bid price of at least $1.00 per share.</w:t>
      </w:r>
      <w:r>
        <w:rPr>
          <w:color w:val="000000"/>
        </w:rPr>
        <w:t xml:space="preserve"> </w:t>
      </w:r>
      <w:r>
        <w:rPr>
          <w:rFonts w:ascii="Times New Roman;serif" w:hAnsi="Times New Roman;serif"/>
          <w:b w:val="false"/>
          <w:color w:val="000000"/>
          <w:sz w:val="20"/>
          <w:shd w:fill="FFFFFF" w:val="clear"/>
        </w:rPr>
        <w:t xml:space="preserve">On July 23, 2026, we received written notice from Nasdaq notifying us that, because the closing bid price for our Class A common stock has fallen below $1.00 per share for 30 consecutive business days, we no longer meet the minimum bid price requirement for continued inclusion on The Nasdaq Global Market pursuant to Nasdaq Listing Rule 5450(a)(1) (the “Bid Price Requirement”). In accordance with Nasdaq Listing Rule 5810(c)(3)(A), we have been provided an initial period of 180 calendar days, or until January 19, 2027 (the “Compliance Date”), to regain compliance with the Bid Price Requirement. To regain compliance, the closing bid price of our Class A common stock must be at least $1.00 per share for a minimum of 10 consecutive business days during this 180-calendar day period. If we do not regain compliance with the Bid Price Requirement by the Compliance Date, we may be eligible for an additional 180-calendar day compliance period. To qualify, we would need to transfer the listing of our Class A common stock to The Nasdaq Capital Market and meet the continued listing requirement for the market value of publicly held shares and all other initial listing standards, with the exception of the Bid Price Requirement. To effect such a transfer, we would also need to pay an application fee to Nasdaq and would need to provide written notice to the Staff of our intention to cure the deficiency </w:t>
      </w:r>
      <w:r>
        <w:rPr>
          <w:rFonts w:ascii="Times New Roman;serif" w:hAnsi="Times New Roman;serif"/>
          <w:b w:val="false"/>
          <w:color w:val="000000"/>
          <w:sz w:val="20"/>
        </w:rPr>
        <w:t>during the additional compliance period by effecting a reverse stock split if necessary.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There can be no assurance that we will be able to regain compliance with the Bid Price Requirement or maintain compliance with other Nasdaq requirements in the future. If we are not able to regain and maintain compliance with Nasdaq requirements, our Class A common stock may be delisted from Nasdaq, which could have a material adverse effect on us and our stockholders, including by negatively impacting our trading price, reducing the liquidity of our shares and having a material adverse effect on our ability to raise capital or complete a strategic transaction.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Our Proteus</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 (“Proteus”), which was originally anticipated to be launched at the end of 2026, is now estimated to be commercially available in the second quarter of 2027. If Proteus is not launched within our updated time frame, or is delivered without the applications and capabilities our customers are seeking, it could materially impact any potential of long-term financial success and our market credibility</w:t>
      </w:r>
      <w:r>
        <w:rPr>
          <w:rFonts w:ascii="Times New Roman;serif" w:hAnsi="Times New Roman;serif"/>
          <w:b/>
          <w:i/>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November 2024, we have provided overall market periodic updates on our Proteus platform development, including overall development status, initial views on capabilities and output, and indications or potential customer applications, as well as an anticipated commercial launch date. On August 13, 2026, we announced the anticipated launch date of Proteus had moved from the end of 2026 to the second quarter of 2027. Development of a new product platform is inherently difficult, and can often experience delays resulting from hardware integration, inability to develop desired customer applications for the commercial launch, unforeseen regulatory issues, hardware supplier challenges or a variety of other challenges impacting a commercial launch, which we have experienced. If our Proteus platform experiences a further commercial launch delay due to these reasons or other impacts on our development program, it could materially impact any long-term financial success of the Company, and further, materially impact and damage our market credibility, negatively impacting commercial success and company valuation.</w:t>
      </w:r>
    </w:p>
    <w:p>
      <w:pPr>
        <w:pStyle w:val="TextBody"/>
        <w:bidi w:val="0"/>
        <w:spacing w:before="0" w:after="0"/>
        <w:jc w:val="left"/>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Unregistered Sales of Equity Securities and Use of Proceeds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Issuer Purchases of Equity Securities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Rule 10b5-1 Trading Arrangements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During the quarter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no officers or directors, as defined in Rule 16a-1(f), adopted, modified or terminated a “Rule 10b5-1 trading arrangement” or a “non-Rule 10b5-1 trading arrangement,” as defined in Item 408 of Regulation S-K.</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Organizational Restructuring Program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On August 10, 2026, the Company committed to an organizational restructuring program (the “2026 Restructuring Program”) designed to restructure resources focused specifically on its Proteus</w:t>
      </w:r>
      <w:r>
        <w:rPr>
          <w:rFonts w:ascii="Times New Roman;serif" w:hAnsi="Times New Roman;serif"/>
          <w:b w:val="false"/>
          <w:color w:val="000000"/>
          <w:sz w:val="13"/>
        </w:rPr>
        <w:t>TM</w:t>
      </w:r>
      <w:r>
        <w:rPr>
          <w:color w:val="000000"/>
          <w:shd w:fill="FFFFFF" w:val="clear"/>
        </w:rPr>
        <w:t xml:space="preserve"> </w:t>
      </w:r>
      <w:r>
        <w:rPr>
          <w:rFonts w:ascii="Times New Roman;serif" w:hAnsi="Times New Roman;serif"/>
          <w:b w:val="false"/>
          <w:color w:val="000000"/>
          <w:sz w:val="20"/>
          <w:shd w:fill="FFFFFF" w:val="clear"/>
        </w:rPr>
        <w:t>development program as well as other adjustments to streamline general and administrative expenses to align with the estimated Proteus launch. As a result, the Company is terminating approximately 20% of its 152 employee workforce. In connection with the restructuring, the Company expects that it will recognize one-time cash charges related to severance and other benefits of approximately $2.6 million in the second half of 2026, and expects substantially all related cash expenditures to be incurred in the second half of 2026. In addition, the Company expects to recognize non-cash expense related to stock option modifications in the second half of 2026 in the amount of approximately $0.1 million. The Company expects to substantially complete the 2026 Restructuring Program by the end of 2026. The severance and other benefits related charge, as well as the expense related to stock option modifications, are subject to a number of assumptions, and actual results may differ materially. The Company may also incur additional costs not currently contemplated due to events that may occur as a result of, or that are associated with, the 2026 Restructuring Program.</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Departure of a Certain Officer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In connection with the 2026 Restructuring Program, on August 10, 2026, the Company and John Vieceli, Ph.D., the Company’s Chief Product Officer, mutually agreed to end their employment relationship effective August 13, 2026 (the “Separation Date”).</w:t>
      </w:r>
      <w:r>
        <w:rPr>
          <w:color w:val="000000"/>
        </w:rPr>
        <w:t xml:space="preserve"> </w:t>
      </w:r>
      <w:r>
        <w:rPr>
          <w:rFonts w:ascii="Times New Roman;serif" w:hAnsi="Times New Roman;serif"/>
          <w:b w:val="false"/>
          <w:color w:val="000000"/>
          <w:sz w:val="20"/>
          <w:shd w:fill="FFFFFF" w:val="clear"/>
        </w:rPr>
        <w:t>Dr. Vieceli is subject to the Amended and Restated Quantum-Si Incorporated Executive Severance Plan effective November 1, 2024 (the “Severance Plan”). Dr. Vieceli’s severance benefits under the Severance Plan are conditioned upon his timely execution and delivery to the Company of a Release (as defined in the Severance Plan), non-revocation of such Release, and compliance with the other benefit conditions set forth in the Severance Plan. Pursuant to the terms of the Severance Plan, Dr. Vieceli is entitled to, among other things, (i) a one-time lump sum separation payment in an amount equal to $333,750; and (ii) if Dr. Vieceli enrolls in COBRA coverage, payment by the Company of the employer portion of Dr. Vieceli’s</w:t>
      </w:r>
      <w:r>
        <w:rPr>
          <w:color w:val="000000"/>
        </w:rPr>
        <w:t xml:space="preserve"> </w:t>
      </w:r>
      <w:r>
        <w:rPr>
          <w:rFonts w:ascii="Times New Roman;serif" w:hAnsi="Times New Roman;serif"/>
          <w:b w:val="false"/>
          <w:color w:val="000000"/>
          <w:sz w:val="20"/>
          <w:shd w:fill="FFFFFF" w:val="clear"/>
        </w:rPr>
        <w:t>COBRA health insurance premiums until the earlier of May 31, 2027 and the month in which Dr. Vieceli becomes eligible to participate in a subsequent employer’s health benefits. All unvested options and restricted stock units will be forfeited as of the Separation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material terms of Dr. Vieceli’s separation are described in, and the Severance Plan is filed as, Exhibit 10.18 to the Company’s Annual Report on Form 10-K for the fiscal year ended December 31, 2025, which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298"/>
        <w:gridCol w:w="261"/>
        <w:gridCol w:w="262"/>
        <w:gridCol w:w="109"/>
        <w:gridCol w:w="109"/>
        <w:gridCol w:w="109"/>
        <w:gridCol w:w="1787"/>
        <w:gridCol w:w="1570"/>
        <w:gridCol w:w="1575"/>
        <w:gridCol w:w="109"/>
        <w:gridCol w:w="109"/>
        <w:gridCol w:w="109"/>
        <w:gridCol w:w="339"/>
        <w:gridCol w:w="339"/>
        <w:gridCol w:w="340"/>
        <w:gridCol w:w="109"/>
        <w:gridCol w:w="109"/>
        <w:gridCol w:w="109"/>
        <w:gridCol w:w="445"/>
        <w:gridCol w:w="445"/>
        <w:gridCol w:w="447"/>
        <w:gridCol w:w="109"/>
        <w:gridCol w:w="109"/>
        <w:gridCol w:w="109"/>
        <w:gridCol w:w="228"/>
        <w:gridCol w:w="228"/>
        <w:gridCol w:w="333"/>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Incorporated by</w:t>
              <w:br/>
              <w:t xml:space="preserve">Reference Herein </w:t>
              <w:br/>
              <w:t>from</w:t>
              <w:br/>
              <w:t>Form or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Amended and Restated Certificate of Incorporation of Quantum-Si Incorporated, as amended.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w:t>
              <w:br/>
              <w:t>(Exhibit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8/7/2024</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Quantum-Si Incorporated.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w:t>
              <w:br/>
              <w:t>(Exhibit 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3/1/2022</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agreement dated June 18, 2026, between Sterling City Science South Development, LLC and Quantum-Si Incorporated.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br/>
              <w:t>(Exhibit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6/24/2026</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si6302026ex311.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 pursuant to Section 302 of the Sarbanes-Oxley Act of 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si6302026ex312.htm">
              <w:r>
                <w:rPr>
                  <w:rStyle w:val="InternetLink"/>
                  <w:rFonts w:ascii="Times New Roman;serif" w:hAnsi="Times New Roman;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 pursuant to Section 302 of the Sarbanes-Oxley Act of 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si6302026ex321.htm">
              <w:r>
                <w:rPr>
                  <w:rStyle w:val="InternetLink"/>
                  <w:rFonts w:ascii="Times New Roman;serif" w:hAnsi="Times New Roman;serif"/>
                  <w:b w:val="false"/>
                  <w:color w:val="000080"/>
                  <w:sz w:val="20"/>
                  <w:u w:val="single"/>
                </w:rPr>
                <w:t>32.1</w:t>
              </w:r>
            </w:hyperlink>
            <w:hyperlink w:anchor="qsi6302026ex321.htm">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 pursuant to Section 906 of the Sarbanes-Oxley Act of 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si6302026ex322.htm">
              <w:r>
                <w:rPr>
                  <w:rStyle w:val="InternetLink"/>
                  <w:rFonts w:ascii="Times New Roman;serif" w:hAnsi="Times New Roman;serif"/>
                  <w:b w:val="false"/>
                  <w:color w:val="000080"/>
                  <w:sz w:val="20"/>
                  <w:u w:val="single"/>
                </w:rPr>
                <w:t>32.2</w:t>
              </w:r>
            </w:hyperlink>
            <w:hyperlink w:anchor="qsi6302026ex322.htm">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 pursuant to Section 906 of the Sarbanes-Oxley Act of 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*Certain exhibits or schedules to this exhibit have been omitted in accordance with Item 601(a)(5) of Regulation S-K. The registrant hereby agrees to furnish supplementally a copy of any omitted exhibit or schedule to the SEC upon its request.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The certifications attached as Exhibit 32.1 and 32.2 that accompany this Quarterly Report on Form 10-Q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00" w:after="200"/>
        <w:jc w:val="left"/>
        <w:rPr/>
      </w:pPr>
      <w:hyperlink w:anchor="ie8e17d9b0efc4096bd67d8d2976a25ce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6969" w:type="dxa"/>
        <w:jc w:val="left"/>
        <w:tblInd w:w="0" w:type="dxa"/>
        <w:tblLayout w:type="fixed"/>
        <w:tblCellMar>
          <w:top w:w="28" w:type="dxa"/>
          <w:left w:w="28" w:type="dxa"/>
          <w:bottom w:w="28" w:type="dxa"/>
          <w:right w:w="28" w:type="dxa"/>
        </w:tblCellMar>
      </w:tblPr>
      <w:tblGrid>
        <w:gridCol w:w="705"/>
        <w:gridCol w:w="621"/>
        <w:gridCol w:w="624"/>
        <w:gridCol w:w="494"/>
        <w:gridCol w:w="494"/>
        <w:gridCol w:w="494"/>
        <w:gridCol w:w="1054"/>
        <w:gridCol w:w="1054"/>
        <w:gridCol w:w="1057"/>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QUANTUM-SI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5"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Jeffrey Hawkins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Jeffrey Hawkins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5"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Jeffry Keyes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Jeffry Keyes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9"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302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Jeffrey Hawkins,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Quantum-Si Incorporated;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August 13, 2026</w:t>
      </w:r>
    </w:p>
    <w:tbl>
      <w:tblPr>
        <w:tblW w:w="3224" w:type="dxa"/>
        <w:jc w:val="left"/>
        <w:tblInd w:w="0" w:type="dxa"/>
        <w:tblLayout w:type="fixed"/>
        <w:tblCellMar>
          <w:top w:w="28" w:type="dxa"/>
          <w:left w:w="28" w:type="dxa"/>
          <w:bottom w:w="28" w:type="dxa"/>
          <w:right w:w="28" w:type="dxa"/>
        </w:tblCellMar>
      </w:tblPr>
      <w:tblGrid>
        <w:gridCol w:w="1033"/>
        <w:gridCol w:w="907"/>
        <w:gridCol w:w="1284"/>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Jeffrey Hawkins</w:t>
            </w:r>
          </w:p>
        </w:tc>
      </w:tr>
      <w:tr>
        <w:trPr/>
        <w:tc>
          <w:tcPr>
            <w:tcW w:w="322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Jeffrey Hawkins</w:t>
            </w:r>
          </w:p>
        </w:tc>
      </w:tr>
      <w:tr>
        <w:trPr/>
        <w:tc>
          <w:tcPr>
            <w:tcW w:w="3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2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302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Jeffry Keyes,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Quantum-Si Incorporated;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bl>
      <w:tblPr>
        <w:tblW w:w="3164" w:type="dxa"/>
        <w:jc w:val="left"/>
        <w:tblInd w:w="0" w:type="dxa"/>
        <w:tblLayout w:type="fixed"/>
        <w:tblCellMar>
          <w:top w:w="28" w:type="dxa"/>
          <w:left w:w="28" w:type="dxa"/>
          <w:bottom w:w="28" w:type="dxa"/>
          <w:right w:w="28" w:type="dxa"/>
        </w:tblCellMar>
      </w:tblPr>
      <w:tblGrid>
        <w:gridCol w:w="1008"/>
        <w:gridCol w:w="887"/>
        <w:gridCol w:w="1269"/>
      </w:tblGrid>
      <w:tr>
        <w:trPr/>
        <w:tc>
          <w:tcPr>
            <w:tcW w:w="100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w:t>
            </w:r>
            <w:r>
              <w:rPr>
                <w:color w:val="000000"/>
              </w:rPr>
              <w:t xml:space="preserve"> </w:t>
            </w:r>
            <w:r>
              <w:rPr>
                <w:rFonts w:ascii="Times New Roman;serif" w:hAnsi="Times New Roman;serif"/>
                <w:b w:val="false"/>
                <w:i/>
                <w:color w:val="000000"/>
                <w:sz w:val="20"/>
              </w:rPr>
              <w:t>Jeffry Keyes</w:t>
            </w:r>
          </w:p>
        </w:tc>
      </w:tr>
      <w:tr>
        <w:trPr/>
        <w:tc>
          <w:tcPr>
            <w:tcW w:w="316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Jeffry Keyes</w:t>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906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Quarterly Report for the quarter ended 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tbl>
      <w:tblPr>
        <w:tblW w:w="5264" w:type="dxa"/>
        <w:jc w:val="left"/>
        <w:tblInd w:w="0" w:type="dxa"/>
        <w:tblLayout w:type="fixed"/>
        <w:tblCellMar>
          <w:top w:w="28" w:type="dxa"/>
          <w:left w:w="28" w:type="dxa"/>
          <w:bottom w:w="28" w:type="dxa"/>
          <w:right w:w="28" w:type="dxa"/>
        </w:tblCellMar>
      </w:tblPr>
      <w:tblGrid>
        <w:gridCol w:w="743"/>
        <w:gridCol w:w="653"/>
        <w:gridCol w:w="659"/>
        <w:gridCol w:w="937"/>
        <w:gridCol w:w="937"/>
        <w:gridCol w:w="1335"/>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13, 2026</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Jeffrey Hawkins</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Jeffrey Hawkins</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CERTIFICATIONS UNDER SECTION 906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Quarterly Report for the quarter ended 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tbl>
      <w:tblPr>
        <w:tblW w:w="5204" w:type="dxa"/>
        <w:jc w:val="left"/>
        <w:tblInd w:w="0" w:type="dxa"/>
        <w:tblLayout w:type="fixed"/>
        <w:tblCellMar>
          <w:top w:w="28" w:type="dxa"/>
          <w:left w:w="28" w:type="dxa"/>
          <w:bottom w:w="28" w:type="dxa"/>
          <w:right w:w="28" w:type="dxa"/>
        </w:tblCellMar>
      </w:tblPr>
      <w:tblGrid>
        <w:gridCol w:w="743"/>
        <w:gridCol w:w="653"/>
        <w:gridCol w:w="659"/>
        <w:gridCol w:w="918"/>
        <w:gridCol w:w="918"/>
        <w:gridCol w:w="1313"/>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13, 2026</w:t>
            </w:r>
          </w:p>
        </w:tc>
        <w:tc>
          <w:tcPr>
            <w:tcW w:w="314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Jeffry Keyes</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Jeffry Keyes</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6431/000162828024035626/qsiex31.htm" TargetMode="External"/><Relationship Id="rId3" Type="http://schemas.openxmlformats.org/officeDocument/2006/relationships/hyperlink" Target="https://www.sec.gov/Archives/edgar/data/1816431/000114036122007334/brhc10034564_ex3-2.htm" TargetMode="External"/><Relationship Id="rId4" Type="http://schemas.openxmlformats.org/officeDocument/2006/relationships/hyperlink" Target="https://www.sec.gov/Archives/edgar/data/1816431/000181643126000046/ex101sdleaseagreement.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20064</Words>
  <Characters>111057</Characters>
  <CharactersWithSpaces>129717</CharactersWithSpaces>
  <Paragraphs>2508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