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-220345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80" w:right="1760" w:hanging="3872"/>
        <w:spacing w:after="0" w:line="490"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4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4104640</wp:posOffset>
            </wp:positionH>
            <wp:positionV relativeFrom="paragraph">
              <wp:posOffset>-5080</wp:posOffset>
            </wp:positionV>
            <wp:extent cx="314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001-39486</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QUANTUM-SI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141605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6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85-1388175</w:t>
            </w:r>
          </w:p>
        </w:tc>
      </w:tr>
      <w:tr>
        <w:trPr>
          <w:trHeight w:val="234"/>
        </w:trPr>
        <w:tc>
          <w:tcPr>
            <w:tcW w:w="54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546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530 Old Whitfield Street</w:t>
            </w:r>
          </w:p>
        </w:tc>
        <w:tc>
          <w:tcPr>
            <w:tcW w:w="3660" w:type="dxa"/>
            <w:vAlign w:val="bottom"/>
          </w:tcPr>
          <w:p>
            <w:pPr>
              <w:spacing w:after="0"/>
              <w:rPr>
                <w:sz w:val="24"/>
                <w:szCs w:val="24"/>
                <w:color w:val="auto"/>
              </w:rPr>
            </w:pPr>
          </w:p>
        </w:tc>
      </w:tr>
      <w:tr>
        <w:trPr>
          <w:trHeight w:val="220"/>
        </w:trPr>
        <w:tc>
          <w:tcPr>
            <w:tcW w:w="546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Guilford, Connecticut</w:t>
            </w:r>
          </w:p>
        </w:tc>
        <w:tc>
          <w:tcPr>
            <w:tcW w:w="366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06437</w:t>
            </w:r>
          </w:p>
        </w:tc>
      </w:tr>
      <w:tr>
        <w:trPr>
          <w:trHeight w:val="234"/>
        </w:trPr>
        <w:tc>
          <w:tcPr>
            <w:tcW w:w="54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(203) 458-7100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Symbols(s)</w:t>
            </w:r>
          </w:p>
        </w:tc>
        <w:tc>
          <w:tcPr>
            <w:tcW w:w="100" w:type="dxa"/>
            <w:vAlign w:val="bottom"/>
          </w:tcPr>
          <w:p>
            <w:pPr>
              <w:spacing w:after="0"/>
              <w:rPr>
                <w:sz w:val="21"/>
                <w:szCs w:val="21"/>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7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per share</w:t>
            </w:r>
          </w:p>
        </w:tc>
        <w:tc>
          <w:tcPr>
            <w:tcW w:w="120" w:type="dxa"/>
            <w:vAlign w:val="bottom"/>
          </w:tcPr>
          <w:p>
            <w:pPr>
              <w:spacing w:after="0"/>
              <w:rPr>
                <w:sz w:val="17"/>
                <w:szCs w:val="17"/>
                <w:color w:val="auto"/>
              </w:rPr>
            </w:pPr>
          </w:p>
        </w:tc>
        <w:tc>
          <w:tcPr>
            <w:tcW w:w="15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100" w:type="dxa"/>
            <w:vAlign w:val="bottom"/>
          </w:tcPr>
          <w:p>
            <w:pPr>
              <w:spacing w:after="0"/>
              <w:rPr>
                <w:sz w:val="17"/>
                <w:szCs w:val="17"/>
                <w:color w:val="auto"/>
              </w:rPr>
            </w:pPr>
          </w:p>
        </w:tc>
        <w:tc>
          <w:tcPr>
            <w:tcW w:w="4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QSIAW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 of Class A common stock, each at an exercise price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August 3, 2022, the registrant had 119,433,101 shares of Class A common stock outstanding and 19,937,500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73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June 30,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Cautionary Note Regarding Forward-Looking Statements</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3</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and December 31, 2021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7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and six months ended June 30,</w:t>
            </w:r>
          </w:p>
        </w:tc>
        <w:tc>
          <w:tcPr>
            <w:tcW w:w="32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7"/>
        </w:trPr>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2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2022 and 2021 (Unaudited)</w:t>
            </w:r>
          </w:p>
        </w:tc>
        <w:tc>
          <w:tcPr>
            <w:tcW w:w="9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80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Convertible Preferred Stock and Stockholders’ Equity (Deficit) for the</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16"/>
        </w:trPr>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2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three and six months ended June 30, 2022 and 2021 (Unaudited)</w:t>
            </w:r>
          </w:p>
        </w:tc>
        <w:tc>
          <w:tcPr>
            <w:tcW w:w="9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2022 and 2021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7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1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this Quarterly Report on Form 10-Q, the terms “we”, “us”, “our”, the “Company” or “Quantum-Si” mean Quantum-Si Incorporated (formerly HighCape Capital Acquisition Corp.) and our subsidiaries. On June 10, 2021 (the “Closing Date”), HighCape Capital Acquisition Corp., a Delaware corporation (“HighCape” and after the Business Combination described herein, the “Company”), consummated a business combination (the “Business Combination”) pursuant to the terms of the Business Combination Agreement, dated as of February 18, 2021 (the “Business Combination Agreement”), by and among HighCape, Tenet Merger Sub, Inc., a Delaware corporation (“Merger Sub”), and Quantum-Si Incorporated, a Delaware corporation (“Legacy Quantum-Si”). Immediately upon the consummation of the Business Combination and the other transactions contemplated by the Business Combination Agreement (collectively, the “Transactions”, and such completion, the “Closing”), Merger Sub merged with and into Legacy Quantum-Si, with Legacy Quantum-Si surviving the Business Combination as a wholly-owned subsidiary of HighCape (the “Merger”). In connection with the Transactions, HighCape changed its name to “Quantum-Si Incorporated” and Legacy Quantum-Si changed its name to “Q-SI Operations Inc.”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Quarterly Report on Form 10-Q include, but are not limited to, statements about:</w:t>
      </w:r>
    </w:p>
    <w:p>
      <w:pPr>
        <w:spacing w:after="0" w:line="192" w:lineRule="exact"/>
        <w:rPr>
          <w:sz w:val="20"/>
          <w:szCs w:val="20"/>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and our ability to grow and manage growth profitably and retain our key employees;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Class A common stock on The Nasdaq Stock Market LLC (“Nasdaq”);</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adoption of our existing products and the success of any product we may offer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our products once commercialized;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products, and any related restrictions and limitations of any approved product;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leadership transition;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license agreements and manufacturing arrangements;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of products and services that serve customers engaged in proteomic analysis, many of which have greater financial and marketing resources than us;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the ability of each product to serve those markets once commercialized, either alone or in partnership with others;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fiscal year ended December 31, 2021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QUANTUM-SI INCORPORATED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1020" w:type="dxa"/>
            <w:vAlign w:val="bottom"/>
          </w:tcPr>
          <w:p>
            <w:pPr>
              <w:spacing w:after="0"/>
              <w:rPr>
                <w:sz w:val="18"/>
                <w:szCs w:val="18"/>
                <w:color w:val="auto"/>
              </w:rPr>
            </w:pPr>
          </w:p>
        </w:tc>
        <w:tc>
          <w:tcPr>
            <w:tcW w:w="7660" w:type="dxa"/>
            <w:vAlign w:val="bottom"/>
          </w:tcPr>
          <w:p>
            <w:pPr>
              <w:jc w:val="center"/>
              <w:ind w:left="149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amounts)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35,785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435,519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405,106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477,172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6,973</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443,252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503,226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7,276</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29,757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26,192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600,000,000 shares authorized as of June 30, 2022 and December 31,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 119,244,128 and 118,025,410 shares issued and outstanding as of June 30, 2022 and December 31, 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198"/>
        </w:trPr>
        <w:tc>
          <w:tcPr>
            <w:tcW w:w="86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27,000,000 shares authorized as of June 30, 2022 and December 31,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2021; 19,937,500 shares issued and outstanding as of June 30, 2022 and December 31, 2021</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744,252</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(334,821)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(267,232)</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413,495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443,252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503,226</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18,459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21,086</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20,110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22,857</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32,164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57,340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(30,200)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(32,164)</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(57,340)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(43,943)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(3,533)</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(5,603)</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(17,140)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(32,414)</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(67,589)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(32,414)</w:t>
            </w:r>
          </w:p>
        </w:tc>
        <w:tc>
          <w:tcPr>
            <w:tcW w:w="24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(35,697)</w:t>
            </w:r>
          </w:p>
        </w:tc>
        <w:tc>
          <w:tcPr>
            <w:tcW w:w="2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(67,589)</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(47,476)</w:t>
            </w:r>
          </w:p>
        </w:tc>
        <w:tc>
          <w:tcPr>
            <w:tcW w:w="100" w:type="dxa"/>
            <w:vAlign w:val="bottom"/>
            <w:shd w:val="clear" w:color="auto" w:fill="CCEEFF"/>
          </w:tcPr>
          <w:p>
            <w:pPr>
              <w:spacing w:after="0"/>
              <w:rPr>
                <w:sz w:val="22"/>
                <w:szCs w:val="22"/>
                <w:color w:val="auto"/>
              </w:rPr>
            </w:pPr>
          </w:p>
        </w:tc>
      </w:tr>
      <w:tr>
        <w:trPr>
          <w:trHeight w:val="191"/>
        </w:trPr>
        <w:tc>
          <w:tcPr>
            <w:tcW w:w="5980" w:type="dxa"/>
            <w:vAlign w:val="bottom"/>
            <w:tcBorders>
              <w:top w:val="single" w:sz="8" w:color="CCEEFF"/>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loss per common share attributable to common stockholders, basic and</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139,000,261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36,890,502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138,811,146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21,296,162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1940" w:type="dxa"/>
            <w:vAlign w:val="bottom"/>
            <w:tcBorders>
              <w:right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480" w:type="dxa"/>
            <w:vAlign w:val="bottom"/>
            <w:gridSpan w:val="3"/>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32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280" w:type="dxa"/>
            <w:vAlign w:val="bottom"/>
          </w:tcPr>
          <w:p>
            <w:pPr>
              <w:spacing w:after="0"/>
              <w:rPr>
                <w:sz w:val="21"/>
                <w:szCs w:val="21"/>
                <w:color w:val="auto"/>
              </w:rPr>
            </w:pPr>
          </w:p>
        </w:tc>
        <w:tc>
          <w:tcPr>
            <w:tcW w:w="1940" w:type="dxa"/>
            <w:vAlign w:val="bottom"/>
            <w:tcBorders>
              <w:right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228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Borders>
              <w:top w:val="single" w:sz="8" w:color="auto"/>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10101"/>
                <w:w w:val="98"/>
              </w:rPr>
              <w:t>Amount</w:t>
            </w:r>
          </w:p>
        </w:tc>
        <w:tc>
          <w:tcPr>
            <w:tcW w:w="12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82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12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(deficit)</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10101"/>
              </w:rPr>
              <w:t>Balance -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101"/>
              </w:rPr>
              <w:t>90,789,268</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195,814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101"/>
              </w:rPr>
              <w:t>5,378,287</w:t>
            </w: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b w:val="1"/>
                <w:bCs w:val="1"/>
                <w:color w:val="010101"/>
                <w:w w:val="99"/>
              </w:rPr>
              <w:t>-</w:t>
            </w: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12,517</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(172,243)</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(159,725)</w:t>
            </w:r>
          </w:p>
        </w:tc>
        <w:tc>
          <w:tcPr>
            <w:tcW w:w="8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010101"/>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4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50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10101"/>
              </w:rPr>
              <w:t>(11,779)</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10101"/>
              </w:rPr>
              <w:t>(11,779)</w:t>
            </w: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010101"/>
              </w:rPr>
              <w:t>Issuance of Series 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010101"/>
              </w:rPr>
              <w:t>convertible preferred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010101"/>
              </w:rPr>
              <w:t>net of issuance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(4)</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4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50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10101"/>
              </w:rPr>
              <w:t>-</w:t>
            </w: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010101"/>
              </w:rPr>
              <w:t>Common stock issued upon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exercise of stock options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and vesting of restricted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581,237</w:t>
            </w:r>
          </w:p>
        </w:tc>
        <w:tc>
          <w:tcPr>
            <w:tcW w:w="42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5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999</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10101"/>
              </w:rPr>
              <w:t>999</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10101"/>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5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457</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10101"/>
              </w:rPr>
              <w:t>457</w:t>
            </w:r>
          </w:p>
        </w:tc>
      </w:tr>
      <w:tr>
        <w:trPr>
          <w:trHeight w:val="27"/>
        </w:trPr>
        <w:tc>
          <w:tcPr>
            <w:tcW w:w="2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010101"/>
              </w:rPr>
              <w:t>Balance - March 31,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10101"/>
              </w:rPr>
              <w:t>90,789,268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10101"/>
                <w:w w:val="88"/>
              </w:rPr>
              <w:t>$</w:t>
            </w: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010101"/>
              </w:rPr>
              <w:t>195,810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010101"/>
              </w:rPr>
              <w:t>5,959,524</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010101"/>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01010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010101"/>
              </w:rPr>
              <w:t>13,973</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01010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010101"/>
              </w:rPr>
              <w:t>(184,022)</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010101"/>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10101"/>
              </w:rPr>
              <w:t>(170,048)</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10101"/>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5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10101"/>
              </w:rPr>
              <w:t>(35,697)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10101"/>
              </w:rPr>
              <w:t>(35,697)</w:t>
            </w: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010101"/>
              </w:rPr>
              <w:t>Common stock issued upon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exercise of stock options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and vesting of restricted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1,327,823</w:t>
            </w:r>
          </w:p>
        </w:tc>
        <w:tc>
          <w:tcPr>
            <w:tcW w:w="42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2,712</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2,712</w:t>
            </w: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010101"/>
              </w:rPr>
              <w:t>Conversion of the convertible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010101"/>
              </w:rPr>
              <w:t>preferred stock into Class A</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010101"/>
              </w:rPr>
              <w:t>and Class B common stock</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(90,789,268)</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(195,810)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52,466,941</w:t>
            </w:r>
          </w:p>
        </w:tc>
        <w:tc>
          <w:tcPr>
            <w:tcW w:w="4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19,937,500</w:t>
            </w:r>
          </w:p>
        </w:tc>
        <w:tc>
          <w:tcPr>
            <w:tcW w:w="50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195,803</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195,810</w:t>
            </w: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010101"/>
              </w:rPr>
              <w:t>Net equity infusion from the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Business Combination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56,708,872</w:t>
            </w:r>
          </w:p>
        </w:tc>
        <w:tc>
          <w:tcPr>
            <w:tcW w:w="42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501,166</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501,172</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10101"/>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5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9,987</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10101"/>
              </w:rPr>
              <w:t>9,987</w:t>
            </w:r>
          </w:p>
        </w:tc>
      </w:tr>
      <w:tr>
        <w:trPr>
          <w:trHeight w:val="27"/>
        </w:trPr>
        <w:tc>
          <w:tcPr>
            <w:tcW w:w="2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010101"/>
              </w:rPr>
              <w:t>Balance - June 30,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10101"/>
              </w:rPr>
              <w: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10101"/>
                <w:w w:val="88"/>
              </w:rPr>
              <w:t>$</w:t>
            </w:r>
          </w:p>
        </w:tc>
        <w:tc>
          <w:tcPr>
            <w:tcW w:w="8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01010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010101"/>
              </w:rPr>
              <w:t>116,463,160</w:t>
            </w:r>
          </w:p>
        </w:tc>
        <w:tc>
          <w:tcPr>
            <w:tcW w:w="4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010101"/>
              </w:rPr>
              <w:t>19,937,500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010101"/>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010101"/>
              </w:rPr>
              <w:t>723,641</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(219,719)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503,936</w:t>
            </w:r>
          </w:p>
        </w:tc>
      </w:tr>
      <w:tr>
        <w:trPr>
          <w:trHeight w:val="20"/>
        </w:trPr>
        <w:tc>
          <w:tcPr>
            <w:tcW w:w="2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940" w:type="dxa"/>
            <w:vAlign w:val="bottom"/>
          </w:tcPr>
          <w:p>
            <w:pPr>
              <w:spacing w:after="0"/>
              <w:rPr>
                <w:sz w:val="21"/>
                <w:szCs w:val="21"/>
                <w:color w:val="auto"/>
              </w:rPr>
            </w:pPr>
          </w:p>
        </w:tc>
        <w:tc>
          <w:tcPr>
            <w:tcW w:w="276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0" w:type="dxa"/>
            <w:vAlign w:val="bottom"/>
          </w:tcPr>
          <w:p>
            <w:pPr>
              <w:spacing w:after="0"/>
              <w:rPr>
                <w:sz w:val="21"/>
                <w:szCs w:val="21"/>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1"/>
                <w:szCs w:val="21"/>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23"/>
        </w:trPr>
        <w:tc>
          <w:tcPr>
            <w:tcW w:w="1940" w:type="dxa"/>
            <w:vAlign w:val="bottom"/>
          </w:tcPr>
          <w:p>
            <w:pPr>
              <w:spacing w:after="0"/>
              <w:rPr>
                <w:sz w:val="19"/>
                <w:szCs w:val="19"/>
                <w:color w:val="auto"/>
              </w:rPr>
            </w:pPr>
          </w:p>
        </w:tc>
        <w:tc>
          <w:tcPr>
            <w:tcW w:w="12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26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equity (deficit)</w:t>
            </w:r>
          </w:p>
        </w:tc>
      </w:tr>
      <w:tr>
        <w:trPr>
          <w:trHeight w:val="19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010101"/>
              </w:rPr>
              <w:t>Balance - December 31,</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010101"/>
              </w:rPr>
              <w:t>2021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010101"/>
              </w:rPr>
              <w:t>118,025,410</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010101"/>
              </w:rPr>
              <w:t>19,937,500</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744,252</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(267,232)</w:t>
            </w: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477,034</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010101"/>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010101"/>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10101"/>
              </w:rPr>
              <w:t>(35,175)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10101"/>
              </w:rPr>
              <w:t>(35,175)</w:t>
            </w: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010101"/>
              </w:rPr>
              <w:t>Common stock issued</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10101"/>
              </w:rPr>
              <w:t>upon exercise of stock</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10101"/>
              </w:rPr>
              <w:t>options and vesting of</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10101"/>
              </w:rPr>
              <w:t>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946,987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010101"/>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730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10101"/>
              </w:rPr>
              <w:t>730</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010101"/>
              </w:rPr>
              <w:t>Stock-based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010101"/>
              </w:rPr>
              <w:t>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010101"/>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10101"/>
              </w:rPr>
              <w:t>(714)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10101"/>
              </w:rPr>
              <w:t>(714)</w:t>
            </w:r>
          </w:p>
        </w:tc>
      </w:tr>
      <w:tr>
        <w:trPr>
          <w:trHeight w:val="19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010101"/>
              </w:rPr>
              <w:t>Balance - March 31,</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010101"/>
              </w:rPr>
              <w:t>2022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010101"/>
              </w:rPr>
              <w:t>118,972,397</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010101"/>
              </w:rPr>
              <w:t>19,937,500</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101"/>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010101"/>
              </w:rPr>
              <w:t>744,268</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010101"/>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010101"/>
              </w:rPr>
              <w:t>(302,407)</w:t>
            </w: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010101"/>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010101"/>
              </w:rPr>
              <w:t>441,875</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010101"/>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10101"/>
              </w:rPr>
              <w:t>(32,414)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10101"/>
              </w:rPr>
              <w:t>(32,414)</w:t>
            </w: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010101"/>
              </w:rPr>
              <w:t>Common stock issued</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10101"/>
              </w:rPr>
              <w:t>upon exercise of stock</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10101"/>
              </w:rPr>
              <w:t>options and vesting of</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010101"/>
              </w:rPr>
              <w:t>restricted stock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271,731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264</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10101"/>
              </w:rPr>
              <w:t>264</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010101"/>
              </w:rPr>
              <w:t>Stock-based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010101"/>
              </w:rPr>
              <w:t>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3,770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10101"/>
              </w:rPr>
              <w:t>3,770</w:t>
            </w:r>
          </w:p>
        </w:tc>
      </w:tr>
      <w:tr>
        <w:trPr>
          <w:trHeight w:val="256"/>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10101"/>
              </w:rPr>
              <w:t>Balance - June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101"/>
              </w:rPr>
              <w:t>119,244,128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101"/>
              </w:rPr>
              <w:t>19,937,500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101"/>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101"/>
              </w:rPr>
              <w:t>748,302</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010101"/>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101"/>
              </w:rPr>
              <w:t>(334,821)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010101"/>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10101"/>
              </w:rPr>
              <w:t>413,495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QUANTUM-SI INCORPORATED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76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1020" w:type="dxa"/>
            <w:vAlign w:val="bottom"/>
          </w:tcPr>
          <w:p>
            <w:pPr>
              <w:spacing w:after="0"/>
              <w:rPr>
                <w:sz w:val="18"/>
                <w:szCs w:val="18"/>
                <w:color w:val="auto"/>
              </w:rPr>
            </w:pPr>
          </w:p>
        </w:tc>
        <w:tc>
          <w:tcPr>
            <w:tcW w:w="7620" w:type="dxa"/>
            <w:vAlign w:val="bottom"/>
          </w:tcPr>
          <w:p>
            <w:pPr>
              <w:ind w:left="41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0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(67,589)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(47,476)</w:t>
            </w: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8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losses of marketable securities</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3,533</w:t>
            </w:r>
          </w:p>
        </w:tc>
      </w:tr>
      <w:tr>
        <w:trPr>
          <w:trHeight w:val="216"/>
        </w:trPr>
        <w:tc>
          <w:tcPr>
            <w:tcW w:w="8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10,444</w:t>
            </w:r>
          </w:p>
        </w:tc>
      </w:tr>
      <w:tr>
        <w:trPr>
          <w:trHeight w:val="216"/>
        </w:trPr>
        <w:tc>
          <w:tcPr>
            <w:tcW w:w="8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(1,209)</w:t>
            </w:r>
          </w:p>
        </w:tc>
      </w:tr>
      <w:tr>
        <w:trPr>
          <w:trHeight w:val="216"/>
        </w:trPr>
        <w:tc>
          <w:tcPr>
            <w:tcW w:w="8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 - related party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8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w:t>
            </w:r>
          </w:p>
        </w:tc>
      </w:tr>
      <w:tr>
        <w:trPr>
          <w:trHeight w:val="216"/>
        </w:trPr>
        <w:tc>
          <w:tcPr>
            <w:tcW w:w="8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r>
      <w:tr>
        <w:trPr>
          <w:trHeight w:val="216"/>
        </w:trPr>
        <w:tc>
          <w:tcPr>
            <w:tcW w:w="8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(49,174)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(5,462)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(1,229)</w:t>
            </w: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94,515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(1,229)</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3,711</w:t>
            </w: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equity infusion from the Business Combination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514,187</w:t>
            </w: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notes payable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(1,749)</w:t>
            </w: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 - business acquisition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deferred consideration - business acquisition</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issuance costs for Series E convertible preferred stock</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payments under finance lease obligations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6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516,130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45,487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485,026</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36,910</w:t>
            </w:r>
          </w:p>
        </w:tc>
      </w:tr>
      <w:tr>
        <w:trPr>
          <w:trHeight w:val="27"/>
        </w:trPr>
        <w:tc>
          <w:tcPr>
            <w:tcW w:w="102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81,272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521,936</w:t>
            </w:r>
          </w:p>
        </w:tc>
      </w:tr>
      <w:tr>
        <w:trPr>
          <w:trHeight w:val="20"/>
        </w:trPr>
        <w:tc>
          <w:tcPr>
            <w:tcW w:w="10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received from exchange of research and development tax credits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acquisition of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Forgiveness of related party promissory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related transaction costs from the Business Combination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w:t>
            </w:r>
          </w:p>
        </w:tc>
      </w:tr>
      <w:tr>
        <w:trPr>
          <w:trHeight w:val="216"/>
        </w:trPr>
        <w:tc>
          <w:tcPr>
            <w:tcW w:w="8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related warrants from the Business Combination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11,618</w:t>
            </w:r>
          </w:p>
        </w:tc>
      </w:tr>
      <w:tr>
        <w:trPr>
          <w:trHeight w:val="234"/>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the convertible preferred stock into Class A and Class B common stock</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195,810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2022 AND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Quantum-Si Incorporated (including its subsidiaries, the “Company” or “Quantum-Si”) was originally incorporated in Delaware on June 10, 2020 as a special purpose acquisition company under the name HighCape Capital Acquisition Corp. (“HighCape”) for the purpose of effecting a merger, capital stock exchange, asset acquisition, stock purchase, reorganization or similar business combination involving HighCape and one or more businesses. On June 10, 2021 (the “Closing”), the Company consummated the transaction contemplated by the Business Combination Agreement, dated February 18, 2021 (the “Business Combination Agreement”), by and among HighCape, Tenet Merger Sub, Inc., a Delaware corporation (“Merger Sub”) and Quantum-Si Incorporated, a Delaware corporation (“Legacy Quantum-Si”).</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 business combination between HighCape was effected through the merger of Merger Sub with and into Legacy Quantum-Si, with Legacy Quantum-Si surviving as the surviving company and a wholly owned subsidiary of HighCape (the “Merger” and collectively with the other transaction described in the Business Combination Agreement, the “Business Combination”). Effective as of the Closing, HighCape changed its name to Quantum-Si Incorporated and Legacy Quantum-Si changed its name to Q-SI Operations Inc. The financial information prior to the Business Combination represents the financial results and condition of Legacy Quantum-Si.</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the Company is first applying to proteomics to enable Next-Generation Protein Sequencing (“NGPS”), the ability to sequence proteins in a massively parallel fashion (rather than sequentially, one at a time), and can be used for the study of nucleic acids. The Company’s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platform is comprised of the Carbon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automated sample preparation instrument, the Platinum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NGPS instrument, the Quantum-Si Cloud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service, and reagent kits and chips for use with its instruments.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Company has incurred recurring losses each year since its inception, the Company expects its cash and cash equivalents, and marketable securities will be able to fund its operations for at least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regarding interim financial reporting. All intercompany transactions are eliminated. Certain information and note disclosures normally included in financial statements prepared in accordance with U.S. GAAP have been condensed or omitted pursuant to such rules and regulations.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the notes thereto included in the Company’s Annual Report on Form 10-K for the year ended December 31, 2021. The condensed consolidated balance sheet as of December 31, 2021 included herein was derived from the audited consolidated financial statements as of that date, but does not include all disclosures, including certain notes required by U.S. GAAP, on an annual reporting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reflect all normal recurring adjustments necessary to present fairly the financial position, results of operations, and cash flows for the interim periods. The results for the three and six months ended June 30, 2022 are not necessarily indicative of the results to be expected for any subsequent quarter, the year ending December 31, 2022, or any other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described in the Company’s audited consolidated financial statements as of and for the years ended December 31, 2021 and 2020.</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Outbreak</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the Company’s operating results, financial condition and cash flows. The COVID-19 pandemic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would disrupt or delay the Company’s receipt of instruments, components and supplies from the third parties the Company relies on to, among other things, produce its products currently under development. The COVID-19 pandemic has also had an adverse effect on the Company’s ability to attract, recruit, interview and hire at the pace the Company would typically expect to support its rapidly expanding operations. To the extent that any governmental authority imposes additional regulatory requirements or changes existing laws, regulations, and policies that apply to the Company’s business and operations, such as additional workplace safety measures, the Company’s product development plans may be delayed, and the Company may incur further costs in bringing its business and operations into compliance with changing or new laws, regulations, and policies. The full extent to which the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 including inflation on product and service costs.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estimates of the impact on the Company’s business may change based on new information that may emerge concerning COVID-19 and the actions to contain it or address its impact and the economic impact on local, regional, national and international markets as well as other changes in macroeconomic factors. The COVID-19 pandemic and related economic disruptions have not had a material adverse impact on the Company’s operations to date. While the Company is unable to predict the full impact that the COVID-19 pandemic will have on the Company’s future results of operations, liquidity and financial condition due to numerous uncertainties, including the duration of the pandemic, the actions that may be taken by government authorities across the United States, adverse changes in macroeconomic conditions, if sustained or recurrent, could result in significant changes in costs going forward with material adverse effect on the Company’s operating results, financial condition, and cash flows.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marketable securities. As of June 30, 2022 and December 31, 2021, substantially all of the Company’s cash and cash equivalents and marketable securities were invested in fixed income mutual funds at one financial institution. The Company also maintains balances in various operating accounts above federally insured limits. After considering dividend income, the Company has not recognized any significant realized losses on such accounts and does not believe it is exposed to any significant credit risk on cash and cash equivalents and marketable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year’s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with respect to deferred tax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for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for leases;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warrant liabilities;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the fair value used in the calculation of the stock-based compensation.</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investments in marketable securities consist of ownership interests in fixed income mutual funds. The securities are stated at fair value, as determined by quoted market prices. As the securities have readily determinable fair value, unrealized gains and losses are reported as Other (expense) income, net on the condensed consolidated statements of operations and comprehensive loss. Subsequent gains or losses realized upon redemption or sale of these securities are also recorded as Other (expense) income, net on the condensed consolidated statements of operations and comprehensive loss. The Company considers all of its investments in marketable securities as available for use in current operations and therefore classifies these securities within current assets on the condensed consolidated balance sheets. For the three and six months ended June 30, 2022, the Company recognized $4,633 and $16,144, respectively, of unrealized losses related to securities held as of June 30, 2022 and $1,001 and $1,051, respectively, of realized losses related to securities that matured or were sold during the three and six months ended June 30, 2022. For the three and six months ended June 30, 2022, the Company recognized $1,052 and $1,907, respectively, in dividend income from marketable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December 31, 2021, the Company lost its emerging growth company status which accelerated the adoption of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Company’s adoption of ASU 2016-02 was effective retrospectively to January 1, 2021, the beginning of the year. In accordance with ASU 2016-02, for arrangements in existence as of January 1, 2021 and any new arrangements entered into thereafter, the Company determines if an arrangement is a lease at inception and records right-of-use (“ROU”) assets and lease liabilities on the condensed consolidated balance sheets at lease commencement.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leases generally do not have a readily determinable implicit discount rate. As such, the Company uses an incremental borrowing rate based on the information available at the lease commencement date to determine the present value of the lease payments. The Company’s incremental borrowing rate is the estimated rate that would be required to pay for a collateralized borrowing equal to the total lease payment over the lease term. The Company measures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 for operating leases. Finance leases will result in a front-loaded expense pattern. With respect to finance leases, amortization of the ROU asset is presented separately from interest expense related to the finance lease liability. In addition, the Company does not have significant residual value guarantees or restrictive covenants in the lease portfolio.</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expenses monthly rental payments as incurred in Selling, general and administrative and in Research and development in the condensed consolidated statements of operations and comprehensive loss. The Company’s lease agreements contain variable lease costs for common area maintenance, utilities, taxes and insurance, which are expensed as incurred.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its adoption of the new lease standard effective January 1, 2021, the Company has implemented new accounting policies and processes which changed the Company’s internal controls over financial reporting for lease accounting.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which represents the excess of purchase price over the fair value of net assets acquired, is carried at cost. Goodwill is not amortized; rather, it is subject to a periodic assessment for impairment by applying a fair value-based test. Beginning in 2022, the Company will review goodwill for possible impairment annually during the fourth quarter as of October 1, or whenever events or circumstances indicate that the carrying amount may not be recoverable. During the second quarter of 2022, the Company identified a sustained decrease in its share price which was considered an impairment indicator. As a result, the Company reviewed qualitative and quantitative factors noting no impairments for the three and six months ended June 30, 2022.</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test goodwill for impairment, an entity is permitted to first assess qualitative factors to determine whether a quantitative assessment of goodwill is necessary. The qualitative factors considered by the Company may include, but are not limited to, general economic conditions, the Company’s outlook, market performance of the Company’s industry and recent and forecasted financial performance. Further testing is only required if the entity determines, based on the qualitative assessment, that it is more likely than not that a reporting unit’s fair value is less than its carrying amount. Otherwise, no further impairment testing is required. If a quantitative assessment is required, the Company determines the fair value of its reporting unit using a combination of the income and market approaches. If the net book value of the reporting unit exceeds its fair value, the Company recognizes a goodwill impairment charge for the reporting unit equal to the lesser of (i) the total goodwill allocated to that reporting unit and (ii) the amount by which that reporting unit’s carrying amount exceeds its fair value. Assumptions and estimates used in the evaluation of impairment which primarily include, but are not limited to, discount rates, terminal growth rates, marketable comparables, and capital expenditure and cash flow forecasts, may affect the fair value of goodwill, which could result in impairment charges in future periods.</w:t>
      </w:r>
    </w:p>
    <w:p>
      <w:pPr>
        <w:sectPr>
          <w:pgSz w:w="11900" w:h="16838" w:orient="portrait"/>
          <w:cols w:equalWidth="0" w:num="1">
            <w:col w:w="11240"/>
          </w:cols>
          <w:pgMar w:left="320" w:top="116"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at least annually or when the Company determines a triggering event has occurred. When a triggering event has occurred, each impairment test is based on a comparison of the future expected undiscounted cash flow to the recorded value of the asset. If the recorded value of the asset is less than the undiscounted cash flow, the asset is written down to its estimated fair value. No impairments were recorded for the three and six months ended June 30, 2022 or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outstanding warrants include publicly-traded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“Sponsor”). The Company evaluated its warrants under Accounting Standards Codification (“ASC”) 815-40, </w:t>
      </w:r>
      <w:r>
        <w:rPr>
          <w:rFonts w:ascii="Times New Roman" w:cs="Times New Roman" w:eastAsia="Times New Roman" w:hAnsi="Times New Roman"/>
          <w:sz w:val="18"/>
          <w:szCs w:val="18"/>
          <w:i w:val="1"/>
          <w:iCs w:val="1"/>
          <w:color w:val="auto"/>
        </w:rPr>
        <w:t>Derivatives and Hedging-Contracts in Entity’s Own Equity</w:t>
      </w:r>
      <w:r>
        <w:rPr>
          <w:rFonts w:ascii="Times New Roman" w:cs="Times New Roman" w:eastAsia="Times New Roman" w:hAnsi="Times New Roman"/>
          <w:sz w:val="18"/>
          <w:szCs w:val="18"/>
          <w:color w:val="auto"/>
        </w:rPr>
        <w:t xml:space="preserve"> (“ASC 815-40”), and concluded that they do not meet the criteria to be classified in stockholders’ equity. Since the Public Warrants and Private Warrants meet the definition of a derivative under ASC 815-40, the Company recorded these warrants as long-term liabilities on the condensed consolidated balance sheet at fair value upon the Closing of the Business Combination, with subsequent changes in their respective fair values recognized in the condensed consolidated statements of operations and comprehensive loss at each reporting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new accounting pronouncement issued or effective during the three and six months ended June 30, 2022 had, or is expected to have, a material impact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discussed in Note 1, “Organization and Description of Business,” on June 10, 2021, the Company consummated the Business Combination, with Legacy Quantum-Si surviving the Merger as a wholly owned subsidiary of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at the effective time of the Merger (the “Effective Time”), each share of Legacy Quantum-Si capital stock (other than shares of Legacy Quantum-Si Series A preferred stock) that was issued and outstanding was automatically cancelled and extinguished and converted into the right to receive 0.7975 (the “Exchange Ratio”) shares of the Company’s Class A common stock, and each share of Legacy Quantum-Si Series A preferred stock that was issued and outstanding was automatically cancelled and extinguished and converted into the right to receive the number of shares of the Company’s Class B common stock equal to the Exchange Ratio.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number of shares of the Company’s Class A common stock outstanding immediately following the Closing was 116,463,160, and the total number of the Company’s Class B common stock outstanding immediately following the Closing was 19,937,500.</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certain institutional investors purchased from the Company an aggregate of 42,500,000 shares of the Company’s Class A common stock for a purchase price of $10.00 per share and an aggregate purchase price of $425,001 pursuant to separate subscription agreements entered into effective as of February 18, 2021. In addition, pursuant to subscription agreements entered into effective as of February 18, 2021, certain affiliates of Foresite Capital Management, LLC purchased an aggregate of 696,250 shares of the Company’s Class A common stock at a purchase price of $0.001 per share for aggregate purchase price of $1 after a corresponding number of shares of the Company’s Class B common stock was irrevocably forfeited by the Sponsor to HighCape for no consideration and automatically cancelled.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U.S. GAAP primarily due to the fact that Legacy Quantum-Si stockholders continued to control the Company following the Closing of the Business Combination. Under this method of accounting, HighCape was treated as the “acquired” company for accounting purposes and the Business Combination was treated as the equivalent of Legacy Quantum-Si issuing stock for the net assets of HighCape, accompanied by a recapitalization. The net assets of HighCape were stated at historical cost, with no goodwill or other intangible assets recorded. Reported shares and earnings per share available to holders of the Company’s capital stock and equity awards prior to the Business Combination were retroactively restated reflecting the Exchange Ratio.</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Closing, the Company’s certificate of incorporation was amended and restated to, among other things, adopt a dual class structure, comprised of the Company’s Class A common stock, which is entitled to one vote per share, and the Company’s Class B common stock, which is entitled to 20 votes per share. The Company’s Class B common stock has the same economic terms as the Company’s Class A common stock, but is subject to a “sunset” provision if Jonathan M. Rothberg, Ph.D., the founder of Legacy Quantum-Si, Interim Chief Executive Officer and Executive Chairman of the Company (“Dr. Rothberg”), and other permitted holders of the Company’s Class B common stock collectively cease to beneficially own at least twenty percent (20%) of the number of shares of the Company’s Class B common stock (as such number of shares is equitably adjusted in respect of any reclassification, stock dividend, subdivision, combination or recapitalization of the Company’s Class B common stock) collectively held by Dr. Rothberg and permitted transferees of the Company’s Class B common stock as of the Effective Time.</w:t>
      </w:r>
    </w:p>
    <w:p>
      <w:pPr>
        <w:sectPr>
          <w:pgSz w:w="11900" w:h="16838" w:orient="portrait"/>
          <w:cols w:equalWidth="0" w:num="1">
            <w:col w:w="11240"/>
          </w:cols>
          <w:pgMar w:left="320" w:top="116"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916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Majelac Technologies LLC</w:t>
      </w: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and conditions of an Asset Purchase Agreement by and among the Company, Majelac Technologies LLC (“Majelac”), and certain other parties, on November 5, 2021 (the “Closing Date”), the Company acquired certain assets and assumed certain liabilities of Majelac, a privately-owned company providing semiconductor chip assembly and packaging capabilities located in Pennsylvania, for $4,632 in cash including $132 in reimbursement for certain recently purchased equipment, and 535,715 shares of Class A common stock, valued at $4,232, issued to Majelac subject to certain restrictions. An additional 59,523 shares of Class A common stock valued at $471 will be issued to Majelac 12 months after the Closing Date less the number of shares of Class A common stock that may be required by the buyer indemnitees to satisfy any unresolved claims for indemnification, if any. The Company also assumed the legal fees of Majelac of $50. Additional purchase price consideration of $500 in cash was to be paid six months after the Closing date less any amount that could be required by the buyer indemnitees to satisfy any unresolved claims for indemnification, if any. The Company agreed to pay additional milestone-based consideration of up to $800, which was fair valued at $531. On May 4, 2022, the Company paid Majelac $900 in cash, which consisted of $500 for the additional purchase price consideration and $400 (fair value of $348 at the Closing Date) for the first of two milestones that was met.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brings semiconductor chip assembly and packaging capabilities in-house to secure the Company’s supply chain and support scaling commercialization efforts. Prior to the acquisition, Majelac was a vendor of the Company.</w:t>
      </w:r>
    </w:p>
    <w:p>
      <w:pPr>
        <w:sectPr>
          <w:pgSz w:w="11900" w:h="16838" w:orient="portrait"/>
          <w:cols w:equalWidth="0" w:num="1">
            <w:col w:w="11240"/>
          </w:cols>
          <w:pgMar w:left="320" w:top="116"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at the acquisition date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89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ind w:left="980" w:hanging="97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9,483</w:t>
      </w:r>
    </w:p>
    <w:p>
      <w:pPr>
        <w:spacing w:after="0" w:line="14" w:lineRule="exact"/>
        <w:rPr>
          <w:sz w:val="20"/>
          <w:szCs w:val="20"/>
          <w:color w:val="auto"/>
        </w:rPr>
      </w:pPr>
    </w:p>
    <w:p>
      <w:pPr>
        <w:ind w:left="660" w:hanging="656"/>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28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45720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60" w:space="720"/>
            <w:col w:w="1260"/>
          </w:cols>
          <w:pgMar w:left="320" w:top="116" w:right="339" w:bottom="1440" w:gutter="0" w:footer="0" w:header="0"/>
          <w:type w:val="continuous"/>
        </w:sectPr>
      </w:pP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estimated fair values of consideration transferred, assets acquired and liabilities assumed are provisional and are based on the information that was available as of the acquisition date. The Company believes that information provides a reasonable basis for estimating the fair values of assets acquired and liabilities assumed. Thus, the preliminary measurements of fair value set forth above may be subject to change. The Company expects to finalize the valuation as soon as practicable but no later than one year from the acquisition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aggregate fair values of assets acquired and liabilities assumed. The goodwill recorded in connection with this acquisition was based on operating synergies and other benefits expected to result from the combined operations. The goodwill acquired is amortizable for tax purposes over a period of 15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Acquisition-related costs recognized for the three and six months ended June 30, 2022 including transaction costs such as legal, accounting, valuation and other professional services, were $1 and $26, respectively, and are included in Selling, general and administrative on the condensed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in active markets for identical assets or liabilities that an entity has the ability to access.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supported by little or no market activity and that are significant to the fair value of the assets or liabilities.</w:t>
      </w:r>
    </w:p>
    <w:p>
      <w:pPr>
        <w:sectPr>
          <w:pgSz w:w="11900" w:h="16838" w:orient="portrait"/>
          <w:cols w:equalWidth="0" w:num="1">
            <w:col w:w="11240"/>
          </w:cols>
          <w:pgMar w:left="320" w:top="116" w:right="339"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carrying value of cash and cash equivalents, accounts payable and accrued expenses and other current liabilities approximates their fair values due to the short-term or on demand nature of these instruments. There were no transfers between fair value measurement levels during the three and six months ended June 30, 2022. The Company accounted for the warrants as liabilities in accordance with ASC 815-40 and are presented as Warrant liabilities on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Public Warrants and Private Warrants were carried at fair value as of June 30, 2022.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June 30, 2022, the significant assumptions used in preparing the binomial lattice model for valuing the Private Warrants liability include (i) volatility of 84.6%, (ii) risk-free interest rate of 2.98%, (iii) strike price of $11.50, (iv) fair value of common stock of $2.32, and (v) expected life of 3.9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income mutual funds were valued using quoted market prices and accordingly were classified as Level 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assets and liabilities that are measured at fair value on a recurring basis, by level, within the fair value hierarchy: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0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Fair Value Measurement Level</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mutual funds - Cash and cash equivalents</w:t>
            </w:r>
          </w:p>
        </w:tc>
        <w:tc>
          <w:tcPr>
            <w:tcW w:w="13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73,713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319,398</w:t>
            </w: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 on a recurring basis</w:t>
            </w:r>
          </w:p>
        </w:tc>
        <w:tc>
          <w:tcPr>
            <w:tcW w:w="112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393,111</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393,111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13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4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at fair value on a recurring basis</w:t>
            </w:r>
          </w:p>
        </w:tc>
        <w:tc>
          <w:tcPr>
            <w:tcW w:w="13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2,255</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Fair Value Measurement Level</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8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mutual funds - Cash and cash equivalents</w:t>
            </w:r>
          </w:p>
        </w:tc>
        <w:tc>
          <w:tcPr>
            <w:tcW w:w="13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33,965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435,519</w:t>
            </w: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 at fair value on a recurring basis</w:t>
            </w:r>
          </w:p>
        </w:tc>
        <w:tc>
          <w:tcPr>
            <w:tcW w:w="112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469,484</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469,484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13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48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at fair value on a recurring basis</w:t>
            </w:r>
          </w:p>
        </w:tc>
        <w:tc>
          <w:tcPr>
            <w:tcW w:w="134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7,239</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339</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0"/>
        </w:trPr>
        <w:tc>
          <w:tcPr>
            <w:tcW w:w="48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are recorded at historical cost and consist of the following:</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and production equipment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(3,875)</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amounted to $608 and $235 for the three months ended June 30, 2022 and 2021, respectively, and $1,060 and $448 for the six months ended June 30, 2022 and 2021, respectively. The Company had disposals of $9 relating to property and equipment of $11 with accumulated depreciation of $2 for the six months ended June 30, 2022. There were no disposals for the six months ended June 30,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Contracted services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 costs and contingencies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7,276</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commitments under lease arrangements for office and manufacturing space and office equipment. The Company’s leases have initial lease terms ranging from one year to 10 years. These leases include options to extend or renew the leases for an additional period of one to 10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accounted for on the condensed consolidated balance sheets with ROU assets being recognized in “Operating lease right-of-use assets” and lease liabilities recognized in “Short-term operating lease liabilities” and “Operating lease liabilities”. Lease-related costs are included in Research and development and Selling, general and administrative in the condensed consolidated statements of operations and comprehensive loss.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Lease-related costs for the three and six months ended June 30, 2022</w:t>
            </w:r>
          </w:p>
        </w:tc>
        <w:tc>
          <w:tcPr>
            <w:tcW w:w="23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and 2021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4"/>
                <w:szCs w:val="24"/>
                <w:color w:val="auto"/>
              </w:rPr>
            </w:pPr>
          </w:p>
        </w:tc>
        <w:tc>
          <w:tcPr>
            <w:tcW w:w="24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0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812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2,346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249</w:t>
            </w:r>
          </w:p>
        </w:tc>
      </w:tr>
      <w:tr>
        <w:trPr>
          <w:trHeight w:val="21"/>
        </w:trPr>
        <w:tc>
          <w:tcPr>
            <w:tcW w:w="10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information related to operating leases as of June 30, 2022 and December 31, 2021 is as follows: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7.8</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5"/>
              </w:rPr>
              <w:t>7.0%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cash flow and supplemental cash flow information related to the Company’s lease liabilities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paid to settle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June 30, 2022 are as follows: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100" w:type="dxa"/>
            <w:vAlign w:val="bottom"/>
          </w:tcPr>
          <w:p>
            <w:pPr>
              <w:spacing w:after="0"/>
              <w:rPr>
                <w:sz w:val="18"/>
                <w:szCs w:val="18"/>
                <w:color w:val="auto"/>
              </w:rPr>
            </w:pPr>
          </w:p>
        </w:tc>
      </w:tr>
      <w:tr>
        <w:trPr>
          <w:trHeight w:val="264"/>
        </w:trPr>
        <w:tc>
          <w:tcPr>
            <w:tcW w:w="8680" w:type="dxa"/>
            <w:vAlign w:val="bottom"/>
            <w:tcBorders>
              <w:bottom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Less: Lease incentives </w:t>
            </w:r>
            <w:r>
              <w:rPr>
                <w:rFonts w:ascii="Times New Roman" w:cs="Times New Roman" w:eastAsia="Times New Roman" w:hAnsi="Times New Roman"/>
                <w:sz w:val="29"/>
                <w:szCs w:val="29"/>
                <w:color w:val="auto"/>
                <w:vertAlign w:val="superscript"/>
              </w:rPr>
              <w:t>(1)</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40" w:type="dxa"/>
            <w:vAlign w:val="bottom"/>
          </w:tcPr>
          <w:p>
            <w:pPr>
              <w:spacing w:after="0"/>
              <w:rPr>
                <w:sz w:val="18"/>
                <w:szCs w:val="18"/>
                <w:color w:val="auto"/>
              </w:rPr>
            </w:pPr>
          </w:p>
        </w:tc>
        <w:tc>
          <w:tcPr>
            <w:tcW w:w="120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17,220</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lease incentives that will be realized in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INCENTIVE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as described in Note 3 “Business Combination”. The adjustments to the awards did not result in incremental expense as the equitable adjustments were made pursuant to a preexisting nondiscretionary antidilution provision in the 2013 Plan, and the fair-value, vesting conditions, and classification are the same immediately before and after the modification. In connection with the Business Combination, HighCape’s stockholders approved and adopted the Quantum-Si Incorporated 2021 Equity Incentive Plan (the “2021 Plan”) and the Company no longer makes issuances under the 2013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6,815,430 stock option awards to participants with vesting subject to the participant’s continued employment with the Company through the applicable vesting date. During the three and six months ended June 30, 2022, the Company granted 2,000,000 stock options to the President and Chief Operating Officer of the Company subject to service and/or market conditions. The service condition requires the participant’s continued employment with the Company through the applicable vesting date. The market condition requires that the Company’s Class A common stock trades above a specified level for a defined period of time. Stock-based compensation related to stock options for the three months ended June 30, 2022 and 2021 was $1,807 and $2,594, respectively. Stock-based compensation related to stock options for the six months ended June 30, 2022 and 2021 was $3,301 and $3,051,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under the 2013 Plan and the 2021 Plan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Contractual Term</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5480" w:type="dxa"/>
            <w:vAlign w:val="bottom"/>
          </w:tcPr>
          <w:p>
            <w:pPr>
              <w:spacing w:after="0"/>
              <w:rPr>
                <w:sz w:val="21"/>
                <w:szCs w:val="21"/>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21"/>
                <w:szCs w:val="21"/>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7,726,972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6,815,430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(518,478)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(1,142,510)</w:t>
            </w: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12,881,414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June 30,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4,470,501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3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11,775,878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66,666 restricted stock unit (“RSU”) awards. On February 8, 2022, John Stark, the Company’s then-Chief Executive Officer and member of its board of directors, stepped down from all of his positions with the Company. As a result of Mr. Stark not meeting the service conditions of certain awards previously granted to him, 1,731,371 RSU awards were forfeited resulting in a reversal of stock-based compensation for the six months ended June 30, 2022 of $4,742. Stock-based compensation related to RSU awards for the three months ended June 30, 2022 and 2021 was $1,963 and $7,393, respectively. Stock-based compensation related to RSU awards for the six months ended June 30, 2022 and 2021 was $(245) and $7,393, respectively.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summary of the RSU activity under the 2013 Plan and the 2021 Plan is presented in the table below:</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RSUs at December 31, 2021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4,586,972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(1,816,102)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r>
      <w:tr>
        <w:trPr>
          <w:trHeight w:val="25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RSUs at June 30, 2022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2,137,296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Company’s stock-based compensation is allocated to the following operating expense categories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7,621</w:t>
            </w: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stock-based compensation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3,770</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9,987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those presented in the table below, to the extent dilutive. Basic and diluted net loss per share was the same for each period presented as the inclusion of all common share equivalents would have been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(32,414)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(67,589)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(47,476)</w:t>
            </w:r>
          </w:p>
        </w:tc>
      </w:tr>
      <w:tr>
        <w:trPr>
          <w:trHeight w:val="194"/>
        </w:trPr>
        <w:tc>
          <w:tcPr>
            <w:tcW w:w="5980" w:type="dxa"/>
            <w:vAlign w:val="bottom"/>
            <w:tcBorders>
              <w:top w:val="single" w:sz="8" w:color="CCEEFF"/>
            </w:tcBorders>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Numerator for basic and diluted EPS - loss attributable to common</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(32,414)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(35,697)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(67,589)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(47,476)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139,000,261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36,890,502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138,811,146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21,296,162</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Denominator for basic and diluted EPS - weighted-average common stock</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139,000,261</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36,890,502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138,811,146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21,296,162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(0.23)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(0.49)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Company was in a net loss position for all periods presented, the basic net loss per share calculation excludes preferred stock for the three and six months ended June 30, 2021 as it did not participate in net losses of the Company. Additionally, net loss per share attributable to Class A and Class B common stockholders was the same on a basic and diluted basis, as the inclusion of all potential common equivalent shares outstanding would have been anti-dilutive. Anti-dilutive common equivalent shares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7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5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12,881,414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7,871,098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12,881,414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2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2,137,296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4,845,365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2,137,296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4,845,365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3,968,319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3,968,319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3,968,319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3,968,319</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18,987,029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16,684,782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18,987,029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16,684,782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evaluated the Public Warrants under ASC 815-40, in conjunction with the SEC Division of Corporation Finance’s April 12, 2021 Public Statement, </w:t>
      </w:r>
      <w:r>
        <w:rPr>
          <w:rFonts w:ascii="Times New Roman" w:cs="Times New Roman" w:eastAsia="Times New Roman" w:hAnsi="Times New Roman"/>
          <w:sz w:val="18"/>
          <w:szCs w:val="18"/>
          <w:i w:val="1"/>
          <w:iCs w:val="1"/>
          <w:color w:val="auto"/>
        </w:rPr>
        <w:t>Staff Statement on Accounting and Reporting Considerations for Warrants Issued by Special Purpose Acquisition Companies (“SPACs”)</w:t>
      </w:r>
      <w:r>
        <w:rPr>
          <w:rFonts w:ascii="Times New Roman" w:cs="Times New Roman" w:eastAsia="Times New Roman" w:hAnsi="Times New Roman"/>
          <w:sz w:val="18"/>
          <w:szCs w:val="18"/>
          <w:color w:val="auto"/>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should be classified as a 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2022, there were 135,000 Private Warrants outstanding.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the Private Warrants under ASC 815-40, in conjunction with the SEC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warrant liabilities was $2,255 and $7,239 as of June 30, 2022 and December 31, 2021, respectively. The Company recognized a gain of $2,337 and $4,984 as a Change in fair value of warrant liabilities in the condensed consolidated statement of operations and comprehensive loss for the three and six months ended June 30, 2022. The Company recognized a loss of $3,533 as a Change in fair value of warrant liabilities in the condensed consolidated statement of operations and comprehensive loss for the three and six months ended June 30, 2021. There were no exercises or redemptions of the Public Warrants or Private Warrants during the three and six months ended June 30, 2022 or 2021.</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for the three and six months ended June 30, 2022 and 2021 are recorded at the Company’s estimated annual effective income tax rate, subject to adjustments for discrete events, if they occur. The Company’s estimated annual effective tax rate was 0.0% for the three and six months ended June 30, 2022 and 2021. The primary reconciling items between the federal statutory rate of 21.0% for these periods and the Company’s overall effective tax rate of 0.0% were related to the effects of deferred state income taxes, nondeductible stock-based compensation, changes in the fair value of warrant liabilities, research and development credits, and the valuation allowance recorded against the full amount of its net deferred tax assets.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June 30, 2022 and 2021 since management believes that based on the earnings history of the Company, it is more likely than not that the benefits of these assets will not be realized.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as well as any other equity issuances during the year, the Company is currently evaluating whether an ownership change has occurred under Section 382 of the Internal Revenue Code of 1986, as amended, and whether the Company’s ability to use its pre-change net operating loss and tax credit carryforwards will be limited in future periods. The Company expects to complete its analysis during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utilizes and subleases office and laboratory space in a building owned by a related party. The Company paid $81 under month-to-month lease arrangements for this space for the three months ended June 30, 2022 and 2021, respectively, and $161 for the six months ended June 30, 2022 and 2021, respectively.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was a party to an Amended and Restated Technology Services Agreement (the “ARTSA”), most recently amended on November 11, 2020, by and among 4Catalyzer Corporation (“4C”), the Company and other participant companies controlled by the Rothberg family.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$158 and $1,044, which included $47 and $38 under month-to-month sublease arrangements for office and laboratory spaces from 4C, during the three months ended June 30, 2022 and 2021, respectively. The Company incurred expenses of $368 and $1,579, which included $97 and $76 under month-to-month sublease arrangements for office and laboratory spaces from 4C, during the six months ended June 30, 2022 and 2021, respectively. The amounts advanced and due to 4C at June 30, 2022 and December 31, 2021, related to operating expenses was $114, which is included in Accrued expenses and other current liabilities and $128, which is included in Accounts payable on the condensed consolidated balance sheets, respectively.</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ARTSA also provided for the participant companies to provide other services to each other. The Company also had transactions with other entities under common ownership, which included payments made to third parties on behalf of the Company. The amounts remaining payable at June 30, 2022 and December 31, 2021 were $0 and $17, respectively, and are included in Accounts payable on the condensed consolidated balance sheets. In addition, the Company had transactions with these other entities under common ownership which included payments made by the Company to third parties on behalf of the other entities. The amounts remaining payable at June 30, 2022 and December 31, 2021 are in the aggregate $16 and $15, respectively, and are reflected in Prepaid expenses and other current assets on the condensed consolidated balance sheets.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Effective March 31, 2022, the Collaboration with PEI was terminated, and the Company agreed to pay a final payment of $1,135 under the Collaboration for all services rendered. There was no amount payable at June 30, 2022 or December 31, 2021.</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Rothberg and the Company entered into an Executive Chairman Agreement as of June 10, 2021 (the “Executive Chairman Agreement”) in which Dr. Rothberg provides consulting services to the Company for $400 annually. In addition to the Executive Chairman Agreement, Dr. Rothberg also receives fees as the Company’s Chairman of the Board of Directors and a member of the Nominating and Corporate Governance Committee. The Company paid $114 and $228 to Dr. Rothberg for the three and six months ended June 30, 2022, respectively, for all services provided to the Company. The Company did not make any payments to Dr. Rothberg for the three and six months ended June 30, 2021 for the services that were provided to the Company. Dr. Rothberg does not receive any additional compensation for serving as the Company’s Interim Chief Executive Officer.</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related to certain intellectual property: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licenses certain intellectual property, some of which may be utilized in its future product offering. To preserve the right to use such intellectual property, the Company is required to make annual minimum fixed payments totaling $220. Once the Company commercializes its product and begins to generate revenues, there will be royalties payable by the Company based on the current anticipated utilization.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eligible U.S. employees. Contributions to the 401(k) plan are discretionary. The Company did not make any matching contributions to the 401(k) plan for the three and six months ended June 30,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Company’s condensed consolidated statements of operations and comprehensive loss in connection with the indemnification provisions have not been material.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2021 contained in our Annual Report on Form 10-K for the year ended December 31, 2021, filed with the Securities and Exchange Commission (the “SEC”) on March 1, 2022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2021.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and six months ended June 30, 2022 and 2021, respectively, present the financial position and results of operations of Quantum-Si Incorporated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Next-Generation Protein Sequencing (“NGPS”), the ability to sequence proteins in a massively parallel fashion (rather than sequentially, one at a time), and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is designed to offer a single-day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successfully launch our platform, for research use only (“RUO”), in 2022, and have initiated our early access limited release to enable key thought leaders early access to our platform in 2021. We believe we are the first company to successfully enable NGPS on a semiconductor chip, thus digitizing a massive proteomics opportunity, which allows for a massively parallel solution at the ultimate level of sensitivity —single-molecule detection.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platform will offer a differentiated end-to-end workflow solution in a rapidly evolving proteomics tools market. Within our initial focus market of proteomics, our workflow will be designed to provide users a seamless opportunity to gain key insights into the immediate state of biological pathways and cell state. Our platform aims to address many of the key challenges and bottlenecks with legacy proteomic solutions, such as mass spectrometry (“MS”), which are complicated and often limited by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 of applications and workflows. In 2022, we plan to have our initial launch of our Platinum instrument for research use only.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Outbreak</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our operating results, financial condition and cash flows. The COVID-19 pandemic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currently under development.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 The full extent to which the COVID-19 pandemic will directly or indirectly impact our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 including inflation on product and service costs.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estimates of the impact on our business may change based on new information that may emerge concerning COVID-19 and the actions to contain it or address its impact and the economic impact on local, regional, national and international markets as well as other changes in macroeconomic factors. The COVID-19 pandemic and related economic disruptions have not had a material adverse impact on our operations to date. While we are unable to predict the full impact that the COVID-19 pandemic will have on our future results of operations, liquidity and financial condition due to numerous uncertainties, including the duration of the pandemic, the actions that may be taken by government authorities across the United States, adverse changes in macroeconomic conditions, if sustained or recurrent, could result in significant changes in costs going forward with material adverse effect on our operating results, financial condition, and cash flows.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incurred any impairment losses in the carrying values of our assets as a result of the COVID-19 pandemic and are not aware of any specific related event or circumstance that would require us to revise our estimates reflected in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10, 2021, we consummated the previously announced Business Combination. The Business Combination was approved by HighCape’s stockholders at its special meeting held on June 9, 2021. The transaction resulted in the combined company being renamed “Quantum-Si Incorporated” and Legacy Quantum-Si being renamed “Q-SI Operations Inc.” The combined company’s Class A common stock and warrants to purchase Class A common stock commenced trading on Nasdaq on June 11, 2021 under the symbol “QSI” and “QSIAW”, respectively. As a result of the Business Combination, we received proceeds of approximately $511.2 million on the day of Closing. See Note 3 “Business Combination” in our condensed consolidated financial statements included elsewhere in this Quarterly Report on Form 10-Q for further information regarding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as of May 6, 2022, our board of directors approved a title change for Michael P. McKenna, Ph.D., from President and Chief Operating Officer to Executive Vice President, Product Development and Operations. Effective as of May 9, 2022, Patrick Schneider joined us as our President and Chief Operating Officer.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as of June 15, 2022, our board of directors appointed Vikram Bajaj, Ph.D. to the board of directors and to serve on the Compensation Committee of the board of directors. Additionally, effective as of June 15, 2022, Matthew Dyer, Ph.D. resigned from his position as our Chief Business Officer.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Components of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 costs and benefits, stock-based compensation, lab supplies, consulting and professional services, fabrication services, facilities costs, software, and other outsourced expenses. Research and development expenses are expensed as incurred. All of our research and development expenses are related to developing new products and services. We expect to continue to make substantial investments in research and development activities in the future as we continue to prepare for our anticipated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expense, insurance and office expenses, product advertising and marketing. We expect our selling, general and administrative expenses to increase in the foreseeable future as we near our anticipated launch date, which is expected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that was paid on our Paycheck Protection Program (“PPP”)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income primarily consists of dividends earned on fixed income mutual funds in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 in fair value of warrant liabilities primarily consists of the change in the fair value of our publicly traded warrants (the “Public Warrants”) and our warrants sold in a private placement (the “Private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primarily consists of realized and unrealized losses on fixed income mutual funds in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June 30, 2022 and 2021. Based on the available evidence, we believe that it is more likely than not that we will be unable to utilize all of our deferred tax assets in the future.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and six months ended June 30, 2022 and 2021 and our accounting policies are described in Note 2 “Summary of Significant Accounting Policies” in our condensed consolidated financial statements included elsewhere in this Quarterly Report on Form 10-Q.</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40" w:type="dxa"/>
            <w:vAlign w:val="bottom"/>
            <w:gridSpan w:val="1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20" w:type="dxa"/>
            <w:vAlign w:val="bottom"/>
            <w:gridSpan w:val="1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18,459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37,230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21,086</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w:t>
            </w:r>
          </w:p>
        </w:tc>
      </w:tr>
      <w:tr>
        <w:trPr>
          <w:trHeight w:val="223"/>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20,110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22,857</w:t>
            </w:r>
          </w:p>
        </w:tc>
        <w:tc>
          <w:tcPr>
            <w:tcW w:w="16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3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30,200</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32,164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57,340</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43,943</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(32,164)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(57,340)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(43,943)</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(3,533)</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(17,140)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(32,414)</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(67,589)</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(47,476)</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(32,414)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(67,589)</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(47,476)</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r>
      <w:tr>
        <w:trPr>
          <w:trHeight w:val="432"/>
        </w:trPr>
        <w:tc>
          <w:tcPr>
            <w:tcW w:w="4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7"/>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$5.3 million, or 40.8%, for the three months ended June 30, 2022 compared to the three months ended June 30, 2021. The increase was primarily due to the following elements: $5.2 million related to internal and external product development activities, and $3.4 million in personnel costs as a result of increased headcount. These increases were partially offset by decreases primarily related to the Business Combination: $1.3 million of stock-based compensation and $2.0 million of transaction bonuses paid.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6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decreased by $7.3 million, or 38.4%, for the three months ended June 30, 2022 compared to the three months ended June 30, 2021. The decrease was primarily due to the following elements related to the Business Combination: $3.9 million in consulting and professional fees, $1.0 million of transaction bonuses paid and $4.9 million of reduced stock-based compensation due primarily to stock option and restricted stock unit awards granted and achieved in connection with the closing of the Business Combination. These decreases were partially offset by the following increases: $1.9 million of headcount expenses to scale up our administrative and executive functions and $0.6 million of expenses primarily due to being a publicly traded company including consulting, professional fees and insurance.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6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8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the PPP loan decreased for the three months ended June 30, 2022 compared to the three months ended June 30, 2021 as a result of the Company repaying the loan in full in June 2021 in connection with the Business Combination.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Dividend income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income increased by $1.1 million for the three months ended June 30, 2022 compared to the three months ended June 30, 2021 as a result of higher invested cash balances in marketable securities.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6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warrant liabilities decreased, which resulted in a gain of $5.9 million for the three months ended June 30, 2022 compared to the three months ended June 30, 2021. The warrant liabilities were recorded as part of the Business Combination.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4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income, net increased by $5.6 million for the three months ended June 30, 2022 compared to the three months ended June 30, 2021 primarily as a result of unrealized losses on cash invested in fixed income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$16.1 million, or 76.6%, for the six months ended June 30, 2022 compared to the six months ended June 30, 2021. The increase was primarily due to the following elements: $10.0 million related to internal and external product development activities; $7.5 million in personnel costs as a result of increased headcount; and $1.1 million of collaboration fees with Protein Evolution, Inc. These increases were partially offset by decreases primarily related to the Business Combination: $0.5 million of stock-based compensation and $2.0 million of transaction bonuses paid.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decreased by $2.7 million, or 12.0% for the six months ended June 30, 2022 compared to the six months ended June 30, 2021. The decrease was primarily due to the following elements related to the Business Combination: $3.9 million in consulting and professional fees, $1.0 million of transaction bonuses paid and $6.9 million of reduced stock-based compensation due primarily to stock option and restricted stock unit awards granted and achieved in connection with the closing of the Business Combination. The reduced stock-based compensation of $6.9 million also resulted from a reversal of $4.7 million as a result of restricted stock unit awards that were forfeited by our former Chief Executive Officer upon his separation from the Company. These decreases were partially offset by the following increases: $4.8 million of headcount expenses to scale up our administrative and executive functions and $4.3 million of expenses primarily due to being a publicly traded company including consulting, professional fees and insurance.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38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the PPP loan decreased for the six months ended June 30, 2022 compared to the six months ended June 30, 2021 as a result of the Company repaying the loan in full in June 2021 in connection with the Business Combination.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income</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4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 income increased by $1.9 million for the six months ended June 30, 2022 compared to the six months ended June 30, 2021 as a result of higher invested cash balances in marketable securities.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warrant liabilities decreased, which resulted in a gain of $8.5 million for the six months ended June 30, 2022 compared to the six months ended June 30, 2021. The warrant liabilities were recorded as part of the Business Combination.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4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for % changes)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income, net increased by $17.1 million for the six months ended June 30, 2022 compared to the six months ended June 30, 2021 primarily as a result of unrealized losses on cash invested in fixed income mutual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non-GAAP financial measures in order to assist readers of our condensed consolidated financial statements in understanding the core operating results that our management uses to evaluate the business and for financial planning purposes. Our non-GAAP financial measure, Adjusted EBITDA, provides an additional tool for investors to use in comparing our financial performance over multiple periods.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uses to assess our operating performance. Adjusted EBITDA facilitates internal comparisons of our operating performance on a more consistent basis. We use this performance measure for business planning purposes and forecasting. We believe that Adjusted EBITDA enhances an investor’s understanding of our financial performance as it is useful in assessing our operating performance from period-to-period by excluding certain items that we believe are not representative of our core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Adjusted EBITDA may not be comparable to similarly titled measures of other companies because they may not calculate this measure in the same manner. Adjusted EBITDA is not prepared in accordance with U.S. GAAP and should not be considered in isolation of, or as an alternative to, measures prepared in accordance with U.S. GAAP. When evaluating our performance, you should consider Adjusted EBITDA alongside other financial performance measures prepared in accordance with U.S. GAAP, including net loss.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interest expense, dividend income, depreciation, change in fair value of warrant liabilities, other expense (income), net, stock-based compensation, and other non-recurring items. The other non-recurring items include costs related to discretionary transaction bonuses and other costs incurred with the Closing of the Business Combination on June 10, 2021.</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to net loss, the most directly comparable financial measure calculated and presented in accordance with U.S.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(47,476)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to EBITDA: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(32,858)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(35,459)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(68,436)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(47,025)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to Adjusted EBITDA: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costs - business combination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6,920</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(25,822)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(53,224)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(26,131)</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generated no revenue and have funded our operations primarily with proceeds from the issuance of equity to private investors. In addition, on June 10, 2021, we completed the Business Combination, and as a result we received proceeds of approximately $511.2 million on the day of the Closing. Our primary uses of liquidity have been operating expenses, capital expenditures and our acquisition of certain assets of Majelac Technologies LLC (“Majelac”). Cash flows from operations have been historically negative as we continue to invest in the development of our technology in NGPS. We expect to incur negative operating cash flows on an annual basis for the foreseeable future until such time that we can successfully commercialize our products that are currently under development. However, we can provide no assurance that such products will be successfully developed and commercialized in the future.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the funds raised in connection with the Business Combination will be sufficient to meet our liquidity, capital expenditure, and anticipated working capital requirements and fund our operations for at least the next 12 months. We expect to use the funds raised in connection with the Business Combination to further invest in the research and development of our products, for other operating expenses, business acquisitions and for working capital and general corporate purposes.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we had cash and cash equivalents and investments in marketable securities totaling $400.7 million. Our future capital requirements may vary from those currently planned and will depend on various factors including the timing of product commercialization.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launch our products in 2022. During the ramp up to launch, our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commercialization; (iii) changes we may make in our business or commercialization strategy; (iv) the impact of the COVID-19 pandemic; (v) costs of running a public company; (vi) other items affecting our forecasted level of expenditures and use of cash resources including potential acquisitions; and (vii) increased product and service costs.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(29,875)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45,487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485,026</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cash used in operating activities represents the cash receipts and disbursements related to our activities other than investing and financing activities. We expect that the cash provided by financing activities in 2021 will continue to be our primary source of funds to support operating needs and capital expenditures for the foreseeable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cash used in operating activities of $49.2 million for the six months ended June 30, 2022 was due primarily to a net loss of $67.6 million and a change in fair value of warrant liabilities of $5.0 million, partially offset by unrealized losses of marketable securities of $16.1 million, stock-based compensation of $3.1 million and net cash inflows from changes in operating assets and liabilities of $3.0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cash used in operating activities of $29.9 million for the six months ended June 30, 2021 was due primarily to a net loss of $47.5 million, partially offset by stock-based compensation of $10.4 million, by a change in fair value of warrant liabilities of $3.5 million and net cash inflows from working capital changes of $3.2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cash provided by investing activities of $94.5 million in the six months ended June 30, 2022 was due primarily to sales of marketable securities of $100.1 million, partially offset by purchases of property and equipment of $5.5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cash used in investing activities of $1.2 million in the six months ended June 30, 2021 was due to purchases of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cash provided by financing activities of $0.1 million in the six months ended June 30, 2022 was due primarily from $1.0 million from proceeds from exercise of stock options, offset by $0.5 million from payment of deferred consideration and $0.3 million from payment of contingent consideration related to the Majelac acquisition.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cash provided by financing activities of $516.1 million in the six months ended June 30, 2021 was due primarily from $514.2 million from proceeds from the Business Combination and $3.7 million from proceeds from exercise of stock options, partially offset by a $1.7 million payment of notes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2032. As of June 30, 2022, the future payments, before adjustments for tenant incentives, under leases was $35.9 million, which includes a lease we entered into in December 2021 for a facility in New Haven, Connecticut, which commenced in January 2022 and a lease that commenced in April 2022 for a facility in Branford, Connecticut.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related to certain 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license certain intellectual property, some of which may be utilized in our current or future product offerings. To preserve the right to use such intellectual property, there are minimum annual fixed royalty payments of approximately $0.2 million. Once we commercialize and begin to generate revenue, there will be royalties based on the current anticipated utilization.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disclosed in our Annual Report on Form 10-K for the year ended December 31, 2021, filed with the SEC on March 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“Summary of Significant Accounting Policies – Recently Issued Accounting Pronouncements” in our condensed consolidated financial statements contained in this Quarterly Report on Form 10-Q.</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interest rate fluctuations.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and marketable securities are comprised primarily of cash and investments in fixed income mutual funds. The primary objective of our investments is the preservation of capital to fulfill liquidity needs. We do not enter into investments for trading or speculative purposes. Due to the short-term nature of these investments, we do not expect cash flows to be affected to any significant degree by a sudden change in market interest rates.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Interim Chief Executive Officer and Chief Financial Officer, to allow timely decisions regarding required disclosure. Based on the evaluation of our disclosure controls and procedures, our Interim Chief Executive Officer and Chief Financial Officer concluded that, due to (i) the restatement of our financial statements to reclassify our warrants as described below and in Amendment No. 1 to our Annual Report on Form 10-K/A for the year ended December 31, 2020 filed with the SEC on May 10, 2021 and (ii) the other material weaknesses described below, our disclosure controls and procedures were not effective as of June 30, 2022.</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our Amendment No. 1 to our Annual Report on Form 10-K/A for the year ended December 31, 2020, we identified a material weakness in our internal control over financial reporting related to inaccurate accounting for the Public Warrants and Private Warrants issued in connection with HighCape’s initial public offering. Management identified this error when the SEC issued the SEC Statement. The SEC Statement addresses certain accounting and reporting considerations related to warrants of a kind similar to those we issued in connection with HighCape’s initial public offering in September 2020. This control deficiency resulted in us having to restate our audited consolidated financial statements contained in our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Legacy Quantum-Si’s financial statement close process for the years ended December 31, 2020 and 2019, we identified a material weakness in the design and operating effectiveness of our internal control over financial reporting. Legacy Quantum-Si outsourced its accounting and financial reporting to a third-party service provider, and therefore as of and for the years ended December 31, 2020 and 2019, did not have its own finance function or finance or accounting professionals that had the requisite experience or were in a position to appropriately perform the supervision and review of the information received from that third-party service provider. As a result, during the three months ended September 30, 2021, we identified a presentation error of the basic and diluted net loss per share calculation, including the weighted-average common stock for the three and six months ended June 30, 2021, which was prepared by a third-party service provider. This presentation error was due to the material weakness related to our ability to appropriately perform the supervision and review of the information received from the third-party service provider as discussed above.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these material weaknesses, management has concluded that our unaudited condensed consolidated financial statements included in this Quarterly Report on Form 10-Q are fairly stated in all material respects in accordance with U.S. GAAP for each of the periods presented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for Remediation of the Material Weakness in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these material weaknesses, our management has expended, and will continue to expend, a substantial amount of effort and resources for the remediation of these material weaknesses in internal control over financial reporting. Our management developed and started to execute a remediation plan, which included the hiring of accounting and finance resources of Quantum-Si including the Chief Financial Officer and Vice President, Controller with technical public company accounting and financial reporting experience, as well as other team members. We also have access to accounting training, literature, research materials and increased communication among our personnel and outsourced third-party professionals with whom we may consult regarding the application of complex accounting transactions. Our remediation plan can only be accomplished over time and will be continually reviewed to determine that we are achieving our objectives. There is no assurance that these initiatives will ultimately have the intended effects. The material weaknesses will not be considered remediated until our management designs and implements effective controls that operate for a sufficient period of time and our management has concluded through testing that these controls are effective.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disclosed above, there were no changes in our internal control over financial reporting during the quarter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are subject to various risks and uncertainties including the risk factors described under the caption “Risk Factors” in our Annual Report on Form 10-K for the year ended December 31, 2021, filed with the SEC on March 1, 2022, and there have been no material changes to the risk factors described therein or in any of our subsequently filed reports.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Reference Herein</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w:t>
            </w:r>
          </w:p>
        </w:tc>
      </w:tr>
      <w:tr>
        <w:trPr>
          <w:trHeight w:val="245"/>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30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Filed Herewith</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  Form or Schedule  ​</w:t>
            </w:r>
          </w:p>
        </w:tc>
        <w:tc>
          <w:tcPr>
            <w:tcW w:w="1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 Number</w:t>
            </w:r>
          </w:p>
        </w:tc>
      </w:tr>
      <w:tr>
        <w:trPr>
          <w:trHeight w:val="175"/>
        </w:trPr>
        <w:tc>
          <w:tcPr>
            <w:tcW w:w="920" w:type="dxa"/>
            <w:vAlign w:val="bottom"/>
            <w:tcBorders>
              <w:top w:val="single" w:sz="8" w:color="auto"/>
            </w:tcBorders>
            <w:gridSpan w:val="3"/>
            <w:shd w:val="clear" w:color="auto" w:fill="CCEEFF"/>
          </w:tcPr>
          <w:p>
            <w:pPr>
              <w:spacing w:after="0" w:line="17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10.1</w:t>
              </w:r>
            </w:hyperlink>
            <w:r>
              <w:rPr>
                <w:rFonts w:ascii="Times New Roman" w:cs="Times New Roman" w:eastAsia="Times New Roman" w:hAnsi="Times New Roman"/>
                <w:sz w:val="18"/>
                <w:szCs w:val="18"/>
                <w:b w:val="1"/>
                <w:bCs w:val="1"/>
                <w:color w:val="000000"/>
              </w:rPr>
              <w:t>+</w:t>
            </w:r>
          </w:p>
        </w:tc>
        <w:tc>
          <w:tcPr>
            <w:tcW w:w="120" w:type="dxa"/>
            <w:vAlign w:val="bottom"/>
            <w:tcBorders>
              <w:top w:val="single" w:sz="8" w:color="CCEEFF"/>
            </w:tcBorders>
            <w:shd w:val="clear" w:color="auto" w:fill="CCEEFF"/>
          </w:tcPr>
          <w:p>
            <w:pPr>
              <w:spacing w:after="0"/>
              <w:rPr>
                <w:sz w:val="15"/>
                <w:szCs w:val="15"/>
                <w:color w:val="auto"/>
              </w:rPr>
            </w:pPr>
          </w:p>
        </w:tc>
        <w:tc>
          <w:tcPr>
            <w:tcW w:w="30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Separation Agreement, dated as of June</w:t>
            </w:r>
          </w:p>
        </w:tc>
        <w:tc>
          <w:tcPr>
            <w:tcW w:w="1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4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ind w:right="350"/>
              <w:spacing w:after="0" w:line="176" w:lineRule="exact"/>
              <w:rPr>
                <w:sz w:val="20"/>
                <w:szCs w:val="20"/>
                <w:color w:val="auto"/>
              </w:rPr>
            </w:pPr>
            <w:r>
              <w:rPr>
                <w:rFonts w:ascii="Times New Roman" w:cs="Times New Roman" w:eastAsia="Times New Roman" w:hAnsi="Times New Roman"/>
                <w:sz w:val="18"/>
                <w:szCs w:val="18"/>
                <w:color w:val="auto"/>
              </w:rPr>
              <w:t>6/10/2022</w:t>
            </w:r>
          </w:p>
        </w:tc>
        <w:tc>
          <w:tcPr>
            <w:tcW w:w="1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001-39486</w:t>
            </w:r>
          </w:p>
        </w:tc>
      </w:tr>
      <w:tr>
        <w:trPr>
          <w:trHeight w:val="218"/>
        </w:trPr>
        <w:tc>
          <w:tcPr>
            <w:tcW w:w="2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 2022, by and between Quantum-Si</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(Exhibit 10.1)</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Incorporated and Matthew Dyer, Ph.D.</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6"/>
        </w:trPr>
        <w:tc>
          <w:tcPr>
            <w:tcW w:w="9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10.2</w:t>
              </w:r>
            </w:hyperlink>
            <w:r>
              <w:rPr>
                <w:rFonts w:ascii="Times New Roman" w:cs="Times New Roman" w:eastAsia="Times New Roman" w:hAnsi="Times New Roman"/>
                <w:sz w:val="18"/>
                <w:szCs w:val="18"/>
                <w:b w:val="1"/>
                <w:bCs w:val="1"/>
                <w:color w:val="000000"/>
              </w:rPr>
              <w:t>+</w:t>
            </w:r>
          </w:p>
        </w:tc>
        <w:tc>
          <w:tcPr>
            <w:tcW w:w="31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Offer Letter of Employment, dated April</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Form 8-K</w:t>
            </w:r>
          </w:p>
        </w:tc>
        <w:tc>
          <w:tcPr>
            <w:tcW w:w="1640" w:type="dxa"/>
            <w:vAlign w:val="bottom"/>
            <w:shd w:val="clear" w:color="auto" w:fill="CCEEFF"/>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5/9/2022</w:t>
            </w: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001-39486</w:t>
            </w:r>
          </w:p>
        </w:tc>
      </w:tr>
      <w:tr>
        <w:trPr>
          <w:trHeight w:val="218"/>
        </w:trPr>
        <w:tc>
          <w:tcPr>
            <w:tcW w:w="2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 2022, by and between Quantum-Si</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(Exhibit 10.1)</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Incorporated and Patrick Schneider</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6"/>
        </w:trPr>
        <w:tc>
          <w:tcPr>
            <w:tcW w:w="9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31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the Principal Executive</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8"/>
        </w:trPr>
        <w:tc>
          <w:tcPr>
            <w:tcW w:w="2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Officer pursuant to Section 302 of the</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5"/>
        </w:trPr>
        <w:tc>
          <w:tcPr>
            <w:tcW w:w="9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31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 of the Principal Financial</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8"/>
        </w:trPr>
        <w:tc>
          <w:tcPr>
            <w:tcW w:w="2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Officer pursuant to Section 302 of the</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p>
        </w:tc>
        <w:tc>
          <w:tcPr>
            <w:tcW w:w="60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Certifications of the Chief Executive</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18"/>
        </w:trPr>
        <w:tc>
          <w:tcPr>
            <w:tcW w:w="2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Officer and Chief Financial Officer</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pursuant to Section 906 of the Sarbanes-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Oxley Act of 2002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8"/>
        </w:trPr>
        <w:tc>
          <w:tcPr>
            <w:tcW w:w="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3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Interactive Data File because its XBRL</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tags are embedded within the Inline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XBRL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8"/>
        </w:trPr>
        <w:tc>
          <w:tcPr>
            <w:tcW w:w="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3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Schema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8"/>
        </w:trPr>
        <w:tc>
          <w:tcPr>
            <w:tcW w:w="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3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8"/>
        </w:trPr>
        <w:tc>
          <w:tcPr>
            <w:tcW w:w="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3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8"/>
        </w:trPr>
        <w:tc>
          <w:tcPr>
            <w:tcW w:w="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3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Label</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8"/>
        </w:trPr>
        <w:tc>
          <w:tcPr>
            <w:tcW w:w="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3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Inline XBRL Taxonomy Extension</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8"/>
        </w:trPr>
        <w:tc>
          <w:tcPr>
            <w:tcW w:w="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600" w:type="dxa"/>
            <w:vAlign w:val="bottom"/>
            <w:shd w:val="clear" w:color="auto" w:fill="CCEEFF"/>
          </w:tcPr>
          <w:p>
            <w:pPr>
              <w:spacing w:after="0"/>
              <w:rPr>
                <w:sz w:val="17"/>
                <w:szCs w:val="17"/>
                <w:color w:val="auto"/>
              </w:rPr>
            </w:pPr>
          </w:p>
        </w:tc>
        <w:tc>
          <w:tcPr>
            <w:tcW w:w="31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(embedded within the Inline XBRL</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4"/>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both"/>
        <w:ind w:firstLine="8"/>
        <w:spacing w:after="0" w:line="261" w:lineRule="auto"/>
        <w:tabs>
          <w:tab w:leader="none" w:pos="1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ectPr>
          <w:pgSz w:w="11900" w:h="16838" w:orient="portrait"/>
          <w:cols w:equalWidth="0" w:num="1">
            <w:col w:w="11240"/>
          </w:cols>
          <w:pgMar w:left="320" w:top="115"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8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QUANTUM-SI INCORPORATED</w:t>
            </w:r>
          </w:p>
        </w:tc>
        <w:tc>
          <w:tcPr>
            <w:tcW w:w="2820" w:type="dxa"/>
            <w:vAlign w:val="bottom"/>
          </w:tcPr>
          <w:p>
            <w:pPr>
              <w:spacing w:after="0"/>
              <w:rPr>
                <w:sz w:val="20"/>
                <w:szCs w:val="20"/>
                <w:color w:val="auto"/>
              </w:rPr>
            </w:pP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48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Jonathan M. Rothberg, Ph.D.</w:t>
            </w:r>
          </w:p>
        </w:tc>
        <w:tc>
          <w:tcPr>
            <w:tcW w:w="2820" w:type="dxa"/>
            <w:vAlign w:val="bottom"/>
          </w:tcPr>
          <w:p>
            <w:pPr>
              <w:spacing w:after="0"/>
              <w:rPr>
                <w:sz w:val="24"/>
                <w:szCs w:val="24"/>
                <w:color w:val="auto"/>
              </w:rPr>
            </w:pPr>
          </w:p>
        </w:tc>
      </w:tr>
      <w:tr>
        <w:trPr>
          <w:trHeight w:val="198"/>
        </w:trPr>
        <w:tc>
          <w:tcPr>
            <w:tcW w:w="3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Jonathan M. Rothberg, Ph.D.</w:t>
            </w:r>
          </w:p>
        </w:tc>
        <w:tc>
          <w:tcPr>
            <w:tcW w:w="2820" w:type="dxa"/>
            <w:vAlign w:val="bottom"/>
          </w:tcPr>
          <w:p>
            <w:pPr>
              <w:spacing w:after="0"/>
              <w:rPr>
                <w:sz w:val="17"/>
                <w:szCs w:val="17"/>
                <w:color w:val="auto"/>
              </w:rPr>
            </w:pP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2820" w:type="dxa"/>
            <w:vAlign w:val="bottom"/>
          </w:tcPr>
          <w:p>
            <w:pPr>
              <w:spacing w:after="0"/>
              <w:rPr>
                <w:sz w:val="20"/>
                <w:szCs w:val="20"/>
                <w:color w:val="auto"/>
              </w:rPr>
            </w:pP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48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Claudia Drayton</w:t>
            </w:r>
          </w:p>
        </w:tc>
        <w:tc>
          <w:tcPr>
            <w:tcW w:w="2820" w:type="dxa"/>
            <w:vAlign w:val="bottom"/>
          </w:tcPr>
          <w:p>
            <w:pPr>
              <w:spacing w:after="0"/>
              <w:rPr>
                <w:sz w:val="24"/>
                <w:szCs w:val="24"/>
                <w:color w:val="auto"/>
              </w:rPr>
            </w:pPr>
          </w:p>
        </w:tc>
      </w:tr>
      <w:tr>
        <w:trPr>
          <w:trHeight w:val="198"/>
        </w:trPr>
        <w:tc>
          <w:tcPr>
            <w:tcW w:w="3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Claudia Drayton</w:t>
            </w:r>
          </w:p>
        </w:tc>
        <w:tc>
          <w:tcPr>
            <w:tcW w:w="2820" w:type="dxa"/>
            <w:vAlign w:val="bottom"/>
          </w:tcPr>
          <w:p>
            <w:pPr>
              <w:spacing w:after="0"/>
              <w:rPr>
                <w:sz w:val="17"/>
                <w:szCs w:val="17"/>
                <w:color w:val="auto"/>
              </w:rPr>
            </w:pP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20" w:type="dxa"/>
            <w:vAlign w:val="bottom"/>
          </w:tcPr>
          <w:p>
            <w:pPr>
              <w:spacing w:after="0"/>
              <w:rPr>
                <w:sz w:val="20"/>
                <w:szCs w:val="20"/>
                <w:color w:val="auto"/>
              </w:rPr>
            </w:pPr>
          </w:p>
        </w:tc>
      </w:tr>
      <w:tr>
        <w:trPr>
          <w:trHeight w:val="598"/>
        </w:trPr>
        <w:tc>
          <w:tcPr>
            <w:tcW w:w="3540" w:type="dxa"/>
            <w:vAlign w:val="bottom"/>
          </w:tcPr>
          <w:p>
            <w:pPr>
              <w:spacing w:after="0"/>
              <w:rPr>
                <w:sz w:val="24"/>
                <w:szCs w:val="24"/>
                <w:color w:val="auto"/>
              </w:rPr>
            </w:pPr>
          </w:p>
        </w:tc>
        <w:tc>
          <w:tcPr>
            <w:tcW w:w="2400" w:type="dxa"/>
            <w:vAlign w:val="bottom"/>
          </w:tcPr>
          <w:p>
            <w:pPr>
              <w:jc w:val="right"/>
              <w:ind w:right="155"/>
              <w:spacing w:after="0"/>
              <w:rPr>
                <w:sz w:val="20"/>
                <w:szCs w:val="20"/>
                <w:color w:val="auto"/>
              </w:rPr>
            </w:pPr>
            <w:r>
              <w:rPr>
                <w:rFonts w:ascii="Times New Roman" w:cs="Times New Roman" w:eastAsia="Times New Roman" w:hAnsi="Times New Roman"/>
                <w:sz w:val="14"/>
                <w:szCs w:val="14"/>
                <w:color w:val="auto"/>
              </w:rPr>
              <w:t>34</w:t>
            </w:r>
          </w:p>
        </w:tc>
        <w:tc>
          <w:tcPr>
            <w:tcW w:w="24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85"/>
        </w:trPr>
        <w:tc>
          <w:tcPr>
            <w:tcW w:w="354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Jonathan M. Rothberg, Ph.D., certify that:</w:t>
      </w:r>
    </w:p>
    <w:p>
      <w:pPr>
        <w:spacing w:after="0" w:line="24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August 8, 2022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M. Rothberg,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773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M. Rothberg,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Claudia Drayton, certify that:</w:t>
      </w:r>
    </w:p>
    <w:p>
      <w:pPr>
        <w:spacing w:after="0" w:line="24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August 8, 2022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312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Claudia Drayton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CERTIFICATIONS UNDER SECTION 906</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Quarterly Report for the quarter ended June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8, 2022</w:t>
            </w: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M. Rothberg, Ph.D.</w:t>
            </w:r>
          </w:p>
        </w:tc>
        <w:tc>
          <w:tcPr>
            <w:tcW w:w="3120" w:type="dxa"/>
            <w:vAlign w:val="bottom"/>
          </w:tcPr>
          <w:p>
            <w:pPr>
              <w:spacing w:after="0"/>
              <w:rPr>
                <w:sz w:val="20"/>
                <w:szCs w:val="20"/>
                <w:color w:val="auto"/>
              </w:rPr>
            </w:pPr>
          </w:p>
        </w:tc>
      </w:tr>
      <w:tr>
        <w:trPr>
          <w:trHeight w:val="198"/>
        </w:trPr>
        <w:tc>
          <w:tcPr>
            <w:tcW w:w="5660" w:type="dxa"/>
            <w:vAlign w:val="bottom"/>
          </w:tcPr>
          <w:p>
            <w:pPr>
              <w:spacing w:after="0"/>
              <w:rPr>
                <w:sz w:val="17"/>
                <w:szCs w:val="17"/>
                <w:color w:val="auto"/>
              </w:rPr>
            </w:pPr>
          </w:p>
        </w:tc>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M. Rothberg, Ph.D.</w:t>
            </w:r>
          </w:p>
        </w:tc>
        <w:tc>
          <w:tcPr>
            <w:tcW w:w="3120" w:type="dxa"/>
            <w:vAlign w:val="bottom"/>
          </w:tcPr>
          <w:p>
            <w:pPr>
              <w:spacing w:after="0"/>
              <w:rPr>
                <w:sz w:val="17"/>
                <w:szCs w:val="17"/>
                <w:color w:val="auto"/>
              </w:rPr>
            </w:pPr>
          </w:p>
        </w:tc>
      </w:tr>
      <w:tr>
        <w:trPr>
          <w:trHeight w:val="214"/>
        </w:trPr>
        <w:tc>
          <w:tcPr>
            <w:tcW w:w="56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3120" w:type="dxa"/>
            <w:vAlign w:val="bottom"/>
          </w:tcPr>
          <w:p>
            <w:pPr>
              <w:spacing w:after="0"/>
              <w:rPr>
                <w:sz w:val="18"/>
                <w:szCs w:val="18"/>
                <w:color w:val="auto"/>
              </w:rPr>
            </w:pPr>
          </w:p>
        </w:tc>
      </w:tr>
      <w:tr>
        <w:trPr>
          <w:trHeight w:val="236"/>
        </w:trPr>
        <w:tc>
          <w:tcPr>
            <w:tcW w:w="566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120" w:type="dxa"/>
            <w:vAlign w:val="bottom"/>
          </w:tcPr>
          <w:p>
            <w:pPr>
              <w:spacing w:after="0"/>
              <w:rPr>
                <w:sz w:val="20"/>
                <w:szCs w:val="20"/>
                <w:color w:val="auto"/>
              </w:rPr>
            </w:pPr>
          </w:p>
        </w:tc>
      </w:tr>
      <w:tr>
        <w:trPr>
          <w:trHeight w:val="46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8, 2022</w:t>
            </w: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Claudia Drayton</w:t>
            </w:r>
          </w:p>
        </w:tc>
        <w:tc>
          <w:tcPr>
            <w:tcW w:w="3120" w:type="dxa"/>
            <w:vAlign w:val="bottom"/>
          </w:tcPr>
          <w:p>
            <w:pPr>
              <w:spacing w:after="0"/>
              <w:rPr>
                <w:sz w:val="24"/>
                <w:szCs w:val="24"/>
                <w:color w:val="auto"/>
              </w:rPr>
            </w:pPr>
          </w:p>
        </w:tc>
      </w:tr>
      <w:tr>
        <w:trPr>
          <w:trHeight w:val="198"/>
        </w:trPr>
        <w:tc>
          <w:tcPr>
            <w:tcW w:w="5660" w:type="dxa"/>
            <w:vAlign w:val="bottom"/>
          </w:tcPr>
          <w:p>
            <w:pPr>
              <w:spacing w:after="0"/>
              <w:rPr>
                <w:sz w:val="17"/>
                <w:szCs w:val="17"/>
                <w:color w:val="auto"/>
              </w:rPr>
            </w:pPr>
          </w:p>
        </w:tc>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Claudia Drayton</w:t>
            </w:r>
          </w:p>
        </w:tc>
        <w:tc>
          <w:tcPr>
            <w:tcW w:w="3120" w:type="dxa"/>
            <w:vAlign w:val="bottom"/>
          </w:tcPr>
          <w:p>
            <w:pPr>
              <w:spacing w:after="0"/>
              <w:rPr>
                <w:sz w:val="17"/>
                <w:szCs w:val="17"/>
                <w:color w:val="auto"/>
              </w:rPr>
            </w:pPr>
          </w:p>
        </w:tc>
      </w:tr>
      <w:tr>
        <w:trPr>
          <w:trHeight w:val="214"/>
        </w:trPr>
        <w:tc>
          <w:tcPr>
            <w:tcW w:w="56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20" w:type="dxa"/>
            <w:vAlign w:val="bottom"/>
          </w:tcPr>
          <w:p>
            <w:pPr>
              <w:spacing w:after="0"/>
              <w:rPr>
                <w:sz w:val="18"/>
                <w:szCs w:val="18"/>
                <w:color w:val="auto"/>
              </w:rPr>
            </w:pPr>
          </w:p>
        </w:tc>
      </w:tr>
      <w:tr>
        <w:trPr>
          <w:trHeight w:val="236"/>
        </w:trPr>
        <w:tc>
          <w:tcPr>
            <w:tcW w:w="566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3120" w:type="dxa"/>
            <w:vAlign w:val="bottom"/>
          </w:tcPr>
          <w:p>
            <w:pPr>
              <w:spacing w:after="0"/>
              <w:rPr>
                <w:sz w:val="20"/>
                <w:szCs w:val="20"/>
                <w:color w:val="auto"/>
              </w:rPr>
            </w:pPr>
          </w:p>
        </w:tc>
      </w:tr>
      <w:tr>
        <w:trPr>
          <w:trHeight w:val="601"/>
        </w:trPr>
        <w:tc>
          <w:tcPr>
            <w:tcW w:w="56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0" Type="http://schemas.openxmlformats.org/officeDocument/2006/relationships/hyperlink" Target="https://www.sec.gov/Archives/edgar/data/0001816431/000114036122022631/brhc10038654_ex10-1.htm" TargetMode="External"/><Relationship Id="rId51" Type="http://schemas.openxmlformats.org/officeDocument/2006/relationships/hyperlink" Target="https://www.sec.gov/Archives/edgar/data/1816431/000114036122018310/brhc1003720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2022-08-09T03:41:02Z</dcterms:created>
  <dcterms:modified xsi:type="dcterms:W3CDTF">2022-08-09T03:41:02Z</dcterms:modified>
</cp:coreProperties>
</file>