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w:t>
      </w:r>
    </w:p>
    <w:p>
      <w:pPr>
        <w:pStyle w:val="TextBody"/>
        <w:bidi w:val="0"/>
        <w:spacing w:lineRule="auto" w:line="288"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SECURITIES AND EXCHANGE COMMISSION</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w:t>
      </w:r>
    </w:p>
    <w:p>
      <w:pPr>
        <w:pStyle w:val="TextBody"/>
        <w:bidi w:val="0"/>
        <w:spacing w:lineRule="auto" w:line="288" w:before="24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10-Q</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240" w:after="283"/>
        <w:jc w:val="center"/>
        <w:rPr/>
      </w:pPr>
      <w:r>
        <w:rPr>
          <w:rFonts w:ascii="Times New Roman;sans-serif" w:hAnsi="Times New Roman;sans-serif"/>
          <w:b/>
          <w:color w:val="000000"/>
          <w:sz w:val="20"/>
          <w:shd w:fill="FFFFFF" w:val="clear"/>
        </w:rPr>
        <w:t xml:space="preserve">For the quarterly period ended </w:t>
      </w:r>
      <w:r>
        <w:rPr>
          <w:rFonts w:ascii="Times New Roman;sans-serif" w:hAnsi="Times New Roman;sans-serif"/>
          <w:b/>
          <w:color w:val="000000"/>
          <w:sz w:val="20"/>
        </w:rPr>
        <w:t>March 31, 2025</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For the transition period from ________ to _________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Commission File Number: 001-39486</w:t>
      </w:r>
    </w:p>
    <w:p>
      <w:pPr>
        <w:pStyle w:val="TextBody"/>
        <w:bidi w:val="0"/>
        <w:spacing w:lineRule="auto" w:line="288" w:before="240" w:after="283"/>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QUANTUM-SI INCORPORATED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85-1388175</w:t>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4662" w:type="dxa"/>
        <w:jc w:val="left"/>
        <w:tblInd w:w="0" w:type="dxa"/>
        <w:tblLayout w:type="fixed"/>
        <w:tblCellMar>
          <w:top w:w="28" w:type="dxa"/>
          <w:left w:w="28" w:type="dxa"/>
          <w:bottom w:w="28" w:type="dxa"/>
          <w:right w:w="28" w:type="dxa"/>
        </w:tblCellMar>
      </w:tblPr>
      <w:tblGrid>
        <w:gridCol w:w="1193"/>
        <w:gridCol w:w="1051"/>
        <w:gridCol w:w="1056"/>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29 Business Park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Branford, 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06405</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00" w:after="283"/>
        <w:jc w:val="center"/>
        <w:rPr/>
      </w:pPr>
      <w:r>
        <w:rPr>
          <w:rFonts w:ascii="Times New Roman;sans-serif" w:hAnsi="Times New Roman;sans-serif"/>
          <w:b/>
          <w:color w:val="000000"/>
          <w:sz w:val="20"/>
          <w:shd w:fill="FFFFFF" w:val="clear"/>
        </w:rPr>
        <w:t>(</w:t>
      </w:r>
      <w:r>
        <w:rPr>
          <w:rFonts w:ascii="Times New Roman;sans-serif" w:hAnsi="Times New Roman;sans-serif"/>
          <w:b/>
          <w:color w:val="000000"/>
          <w:sz w:val="20"/>
        </w:rPr>
        <w:t>866)</w:t>
      </w:r>
      <w:r>
        <w:rPr>
          <w:color w:val="000000"/>
          <w:shd w:fill="FFFFFF" w:val="clear"/>
        </w:rPr>
        <w:t xml:space="preserve"> </w:t>
      </w:r>
      <w:r>
        <w:rPr>
          <w:rFonts w:ascii="Times New Roman;sans-serif" w:hAnsi="Times New Roman;sans-serif"/>
          <w:b/>
          <w:color w:val="000000"/>
          <w:sz w:val="20"/>
        </w:rPr>
        <w:t>688-7374</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 applicable</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(Former name, former address and former fiscal year, if changed since last report)</w:t>
      </w:r>
    </w:p>
    <w:p>
      <w:pPr>
        <w:pStyle w:val="TextBody"/>
        <w:bidi w:val="0"/>
        <w:spacing w:lineRule="auto" w:line="288"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32"/>
        <w:gridCol w:w="1872"/>
        <w:gridCol w:w="1894"/>
        <w:gridCol w:w="109"/>
        <w:gridCol w:w="109"/>
        <w:gridCol w:w="109"/>
        <w:gridCol w:w="311"/>
        <w:gridCol w:w="311"/>
        <w:gridCol w:w="313"/>
        <w:gridCol w:w="109"/>
        <w:gridCol w:w="109"/>
        <w:gridCol w:w="109"/>
        <w:gridCol w:w="705"/>
        <w:gridCol w:w="705"/>
        <w:gridCol w:w="1008"/>
      </w:tblGrid>
      <w:tr>
        <w:trPr/>
        <w:tc>
          <w:tcPr>
            <w:tcW w:w="243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619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Trading</w:t>
            </w:r>
          </w:p>
          <w:p>
            <w:pPr>
              <w:pStyle w:val="TableContents"/>
              <w:bidi w:val="0"/>
              <w:spacing w:lineRule="auto" w:line="276" w:before="0" w:after="0"/>
              <w:jc w:val="center"/>
              <w:rPr>
                <w:color w:val="000000"/>
              </w:rPr>
            </w:pPr>
            <w:r>
              <w:rPr>
                <w:color w:val="000000"/>
              </w:rPr>
              <w:t> </w:t>
            </w:r>
            <w:r>
              <w:rPr>
                <w:rFonts w:ascii="Times New Roman;sans-serif" w:hAnsi="Times New Roman;sans-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619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619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warrants, each whole warrant exercisable for one share of Class A common stock, each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QSIAW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rPr>
        <w:t>o</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82"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4"/>
              </w:rPr>
            </w:pPr>
            <w:r>
              <w:rPr>
                <w:rFonts w:ascii="Wingdings;sans-serif" w:hAnsi="Wingdings;sans-serif"/>
                <w:b w:val="false"/>
                <w:color w:val="000000"/>
                <w:sz w:val="2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4"/>
              </w:rPr>
            </w:pPr>
            <w:r>
              <w:rPr>
                <w:rFonts w:ascii="Wingdings;sans-serif" w:hAnsi="Wingdings;sans-serif"/>
                <w:b w:val="false"/>
                <w:color w:val="000000"/>
                <w:sz w:val="24"/>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Wingdings;sans-serif" w:hAnsi="Wingdings;sans-serif"/>
                <w:b w:val="false"/>
                <w:color w:val="000000"/>
                <w:sz w:val="24"/>
              </w:rPr>
            </w:pPr>
            <w:r>
              <w:rPr>
                <w:rFonts w:ascii="Wingdings;sans-serif" w:hAnsi="Wingdings;sans-serif"/>
                <w:b w:val="false"/>
                <w:color w:val="000000"/>
                <w:sz w:val="24"/>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2"/>
        </w:rPr>
        <w:t>o</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Indicate by check mark whether the registrant is a shell company (as defined in Rule 12b-2 of the Exchange Act). Yes </w:t>
      </w:r>
      <w:r>
        <w:rPr>
          <w:color w:val="000000"/>
          <w:shd w:fill="FFFFFF" w:val="clear"/>
        </w:rPr>
        <w:t xml:space="preserve">☐ </w:t>
      </w:r>
      <w:r>
        <w:rPr>
          <w:rFonts w:ascii="Times New Roman;sans-serif" w:hAnsi="Times New Roman;sans-serif"/>
          <w:b w:val="false"/>
          <w:color w:val="000000"/>
          <w:sz w:val="20"/>
          <w:shd w:fill="FFFFFF" w:val="clear"/>
        </w:rPr>
        <w:t xml:space="preserve">No </w:t>
      </w:r>
      <w:r>
        <w:rPr>
          <w:color w:val="000000"/>
        </w:rPr>
        <w:t>☒</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May 9, 2025</w:t>
      </w:r>
      <w:r>
        <w:rPr>
          <w:rFonts w:ascii="Times New Roman;sans-serif" w:hAnsi="Times New Roman;sans-serif"/>
          <w:b w:val="false"/>
          <w:color w:val="000000"/>
          <w:sz w:val="20"/>
          <w:shd w:fill="FFFFFF" w:val="clear"/>
        </w:rPr>
        <w:t xml:space="preserve">, the registrant had </w:t>
      </w:r>
      <w:r>
        <w:rPr>
          <w:rFonts w:ascii="Times New Roman;sans-serif" w:hAnsi="Times New Roman;sans-serif"/>
          <w:b w:val="false"/>
          <w:color w:val="000000"/>
          <w:sz w:val="20"/>
        </w:rPr>
        <w:t>163,560,616</w:t>
      </w:r>
      <w:r>
        <w:rPr>
          <w:color w:val="000000"/>
          <w:shd w:fill="FFFFFF" w:val="clear"/>
        </w:rPr>
        <w:t xml:space="preserve"> </w:t>
      </w:r>
      <w:r>
        <w:rPr>
          <w:rFonts w:ascii="Times New Roman;sans-serif" w:hAnsi="Times New Roman;sans-serif"/>
          <w:b w:val="false"/>
          <w:color w:val="000000"/>
          <w:sz w:val="20"/>
          <w:shd w:fill="FFFFFF" w:val="clear"/>
        </w:rPr>
        <w:t xml:space="preserve">shares of Class A common stock outstanding and </w:t>
      </w:r>
      <w:r>
        <w:rPr>
          <w:rFonts w:ascii="Times New Roman;sans-serif" w:hAnsi="Times New Roman;sans-serif"/>
          <w:b w:val="false"/>
          <w:color w:val="000000"/>
          <w:sz w:val="20"/>
        </w:rPr>
        <w:t>19,937,500</w:t>
      </w:r>
      <w:r>
        <w:rPr>
          <w:color w:val="000000"/>
          <w:shd w:fill="FFFFFF" w:val="clear"/>
        </w:rPr>
        <w:t xml:space="preserve"> </w:t>
      </w:r>
      <w:r>
        <w:rPr>
          <w:rFonts w:ascii="Times New Roman;sans-serif" w:hAnsi="Times New Roman;sans-serif"/>
          <w:b w:val="false"/>
          <w:color w:val="000000"/>
          <w:sz w:val="20"/>
          <w:shd w:fill="FFFFFF" w:val="clear"/>
        </w:rPr>
        <w:t>shares of Class B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QUANTUM-SI INCORPORATED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52"/>
        <w:gridCol w:w="310"/>
        <w:gridCol w:w="314"/>
        <w:gridCol w:w="2884"/>
        <w:gridCol w:w="2884"/>
        <w:gridCol w:w="2889"/>
        <w:gridCol w:w="167"/>
        <w:gridCol w:w="167"/>
        <w:gridCol w:w="238"/>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0">
              <w:r>
                <w:rPr>
                  <w:rStyle w:val="InternetLink"/>
                  <w:rFonts w:ascii="Times New Roman;sans-serif" w:hAnsi="Times New Roman;sans-serif"/>
                  <w:b w:val="false"/>
                  <w:color w:val="0000FF"/>
                  <w:sz w:val="20"/>
                  <w:u w:val="single"/>
                </w:rPr>
                <w:t>Cautionary Note Regarding Forward-Looking Statements</w:t>
              </w:r>
            </w:hyperlink>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4636a994e10c426c9213f0b844f89df1_10">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3">
              <w:r>
                <w:rPr>
                  <w:rStyle w:val="InternetLink"/>
                  <w:rFonts w:ascii="Times New Roman;sans-serif" w:hAnsi="Times New Roman;sans-serif"/>
                  <w:b/>
                  <w:strike w:val="false"/>
                  <w:dstrike w:val="false"/>
                  <w:color w:val="000000"/>
                  <w:sz w:val="20"/>
                  <w:u w:val="none"/>
                  <w:effect w:val="none"/>
                </w:rPr>
                <w:t>Part I</w:t>
              </w:r>
            </w:hyperlink>
            <w:r>
              <w:rPr>
                <w:rFonts w:ascii="Times New Roman;sans-serif" w:hAnsi="Times New Roman;sans-serif"/>
                <w:b/>
                <w:color w:val="000000"/>
                <w:sz w:val="20"/>
              </w:rPr>
              <w:t>.</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3">
              <w:r>
                <w:rPr>
                  <w:rStyle w:val="InternetLink"/>
                  <w:rFonts w:ascii="Times New Roman;sans-serif" w:hAnsi="Times New Roman;sans-serif"/>
                  <w:b/>
                  <w:color w:val="0000FF"/>
                  <w:sz w:val="20"/>
                  <w:u w:val="single"/>
                </w:rPr>
                <w:t>Financial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13">
              <w:r>
                <w:rPr>
                  <w:rStyle w:val="InternetLink"/>
                  <w:rFonts w:ascii="Times New Roman;sans-serif" w:hAnsi="Times New Roman;sans-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6">
              <w:r>
                <w:rPr>
                  <w:rStyle w:val="InternetLink"/>
                  <w:rFonts w:ascii="Times New Roman;sans-serif" w:hAnsi="Times New Roman;sans-serif"/>
                  <w:b w:val="false"/>
                  <w:strike w:val="false"/>
                  <w:dstrike w:val="false"/>
                  <w:color w:val="000000"/>
                  <w:sz w:val="20"/>
                  <w:u w:val="none"/>
                  <w:effect w:val="none"/>
                </w:rPr>
                <w:t>Item 1.</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6">
              <w:r>
                <w:rPr>
                  <w:rStyle w:val="InternetLink"/>
                  <w:rFonts w:ascii="Times New Roman;sans-serif" w:hAnsi="Times New Roman;sans-serif"/>
                  <w:b w:val="false"/>
                  <w:color w:val="0000FF"/>
                  <w:sz w:val="20"/>
                  <w:u w:val="single"/>
                </w:rPr>
                <w:t>Financial Statements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16">
              <w:r>
                <w:rPr>
                  <w:rStyle w:val="InternetLink"/>
                  <w:rFonts w:ascii="Times New Roman;sans-serif" w:hAnsi="Times New Roman;sans-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9">
              <w:r>
                <w:rPr>
                  <w:rStyle w:val="InternetLink"/>
                  <w:rFonts w:ascii="Times New Roman;sans-serif" w:hAnsi="Times New Roman;sans-serif"/>
                  <w:b w:val="false"/>
                  <w:color w:val="000080"/>
                  <w:sz w:val="20"/>
                  <w:u w:val="single"/>
                </w:rPr>
                <w:t>Condensed Consolidated Balance Sheets as of</w:t>
              </w:r>
            </w:hyperlink>
            <w:hyperlink w:anchor="i4636a994e10c426c9213f0b844f89df1_19">
              <w:r>
                <w:rPr>
                  <w:rStyle w:val="InternetLink"/>
                  <w:rFonts w:ascii="Times New Roman;sans-serif" w:hAnsi="Times New Roman;sans-serif"/>
                  <w:b w:val="false"/>
                  <w:color w:val="000080"/>
                  <w:sz w:val="20"/>
                  <w:u w:val="single"/>
                </w:rPr>
                <w:t xml:space="preserve"> March 31, 2025</w:t>
              </w:r>
            </w:hyperlink>
            <w:hyperlink w:anchor="i4636a994e10c426c9213f0b844f89df1_19">
              <w:r>
                <w:rPr>
                  <w:rStyle w:val="InternetLink"/>
                  <w:rFonts w:ascii="Times New Roman;sans-serif" w:hAnsi="Times New Roman;sans-serif"/>
                  <w:b w:val="false"/>
                  <w:color w:val="000080"/>
                  <w:sz w:val="20"/>
                  <w:u w:val="single"/>
                </w:rPr>
                <w:t>, and December 31, 202</w:t>
              </w:r>
            </w:hyperlink>
            <w:hyperlink w:anchor="i4636a994e10c426c9213f0b844f89df1_19">
              <w:r>
                <w:rPr>
                  <w:rStyle w:val="InternetLink"/>
                  <w:rFonts w:ascii="Times New Roman;sans-serif" w:hAnsi="Times New Roman;sans-serif"/>
                  <w:b w:val="false"/>
                  <w:color w:val="000080"/>
                  <w:sz w:val="20"/>
                  <w:u w:val="single"/>
                </w:rPr>
                <w:t>4</w:t>
              </w:r>
            </w:hyperlink>
            <w:hyperlink w:anchor="i4636a994e10c426c9213f0b844f89df1_19">
              <w:r>
                <w:rPr>
                  <w:rStyle w:val="InternetLink"/>
                  <w:rFonts w:ascii="Times New Roman;sans-serif" w:hAnsi="Times New Roman;sans-serif"/>
                  <w:b w:val="false"/>
                  <w:color w:val="000080"/>
                  <w:sz w:val="20"/>
                  <w:u w:val="single"/>
                </w:rPr>
                <w:t xml:space="preserve">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19">
              <w:r>
                <w:rPr>
                  <w:rStyle w:val="InternetLink"/>
                  <w:rFonts w:ascii="Times New Roman;sans-serif" w:hAnsi="Times New Roman;sans-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22">
              <w:r>
                <w:rPr>
                  <w:rStyle w:val="InternetLink"/>
                  <w:rFonts w:ascii="Times New Roman;sans-serif" w:hAnsi="Times New Roman;sans-serif"/>
                  <w:b w:val="false"/>
                  <w:color w:val="000080"/>
                  <w:sz w:val="20"/>
                  <w:u w:val="single"/>
                </w:rPr>
                <w:t xml:space="preserve">Condensed Consolidated Statements of Operations and Comprehensive Loss for the three </w:t>
              </w:r>
            </w:hyperlink>
            <w:hyperlink w:anchor="i4636a994e10c426c9213f0b844f89df1_22">
              <w:r>
                <w:rPr>
                  <w:rStyle w:val="InternetLink"/>
                  <w:rFonts w:ascii="Times New Roman;sans-serif" w:hAnsi="Times New Roman;sans-serif"/>
                  <w:b w:val="false"/>
                  <w:color w:val="000080"/>
                  <w:sz w:val="20"/>
                  <w:u w:val="single"/>
                </w:rPr>
                <w:t xml:space="preserve">months ended </w:t>
              </w:r>
            </w:hyperlink>
            <w:hyperlink w:anchor="i4636a994e10c426c9213f0b844f89df1_22">
              <w:r>
                <w:rPr>
                  <w:rStyle w:val="InternetLink"/>
                  <w:rFonts w:ascii="Times New Roman;sans-serif" w:hAnsi="Times New Roman;sans-serif"/>
                  <w:b w:val="false"/>
                  <w:color w:val="000080"/>
                  <w:sz w:val="20"/>
                  <w:u w:val="single"/>
                </w:rPr>
                <w:t>March 31, 2025</w:t>
              </w:r>
            </w:hyperlink>
            <w:hyperlink w:anchor="i4636a994e10c426c9213f0b844f89df1_22">
              <w:r>
                <w:rPr>
                  <w:rStyle w:val="InternetLink"/>
                  <w:rFonts w:ascii="Times New Roman;sans-serif" w:hAnsi="Times New Roman;sans-serif"/>
                  <w:b w:val="false"/>
                  <w:color w:val="000080"/>
                  <w:sz w:val="20"/>
                  <w:u w:val="single"/>
                </w:rPr>
                <w:t xml:space="preserve"> and 202</w:t>
              </w:r>
            </w:hyperlink>
            <w:hyperlink w:anchor="i4636a994e10c426c9213f0b844f89df1_22">
              <w:r>
                <w:rPr>
                  <w:rStyle w:val="InternetLink"/>
                  <w:rFonts w:ascii="Times New Roman;sans-serif" w:hAnsi="Times New Roman;sans-serif"/>
                  <w:b w:val="false"/>
                  <w:color w:val="000080"/>
                  <w:sz w:val="20"/>
                  <w:u w:val="single"/>
                </w:rPr>
                <w:t>4</w:t>
              </w:r>
            </w:hyperlink>
            <w:hyperlink w:anchor="i4636a994e10c426c9213f0b844f89df1_22">
              <w:r>
                <w:rPr>
                  <w:rStyle w:val="InternetLink"/>
                  <w:rFonts w:ascii="Times New Roman;sans-serif" w:hAnsi="Times New Roman;sans-serif"/>
                  <w:b w:val="false"/>
                  <w:color w:val="000080"/>
                  <w:sz w:val="20"/>
                  <w:u w:val="single"/>
                </w:rPr>
                <w:t xml:space="preserve">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22">
              <w:r>
                <w:rPr>
                  <w:rStyle w:val="InternetLink"/>
                  <w:rFonts w:ascii="Times New Roman;sans-serif" w:hAnsi="Times New Roman;sans-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25">
              <w:r>
                <w:rPr>
                  <w:rStyle w:val="InternetLink"/>
                  <w:rFonts w:ascii="Times New Roman;sans-serif" w:hAnsi="Times New Roman;sans-serif"/>
                  <w:b w:val="false"/>
                  <w:color w:val="000080"/>
                  <w:sz w:val="20"/>
                  <w:u w:val="single"/>
                </w:rPr>
                <w:t>Condensed Consolidated Statements of Changes in Stockholders’ Equity for the three</w:t>
              </w:r>
            </w:hyperlink>
            <w:hyperlink w:anchor="i4636a994e10c426c9213f0b844f89df1_25">
              <w:r>
                <w:rPr>
                  <w:rStyle w:val="InternetLink"/>
                  <w:rFonts w:ascii="Times New Roman;sans-serif" w:hAnsi="Times New Roman;sans-serif"/>
                  <w:b w:val="false"/>
                  <w:color w:val="000080"/>
                  <w:sz w:val="20"/>
                  <w:u w:val="single"/>
                </w:rPr>
                <w:t xml:space="preserve"> months ended </w:t>
              </w:r>
            </w:hyperlink>
            <w:hyperlink w:anchor="i4636a994e10c426c9213f0b844f89df1_25">
              <w:r>
                <w:rPr>
                  <w:rStyle w:val="InternetLink"/>
                  <w:rFonts w:ascii="Times New Roman;sans-serif" w:hAnsi="Times New Roman;sans-serif"/>
                  <w:b w:val="false"/>
                  <w:color w:val="000080"/>
                  <w:sz w:val="20"/>
                  <w:u w:val="single"/>
                </w:rPr>
                <w:t>March 31, 2025</w:t>
              </w:r>
            </w:hyperlink>
            <w:hyperlink w:anchor="i4636a994e10c426c9213f0b844f89df1_25">
              <w:r>
                <w:rPr>
                  <w:rStyle w:val="InternetLink"/>
                  <w:rFonts w:ascii="Times New Roman;sans-serif" w:hAnsi="Times New Roman;sans-serif"/>
                  <w:b w:val="false"/>
                  <w:color w:val="000080"/>
                  <w:sz w:val="20"/>
                  <w:u w:val="single"/>
                </w:rPr>
                <w:t xml:space="preserve"> and 202</w:t>
              </w:r>
            </w:hyperlink>
            <w:hyperlink w:anchor="i4636a994e10c426c9213f0b844f89df1_25">
              <w:r>
                <w:rPr>
                  <w:rStyle w:val="InternetLink"/>
                  <w:rFonts w:ascii="Times New Roman;sans-serif" w:hAnsi="Times New Roman;sans-serif"/>
                  <w:b w:val="false"/>
                  <w:color w:val="000080"/>
                  <w:sz w:val="20"/>
                  <w:u w:val="single"/>
                </w:rPr>
                <w:t>4</w:t>
              </w:r>
            </w:hyperlink>
            <w:hyperlink w:anchor="i4636a994e10c426c9213f0b844f89df1_25">
              <w:r>
                <w:rPr>
                  <w:rStyle w:val="InternetLink"/>
                  <w:rFonts w:ascii="Times New Roman;sans-serif" w:hAnsi="Times New Roman;sans-serif"/>
                  <w:b w:val="false"/>
                  <w:color w:val="000080"/>
                  <w:sz w:val="20"/>
                  <w:u w:val="single"/>
                </w:rPr>
                <w:t xml:space="preserve">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25">
              <w:r>
                <w:rPr>
                  <w:rStyle w:val="InternetLink"/>
                  <w:rFonts w:ascii="Times New Roman;sans-serif" w:hAnsi="Times New Roman;sans-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28">
              <w:r>
                <w:rPr>
                  <w:rStyle w:val="InternetLink"/>
                  <w:rFonts w:ascii="Times New Roman;sans-serif" w:hAnsi="Times New Roman;sans-serif"/>
                  <w:b w:val="false"/>
                  <w:color w:val="000080"/>
                  <w:sz w:val="20"/>
                  <w:u w:val="single"/>
                </w:rPr>
                <w:t xml:space="preserve">Condensed Consolidated Statements of Cash Flows for the </w:t>
              </w:r>
            </w:hyperlink>
            <w:hyperlink w:anchor="i4636a994e10c426c9213f0b844f89df1_28">
              <w:r>
                <w:rPr>
                  <w:rStyle w:val="InternetLink"/>
                  <w:rFonts w:ascii="Times New Roman;sans-serif" w:hAnsi="Times New Roman;sans-serif"/>
                  <w:b w:val="false"/>
                  <w:color w:val="000080"/>
                  <w:sz w:val="20"/>
                  <w:u w:val="single"/>
                </w:rPr>
                <w:t>three</w:t>
              </w:r>
            </w:hyperlink>
            <w:hyperlink w:anchor="i4636a994e10c426c9213f0b844f89df1_28">
              <w:r>
                <w:rPr>
                  <w:rStyle w:val="InternetLink"/>
                  <w:rFonts w:ascii="Times New Roman;sans-serif" w:hAnsi="Times New Roman;sans-serif"/>
                  <w:b w:val="false"/>
                  <w:color w:val="000080"/>
                  <w:sz w:val="20"/>
                  <w:u w:val="single"/>
                </w:rPr>
                <w:t xml:space="preserve"> months ended </w:t>
              </w:r>
            </w:hyperlink>
            <w:hyperlink w:anchor="i4636a994e10c426c9213f0b844f89df1_28">
              <w:r>
                <w:rPr>
                  <w:rStyle w:val="InternetLink"/>
                  <w:rFonts w:ascii="Times New Roman;sans-serif" w:hAnsi="Times New Roman;sans-serif"/>
                  <w:b w:val="false"/>
                  <w:color w:val="000080"/>
                  <w:sz w:val="20"/>
                  <w:u w:val="single"/>
                </w:rPr>
                <w:t>March 31, 2025</w:t>
              </w:r>
            </w:hyperlink>
            <w:hyperlink w:anchor="i4636a994e10c426c9213f0b844f89df1_28">
              <w:r>
                <w:rPr>
                  <w:rStyle w:val="InternetLink"/>
                  <w:rFonts w:ascii="Times New Roman;sans-serif" w:hAnsi="Times New Roman;sans-serif"/>
                  <w:b w:val="false"/>
                  <w:color w:val="000080"/>
                  <w:sz w:val="20"/>
                  <w:u w:val="single"/>
                </w:rPr>
                <w:t xml:space="preserve"> and 202</w:t>
              </w:r>
            </w:hyperlink>
            <w:hyperlink w:anchor="i4636a994e10c426c9213f0b844f89df1_28">
              <w:r>
                <w:rPr>
                  <w:rStyle w:val="InternetLink"/>
                  <w:rFonts w:ascii="Times New Roman;sans-serif" w:hAnsi="Times New Roman;sans-serif"/>
                  <w:b w:val="false"/>
                  <w:color w:val="000080"/>
                  <w:sz w:val="20"/>
                  <w:u w:val="single"/>
                </w:rPr>
                <w:t>4</w:t>
              </w:r>
            </w:hyperlink>
            <w:hyperlink w:anchor="i4636a994e10c426c9213f0b844f89df1_28">
              <w:r>
                <w:rPr>
                  <w:rStyle w:val="InternetLink"/>
                  <w:rFonts w:ascii="Times New Roman;sans-serif" w:hAnsi="Times New Roman;sans-serif"/>
                  <w:b w:val="false"/>
                  <w:color w:val="000080"/>
                  <w:sz w:val="20"/>
                  <w:u w:val="single"/>
                </w:rPr>
                <w:t xml:space="preserve">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28">
              <w:r>
                <w:rPr>
                  <w:rStyle w:val="InternetLink"/>
                  <w:rFonts w:ascii="Times New Roman;sans-serif" w:hAnsi="Times New Roman;sans-serif"/>
                  <w:b w:val="false"/>
                  <w:strike w:val="false"/>
                  <w:dstrike w:val="false"/>
                  <w:color w:val="000000"/>
                  <w:sz w:val="20"/>
                  <w:u w:val="none"/>
                  <w:effect w:val="non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31">
              <w:r>
                <w:rPr>
                  <w:rStyle w:val="InternetLink"/>
                  <w:rFonts w:ascii="Times New Roman;sans-serif" w:hAnsi="Times New Roman;sans-serif"/>
                  <w:b w:val="false"/>
                  <w:color w:val="0000FF"/>
                  <w:sz w:val="20"/>
                  <w:u w:val="single"/>
                </w:rPr>
                <w:t>Notes to Condensed Consolidated Financial Statements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31">
              <w:r>
                <w:rPr>
                  <w:rStyle w:val="InternetLink"/>
                  <w:rFonts w:ascii="Times New Roman;sans-serif" w:hAnsi="Times New Roman;sans-serif"/>
                  <w:b w:val="false"/>
                  <w:strike w:val="false"/>
                  <w:dstrike w:val="false"/>
                  <w:color w:val="000000"/>
                  <w:sz w:val="20"/>
                  <w:u w:val="none"/>
                  <w:effect w:val="none"/>
                </w:rPr>
                <w:t>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85">
              <w:r>
                <w:rPr>
                  <w:rStyle w:val="InternetLink"/>
                  <w:rFonts w:ascii="Times New Roman;sans-serif" w:hAnsi="Times New Roman;sans-serif"/>
                  <w:b w:val="false"/>
                  <w:strike w:val="false"/>
                  <w:dstrike w:val="false"/>
                  <w:color w:val="000000"/>
                  <w:sz w:val="20"/>
                  <w:u w:val="none"/>
                  <w:effect w:val="none"/>
                </w:rPr>
                <w:t>Item 2.</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85">
              <w:r>
                <w:rPr>
                  <w:rStyle w:val="InternetLink"/>
                  <w:rFonts w:ascii="Times New Roman;sans-serif" w:hAnsi="Times New Roman;sans-serif"/>
                  <w:b w:val="false"/>
                  <w:strike w:val="false"/>
                  <w:dstrike w:val="false"/>
                  <w:color w:val="000000"/>
                  <w:sz w:val="20"/>
                  <w:u w:val="none"/>
                  <w:effect w:val="none"/>
                </w:rPr>
                <w:t>24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33">
              <w:r>
                <w:rPr>
                  <w:rStyle w:val="InternetLink"/>
                  <w:rFonts w:ascii="Times New Roman;sans-serif" w:hAnsi="Times New Roman;sans-serif"/>
                  <w:b w:val="false"/>
                  <w:strike w:val="false"/>
                  <w:dstrike w:val="false"/>
                  <w:color w:val="000000"/>
                  <w:sz w:val="20"/>
                  <w:u w:val="none"/>
                  <w:effect w:val="none"/>
                </w:rPr>
                <w:t>Item 3.</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33">
              <w:r>
                <w:rPr>
                  <w:rStyle w:val="InternetLink"/>
                  <w:rFonts w:ascii="Times New Roman;sans-serif" w:hAnsi="Times New Roman;sans-serif"/>
                  <w:b w:val="false"/>
                  <w:color w:val="0000FF"/>
                  <w:sz w:val="20"/>
                  <w:u w:val="single"/>
                </w:rPr>
                <w:t>Quantitative and Qualitative Disclosures About Market Risk</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133">
              <w:r>
                <w:rPr>
                  <w:rStyle w:val="InternetLink"/>
                  <w:rFonts w:ascii="Times New Roman;sans-serif" w:hAnsi="Times New Roman;sans-serif"/>
                  <w:b w:val="false"/>
                  <w:strike w:val="false"/>
                  <w:dstrike w:val="false"/>
                  <w:color w:val="000000"/>
                  <w:sz w:val="20"/>
                  <w:u w:val="none"/>
                  <w:effect w:val="none"/>
                </w:rPr>
                <w:t>30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36">
              <w:r>
                <w:rPr>
                  <w:rStyle w:val="InternetLink"/>
                  <w:rFonts w:ascii="Times New Roman;sans-serif" w:hAnsi="Times New Roman;sans-serif"/>
                  <w:b w:val="false"/>
                  <w:strike w:val="false"/>
                  <w:dstrike w:val="false"/>
                  <w:color w:val="000000"/>
                  <w:sz w:val="20"/>
                  <w:u w:val="none"/>
                  <w:effect w:val="none"/>
                </w:rPr>
                <w:t>Item 4.</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36">
              <w:r>
                <w:rPr>
                  <w:rStyle w:val="InternetLink"/>
                  <w:rFonts w:ascii="Times New Roman;sans-serif" w:hAnsi="Times New Roman;sans-serif"/>
                  <w:b w:val="false"/>
                  <w:color w:val="0000FF"/>
                  <w:sz w:val="20"/>
                  <w:u w:val="single"/>
                </w:rPr>
                <w:t>Controls and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136">
              <w:r>
                <w:rPr>
                  <w:rStyle w:val="InternetLink"/>
                  <w:rFonts w:ascii="Times New Roman;sans-serif" w:hAnsi="Times New Roman;sans-serif"/>
                  <w:b w:val="false"/>
                  <w:strike w:val="false"/>
                  <w:dstrike w:val="false"/>
                  <w:color w:val="000000"/>
                  <w:sz w:val="20"/>
                  <w:u w:val="none"/>
                  <w:effect w:val="none"/>
                </w:rPr>
                <w:t>31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39">
              <w:r>
                <w:rPr>
                  <w:rStyle w:val="InternetLink"/>
                  <w:rFonts w:ascii="Times New Roman;sans-serif" w:hAnsi="Times New Roman;sans-serif"/>
                  <w:b/>
                  <w:strike w:val="false"/>
                  <w:dstrike w:val="false"/>
                  <w:color w:val="000000"/>
                  <w:sz w:val="20"/>
                  <w:u w:val="none"/>
                  <w:effect w:val="none"/>
                </w:rPr>
                <w:t>Part II</w:t>
              </w:r>
            </w:hyperlink>
            <w:r>
              <w:rPr>
                <w:rFonts w:ascii="Times New Roman;sans-serif" w:hAnsi="Times New Roman;sans-serif"/>
                <w:b/>
                <w:color w:val="000000"/>
                <w:sz w:val="20"/>
              </w:rPr>
              <w:t>.</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39">
              <w:r>
                <w:rPr>
                  <w:rStyle w:val="InternetLink"/>
                  <w:rFonts w:ascii="Times New Roman;sans-serif" w:hAnsi="Times New Roman;sans-serif"/>
                  <w:b/>
                  <w:color w:val="0000FF"/>
                  <w:sz w:val="20"/>
                  <w:u w:val="single"/>
                </w:rPr>
                <w:t>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139">
              <w:r>
                <w:rPr>
                  <w:rStyle w:val="InternetLink"/>
                  <w:rFonts w:ascii="Times New Roman;sans-serif" w:hAnsi="Times New Roman;sans-serif"/>
                  <w:b w:val="false"/>
                  <w:strike w:val="false"/>
                  <w:dstrike w:val="false"/>
                  <w:color w:val="000000"/>
                  <w:sz w:val="20"/>
                  <w:u w:val="none"/>
                  <w:effect w:val="none"/>
                </w:rPr>
                <w:t>32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42">
              <w:r>
                <w:rPr>
                  <w:rStyle w:val="InternetLink"/>
                  <w:rFonts w:ascii="Times New Roman;sans-serif" w:hAnsi="Times New Roman;sans-serif"/>
                  <w:b w:val="false"/>
                  <w:strike w:val="false"/>
                  <w:dstrike w:val="false"/>
                  <w:color w:val="000000"/>
                  <w:sz w:val="20"/>
                  <w:u w:val="none"/>
                  <w:effect w:val="none"/>
                </w:rPr>
                <w:t>Item 1.</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42">
              <w:r>
                <w:rPr>
                  <w:rStyle w:val="InternetLink"/>
                  <w:rFonts w:ascii="Times New Roman;sans-serif" w:hAnsi="Times New Roman;sans-serif"/>
                  <w:b w:val="false"/>
                  <w:color w:val="0000FF"/>
                  <w:sz w:val="20"/>
                  <w:u w:val="single"/>
                </w:rPr>
                <w:t>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142">
              <w:r>
                <w:rPr>
                  <w:rStyle w:val="InternetLink"/>
                  <w:rFonts w:ascii="Times New Roman;sans-serif" w:hAnsi="Times New Roman;sans-serif"/>
                  <w:b w:val="false"/>
                  <w:strike w:val="false"/>
                  <w:dstrike w:val="false"/>
                  <w:color w:val="000000"/>
                  <w:sz w:val="20"/>
                  <w:u w:val="none"/>
                  <w:effect w:val="none"/>
                </w:rPr>
                <w:t>32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45">
              <w:r>
                <w:rPr>
                  <w:rStyle w:val="InternetLink"/>
                  <w:rFonts w:ascii="Times New Roman;sans-serif" w:hAnsi="Times New Roman;sans-serif"/>
                  <w:b w:val="false"/>
                  <w:strike w:val="false"/>
                  <w:dstrike w:val="false"/>
                  <w:color w:val="000000"/>
                  <w:sz w:val="20"/>
                  <w:u w:val="none"/>
                  <w:effect w:val="none"/>
                </w:rPr>
                <w:t>Item 1A.</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45">
              <w:r>
                <w:rPr>
                  <w:rStyle w:val="InternetLink"/>
                  <w:rFonts w:ascii="Times New Roman;sans-serif" w:hAnsi="Times New Roman;sans-serif"/>
                  <w:b w:val="false"/>
                  <w:color w:val="0000FF"/>
                  <w:sz w:val="20"/>
                  <w:u w:val="single"/>
                </w:rPr>
                <w:t>Risk Factors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145">
              <w:r>
                <w:rPr>
                  <w:rStyle w:val="InternetLink"/>
                  <w:rFonts w:ascii="Times New Roman;sans-serif" w:hAnsi="Times New Roman;sans-serif"/>
                  <w:b w:val="false"/>
                  <w:strike w:val="false"/>
                  <w:dstrike w:val="false"/>
                  <w:color w:val="000000"/>
                  <w:sz w:val="20"/>
                  <w:u w:val="none"/>
                  <w:effect w:val="none"/>
                </w:rPr>
                <w:t>32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48">
              <w:r>
                <w:rPr>
                  <w:rStyle w:val="InternetLink"/>
                  <w:rFonts w:ascii="Times New Roman;sans-serif" w:hAnsi="Times New Roman;sans-serif"/>
                  <w:b w:val="false"/>
                  <w:strike w:val="false"/>
                  <w:dstrike w:val="false"/>
                  <w:color w:val="000000"/>
                  <w:sz w:val="20"/>
                  <w:u w:val="none"/>
                  <w:effect w:val="none"/>
                </w:rPr>
                <w:t>Item 2.</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48">
              <w:r>
                <w:rPr>
                  <w:rStyle w:val="InternetLink"/>
                  <w:rFonts w:ascii="Times New Roman;sans-serif" w:hAnsi="Times New Roman;sans-serif"/>
                  <w:b w:val="false"/>
                  <w:color w:val="0000FF"/>
                  <w:sz w:val="20"/>
                  <w:u w:val="single"/>
                </w:rPr>
                <w:t>Unregistered Sales of Equity Securities and Use of Proceeds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148">
              <w:r>
                <w:rPr>
                  <w:rStyle w:val="InternetLink"/>
                  <w:rFonts w:ascii="Times New Roman;sans-serif" w:hAnsi="Times New Roman;sans-serif"/>
                  <w:b w:val="false"/>
                  <w:strike w:val="false"/>
                  <w:dstrike w:val="false"/>
                  <w:color w:val="000000"/>
                  <w:sz w:val="20"/>
                  <w:u w:val="none"/>
                  <w:effect w:val="none"/>
                </w:rPr>
                <w:t>32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51">
              <w:r>
                <w:rPr>
                  <w:rStyle w:val="InternetLink"/>
                  <w:rFonts w:ascii="Times New Roman;sans-serif" w:hAnsi="Times New Roman;sans-serif"/>
                  <w:b w:val="false"/>
                  <w:strike w:val="false"/>
                  <w:dstrike w:val="false"/>
                  <w:color w:val="000000"/>
                  <w:sz w:val="20"/>
                  <w:u w:val="none"/>
                  <w:effect w:val="none"/>
                </w:rPr>
                <w:t>Item 3.</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51">
              <w:r>
                <w:rPr>
                  <w:rStyle w:val="InternetLink"/>
                  <w:rFonts w:ascii="Times New Roman;sans-serif" w:hAnsi="Times New Roman;sans-serif"/>
                  <w:b w:val="false"/>
                  <w:color w:val="0000FF"/>
                  <w:sz w:val="20"/>
                  <w:u w:val="single"/>
                </w:rPr>
                <w:t>Defaults Upon Senior Securities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151">
              <w:r>
                <w:rPr>
                  <w:rStyle w:val="InternetLink"/>
                  <w:rFonts w:ascii="Times New Roman;sans-serif" w:hAnsi="Times New Roman;sans-serif"/>
                  <w:b w:val="false"/>
                  <w:strike w:val="false"/>
                  <w:dstrike w:val="false"/>
                  <w:color w:val="000000"/>
                  <w:sz w:val="20"/>
                  <w:u w:val="none"/>
                  <w:effect w:val="none"/>
                </w:rPr>
                <w:t>32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54">
              <w:r>
                <w:rPr>
                  <w:rStyle w:val="InternetLink"/>
                  <w:rFonts w:ascii="Times New Roman;sans-serif" w:hAnsi="Times New Roman;sans-serif"/>
                  <w:b w:val="false"/>
                  <w:strike w:val="false"/>
                  <w:dstrike w:val="false"/>
                  <w:color w:val="000000"/>
                  <w:sz w:val="20"/>
                  <w:u w:val="none"/>
                  <w:effect w:val="none"/>
                </w:rPr>
                <w:t>Item 4.</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54">
              <w:r>
                <w:rPr>
                  <w:rStyle w:val="InternetLink"/>
                  <w:rFonts w:ascii="Times New Roman;sans-serif" w:hAnsi="Times New Roman;sans-serif"/>
                  <w:b w:val="false"/>
                  <w:color w:val="0000FF"/>
                  <w:sz w:val="20"/>
                  <w:u w:val="single"/>
                </w:rPr>
                <w:t>Mine Safety Disclosures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154">
              <w:r>
                <w:rPr>
                  <w:rStyle w:val="InternetLink"/>
                  <w:rFonts w:ascii="Times New Roman;sans-serif" w:hAnsi="Times New Roman;sans-serif"/>
                  <w:b w:val="false"/>
                  <w:strike w:val="false"/>
                  <w:dstrike w:val="false"/>
                  <w:color w:val="000000"/>
                  <w:sz w:val="20"/>
                  <w:u w:val="none"/>
                  <w:effect w:val="none"/>
                </w:rPr>
                <w:t>32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57">
              <w:r>
                <w:rPr>
                  <w:rStyle w:val="InternetLink"/>
                  <w:rFonts w:ascii="Times New Roman;sans-serif" w:hAnsi="Times New Roman;sans-serif"/>
                  <w:b w:val="false"/>
                  <w:strike w:val="false"/>
                  <w:dstrike w:val="false"/>
                  <w:color w:val="000000"/>
                  <w:sz w:val="20"/>
                  <w:u w:val="none"/>
                  <w:effect w:val="none"/>
                </w:rPr>
                <w:t>Item 5.</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57">
              <w:r>
                <w:rPr>
                  <w:rStyle w:val="InternetLink"/>
                  <w:rFonts w:ascii="Times New Roman;sans-serif" w:hAnsi="Times New Roman;sans-serif"/>
                  <w:b w:val="false"/>
                  <w:color w:val="0000FF"/>
                  <w:sz w:val="20"/>
                  <w:u w:val="single"/>
                </w:rPr>
                <w:t>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157">
              <w:r>
                <w:rPr>
                  <w:rStyle w:val="InternetLink"/>
                  <w:rFonts w:ascii="Times New Roman;sans-serif" w:hAnsi="Times New Roman;sans-serif"/>
                  <w:b w:val="false"/>
                  <w:strike w:val="false"/>
                  <w:dstrike w:val="false"/>
                  <w:color w:val="000000"/>
                  <w:sz w:val="20"/>
                  <w:u w:val="none"/>
                  <w:effect w:val="none"/>
                </w:rPr>
                <w:t>33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63">
              <w:r>
                <w:rPr>
                  <w:rStyle w:val="InternetLink"/>
                  <w:rFonts w:ascii="Times New Roman;sans-serif" w:hAnsi="Times New Roman;sans-serif"/>
                  <w:b w:val="false"/>
                  <w:strike w:val="false"/>
                  <w:dstrike w:val="false"/>
                  <w:color w:val="000000"/>
                  <w:sz w:val="20"/>
                  <w:u w:val="none"/>
                  <w:effect w:val="none"/>
                </w:rPr>
                <w:t>Item 6.</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63">
              <w:r>
                <w:rPr>
                  <w:rStyle w:val="InternetLink"/>
                  <w:rFonts w:ascii="Times New Roman;sans-serif" w:hAnsi="Times New Roman;sans-serif"/>
                  <w:b w:val="false"/>
                  <w:color w:val="0000FF"/>
                  <w:sz w:val="20"/>
                  <w:u w:val="single"/>
                </w:rPr>
                <w:t>Exhibits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163">
              <w:r>
                <w:rPr>
                  <w:rStyle w:val="InternetLink"/>
                  <w:rFonts w:ascii="Times New Roman;sans-serif" w:hAnsi="Times New Roman;sans-serif"/>
                  <w:b w:val="false"/>
                  <w:strike w:val="false"/>
                  <w:dstrike w:val="false"/>
                  <w:color w:val="000000"/>
                  <w:sz w:val="20"/>
                  <w:u w:val="none"/>
                  <w:effect w:val="none"/>
                </w:rPr>
                <w:t>34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36a994e10c426c9213f0b844f89df1_166">
              <w:r>
                <w:rPr>
                  <w:rStyle w:val="InternetLink"/>
                  <w:rFonts w:ascii="Times New Roman;sans-serif" w:hAnsi="Times New Roman;sans-serif"/>
                  <w:b w:val="false"/>
                  <w:color w:val="0000FF"/>
                  <w:sz w:val="20"/>
                  <w:u w:val="single"/>
                </w:rPr>
                <w:t>Signatures</w:t>
              </w:r>
            </w:hyperlink>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636a994e10c426c9213f0b844f89df1_166">
              <w:r>
                <w:rPr>
                  <w:rStyle w:val="InternetLink"/>
                  <w:rFonts w:ascii="Times New Roman;sans-serif" w:hAnsi="Times New Roman;sans-serif"/>
                  <w:b w:val="false"/>
                  <w:strike w:val="false"/>
                  <w:dstrike w:val="false"/>
                  <w:color w:val="000000"/>
                  <w:sz w:val="20"/>
                  <w:u w:val="none"/>
                  <w:effect w:val="none"/>
                </w:rPr>
                <w:t>35</w:t>
              </w:r>
            </w:hyperlink>
          </w:p>
        </w:tc>
      </w:tr>
    </w:tbl>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this Quarterly Report on Form 10-Q, the terms “we”, “us”, “our”, the “Company” or “Quantum-Si” mean Quantum-Si Incorporated and our subsidiaries. Quantum-Si Incorporated was incorporated in Delaware on June 10, 2020.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99085"/>
                <wp:effectExtent l="0" t="0" r="0" b="0"/>
                <wp:wrapNone/>
                <wp:docPr id="2" name="Frame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CAUTIONARY NOTE REGARDING FORWARD-LOOKING STATEMENTS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our expectations with respect to future performance and development and commercialization of products and services. The forward-looking statements are based on projections prepared by, and are the responsibility of, management and involve significant risks and uncertainties that could cause the actual results to differ materially from those discussed in the forward-looking statements. Most of these factors are outside our control and are difficult to predict. Forward-looking statements contained in this Quarterly Report on Form 10-Q include, but are not limited to, statements about: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international conflicts, pandemics or epidemics on our business;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impact of general conditions in the global economy and in the global financial markets, including changes in inflation, interest rates, tariffs, retaliatory trade policies including limitations of shipments of products, and overall economic conditions and uncertainties;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maintaining the listing of our Class A common stock on The Nasdaq Stock Market LLC;</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applicable laws or regulations;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raise financing in the future;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success, cost and timing of our product development and commercialization activities;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commercialization and adoption of our existing products, including our Platinum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line of instruments, our consumable kits and the success of any product we may offer in the future;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obtain and maintain regulatory approval for our products, and any related restrictions and limitations of any approved product;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identify, in-license or acquire additional technology;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maintain our existing lease, license, manufacture and supply agreements;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compete with other companies currently marketing or engaged in the development or commercialization of products and services that serve customers engaged in proteomic analysis, many of which have greater financial and marketing resources than us;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size and growth potential of the markets for our products and services, and our ability to serve those markets once commercialized, either alone or in partnership with others;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estimates regarding future expenses, future revenue, capital requirements and needs for additional financing;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financial performance.</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in Part I, Item 1A, “Risk Factors” of our Annual Report on Form 10-K for the fiscal year ended December 31, 2024, this Quarterly Report on Form 10-Q, and in other filings that we make with the Securities and Exchange Commission.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foregoing cautionary statements. We undertake no obligation to update or revise publicly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QUANTUM-SI INCORPORATED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and par value amounts)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(unaudited)</w:t>
      </w:r>
    </w:p>
    <w:tbl>
      <w:tblPr>
        <w:tblW w:w="10205" w:type="dxa"/>
        <w:jc w:val="left"/>
        <w:tblInd w:w="0" w:type="dxa"/>
        <w:tblLayout w:type="fixed"/>
        <w:tblCellMar>
          <w:top w:w="28" w:type="dxa"/>
          <w:left w:w="28" w:type="dxa"/>
          <w:bottom w:w="28" w:type="dxa"/>
          <w:right w:w="28" w:type="dxa"/>
        </w:tblCellMar>
      </w:tblPr>
      <w:tblGrid>
        <w:gridCol w:w="2881"/>
        <w:gridCol w:w="2338"/>
        <w:gridCol w:w="2283"/>
        <w:gridCol w:w="211"/>
        <w:gridCol w:w="826"/>
        <w:gridCol w:w="109"/>
        <w:gridCol w:w="109"/>
        <w:gridCol w:w="109"/>
        <w:gridCol w:w="109"/>
        <w:gridCol w:w="217"/>
        <w:gridCol w:w="852"/>
        <w:gridCol w:w="161"/>
      </w:tblGrid>
      <w:tr>
        <w:trPr/>
        <w:tc>
          <w:tcPr>
            <w:tcW w:w="2881"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6"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of allowance of $124 and $124, respectively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218,009 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247,871 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75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payroll-related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contracted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6"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6"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17)</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600,000,000 shares authorized as of March 31, 2025 and December 31, 2024; 163,560,616 and 146,953,271 shares issued and outstanding as of March 31, 2025 and December 31,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$0.0001 par value; 27,000,000 shares authorized as of March 31, 2025 and December 31, 2024; 19,937,500 shares issued and outstanding as of March 31, 2025 and December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811,998 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(596,641)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FFFFFF" w:val="clear"/>
            <w:tcMar>
              <w:top w:w="0" w:type="dxa"/>
              <w:left w:w="0" w:type="dxa"/>
              <w:bottom w:w="0" w:type="dxa"/>
              <w:right w:w="0" w:type="dxa"/>
            </w:tcMar>
            <w:vAlign w:val="center"/>
          </w:tcPr>
          <w:p>
            <w:pPr>
              <w:pStyle w:val="TableContents"/>
              <w:bidi w:val="0"/>
              <w:spacing w:lineRule="auto" w:line="276"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215,420 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2" w:type="dxa"/>
            <w:gridSpan w:val="3"/>
            <w:tcBorders/>
            <w:shd w:fill="CCEEFF" w:val="clear"/>
            <w:tcMar>
              <w:top w:w="0" w:type="dxa"/>
              <w:left w:w="0" w:type="dxa"/>
              <w:bottom w:w="0" w:type="dxa"/>
              <w:right w:w="0" w:type="dxa"/>
            </w:tcMar>
            <w:vAlign w:val="center"/>
          </w:tcPr>
          <w:p>
            <w:pPr>
              <w:pStyle w:val="TableContents"/>
              <w:bidi w:val="0"/>
              <w:spacing w:lineRule="auto" w:line="276"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247,871 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18"/>
          <w:shd w:fill="FFFFFF" w:val="clear"/>
        </w:rPr>
      </w:pPr>
      <w:r>
        <w:rPr>
          <w:rFonts w:ascii="Times New Roman;sans-serif" w:hAnsi="Times New Roman;sans-serif"/>
          <w:b w:val="false"/>
          <w:i/>
          <w:color w:val="000000"/>
          <w:sz w:val="18"/>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QUANTUM-SI INCORPORATED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OPERATIONS AND COMPREHENSIVE LOSS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per share amounts)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(unaudited)</w:t>
      </w:r>
    </w:p>
    <w:tbl>
      <w:tblPr>
        <w:tblW w:w="10205" w:type="dxa"/>
        <w:jc w:val="left"/>
        <w:tblInd w:w="0" w:type="dxa"/>
        <w:tblLayout w:type="fixed"/>
        <w:tblCellMar>
          <w:top w:w="28" w:type="dxa"/>
          <w:left w:w="28" w:type="dxa"/>
          <w:bottom w:w="28" w:type="dxa"/>
          <w:right w:w="28" w:type="dxa"/>
        </w:tblCellMar>
      </w:tblPr>
      <w:tblGrid>
        <w:gridCol w:w="2837"/>
        <w:gridCol w:w="2330"/>
        <w:gridCol w:w="2336"/>
        <w:gridCol w:w="220"/>
        <w:gridCol w:w="820"/>
        <w:gridCol w:w="114"/>
        <w:gridCol w:w="114"/>
        <w:gridCol w:w="114"/>
        <w:gridCol w:w="114"/>
        <w:gridCol w:w="220"/>
        <w:gridCol w:w="820"/>
        <w:gridCol w:w="166"/>
      </w:tblGrid>
      <w:tr>
        <w:trPr/>
        <w:tc>
          <w:tcPr>
            <w:tcW w:w="2837"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2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and interest income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attributable to common stockholders, basic and diluted</w:t>
            </w:r>
          </w:p>
        </w:tc>
        <w:tc>
          <w:tcPr>
            <w:tcW w:w="2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loss per share attributable to common stockholders, basic and diluted</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182,303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141,773</w:t>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comprehensive (loss) income: </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 net of tax</w:t>
            </w:r>
          </w:p>
        </w:tc>
        <w:tc>
          <w:tcPr>
            <w:tcW w:w="2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net of tax</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(19,236)</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(19,507)</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QUANTUM-SI INCORPORATED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CONDENSED CONSOLIDATED STATEMENTS OF CHANGES IN STOCKHOLDERS’ EQUITY </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 except share amounts)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(unaudited)</w:t>
      </w:r>
    </w:p>
    <w:tbl>
      <w:tblPr>
        <w:tblW w:w="11510" w:type="dxa"/>
        <w:jc w:val="left"/>
        <w:tblInd w:w="0" w:type="dxa"/>
        <w:tblLayout w:type="fixed"/>
        <w:tblCellMar>
          <w:top w:w="28" w:type="dxa"/>
          <w:left w:w="28" w:type="dxa"/>
          <w:bottom w:w="28" w:type="dxa"/>
          <w:right w:w="28" w:type="dxa"/>
        </w:tblCellMar>
      </w:tblPr>
      <w:tblGrid>
        <w:gridCol w:w="477"/>
        <w:gridCol w:w="301"/>
        <w:gridCol w:w="303"/>
        <w:gridCol w:w="525"/>
        <w:gridCol w:w="526"/>
        <w:gridCol w:w="196"/>
        <w:gridCol w:w="109"/>
        <w:gridCol w:w="109"/>
        <w:gridCol w:w="109"/>
        <w:gridCol w:w="212"/>
        <w:gridCol w:w="359"/>
        <w:gridCol w:w="120"/>
        <w:gridCol w:w="109"/>
        <w:gridCol w:w="109"/>
        <w:gridCol w:w="109"/>
        <w:gridCol w:w="480"/>
        <w:gridCol w:w="481"/>
        <w:gridCol w:w="196"/>
        <w:gridCol w:w="109"/>
        <w:gridCol w:w="109"/>
        <w:gridCol w:w="109"/>
        <w:gridCol w:w="248"/>
        <w:gridCol w:w="305"/>
        <w:gridCol w:w="138"/>
        <w:gridCol w:w="109"/>
        <w:gridCol w:w="109"/>
        <w:gridCol w:w="109"/>
        <w:gridCol w:w="196"/>
        <w:gridCol w:w="736"/>
        <w:gridCol w:w="109"/>
        <w:gridCol w:w="109"/>
        <w:gridCol w:w="109"/>
        <w:gridCol w:w="109"/>
        <w:gridCol w:w="360"/>
        <w:gridCol w:w="609"/>
        <w:gridCol w:w="202"/>
        <w:gridCol w:w="109"/>
        <w:gridCol w:w="109"/>
        <w:gridCol w:w="109"/>
        <w:gridCol w:w="196"/>
        <w:gridCol w:w="751"/>
        <w:gridCol w:w="109"/>
        <w:gridCol w:w="109"/>
        <w:gridCol w:w="109"/>
        <w:gridCol w:w="109"/>
        <w:gridCol w:w="196"/>
        <w:gridCol w:w="73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26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76"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10101"/>
                <w:sz w:val="16"/>
              </w:rPr>
            </w:pPr>
            <w:r>
              <w:rPr>
                <w:rFonts w:ascii="Times New Roman;sans-serif" w:hAnsi="Times New Roman;sans-serif"/>
                <w:b/>
                <w:color w:val="010101"/>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10101"/>
                <w:sz w:val="16"/>
              </w:rPr>
            </w:pPr>
            <w:r>
              <w:rPr>
                <w:rFonts w:ascii="Times New Roman;sans-serif" w:hAnsi="Times New Roman;sans-serif"/>
                <w:b/>
                <w:color w:val="010101"/>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10101"/>
                <w:sz w:val="16"/>
              </w:rPr>
            </w:pPr>
            <w:r>
              <w:rPr>
                <w:rFonts w:ascii="Times New Roman;sans-serif" w:hAnsi="Times New Roman;sans-serif"/>
                <w:b/>
                <w:color w:val="010101"/>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10101"/>
                <w:sz w:val="16"/>
              </w:rPr>
            </w:pPr>
            <w:r>
              <w:rPr>
                <w:rFonts w:ascii="Times New Roman;sans-serif" w:hAnsi="Times New Roman;sans-serif"/>
                <w:b/>
                <w:color w:val="010101"/>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10101"/>
                <w:sz w:val="16"/>
              </w:rPr>
            </w:pPr>
            <w:r>
              <w:rPr>
                <w:rFonts w:ascii="Times New Roman;sans-serif" w:hAnsi="Times New Roman;sans-serif"/>
                <w:b/>
                <w:color w:val="010101"/>
                <w:sz w:val="16"/>
              </w:rPr>
              <w:t>Balance -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146,953,271 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19,937,500 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upon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623,834 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upon vesting of restricted stock units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from direct equity offering, net of fees and issuance costs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15,625,000 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loss on marketable securities,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10101"/>
                <w:sz w:val="16"/>
              </w:rPr>
            </w:pPr>
            <w:r>
              <w:rPr>
                <w:rFonts w:ascii="Times New Roman;sans-serif" w:hAnsi="Times New Roman;sans-serif"/>
                <w:b w:val="false"/>
                <w:color w:val="010101"/>
                <w:sz w:val="16"/>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(19,189)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10101"/>
                <w:sz w:val="16"/>
              </w:rPr>
            </w:pPr>
            <w:r>
              <w:rPr>
                <w:rFonts w:ascii="Times New Roman;sans-serif" w:hAnsi="Times New Roman;sans-serif"/>
                <w:b/>
                <w:color w:val="010101"/>
                <w:sz w:val="16"/>
              </w:rPr>
              <w:t>Balance - March 31,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163,560,616 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19,937,500 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(615,830)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510" w:type="dxa"/>
        <w:jc w:val="left"/>
        <w:tblInd w:w="0" w:type="dxa"/>
        <w:tblLayout w:type="fixed"/>
        <w:tblCellMar>
          <w:top w:w="28" w:type="dxa"/>
          <w:left w:w="28" w:type="dxa"/>
          <w:bottom w:w="28" w:type="dxa"/>
          <w:right w:w="28" w:type="dxa"/>
        </w:tblCellMar>
      </w:tblPr>
      <w:tblGrid>
        <w:gridCol w:w="477"/>
        <w:gridCol w:w="301"/>
        <w:gridCol w:w="303"/>
        <w:gridCol w:w="525"/>
        <w:gridCol w:w="526"/>
        <w:gridCol w:w="196"/>
        <w:gridCol w:w="109"/>
        <w:gridCol w:w="109"/>
        <w:gridCol w:w="109"/>
        <w:gridCol w:w="212"/>
        <w:gridCol w:w="359"/>
        <w:gridCol w:w="120"/>
        <w:gridCol w:w="109"/>
        <w:gridCol w:w="109"/>
        <w:gridCol w:w="109"/>
        <w:gridCol w:w="480"/>
        <w:gridCol w:w="481"/>
        <w:gridCol w:w="196"/>
        <w:gridCol w:w="109"/>
        <w:gridCol w:w="109"/>
        <w:gridCol w:w="109"/>
        <w:gridCol w:w="248"/>
        <w:gridCol w:w="305"/>
        <w:gridCol w:w="138"/>
        <w:gridCol w:w="109"/>
        <w:gridCol w:w="109"/>
        <w:gridCol w:w="109"/>
        <w:gridCol w:w="196"/>
        <w:gridCol w:w="736"/>
        <w:gridCol w:w="109"/>
        <w:gridCol w:w="109"/>
        <w:gridCol w:w="109"/>
        <w:gridCol w:w="109"/>
        <w:gridCol w:w="322"/>
        <w:gridCol w:w="668"/>
        <w:gridCol w:w="181"/>
        <w:gridCol w:w="109"/>
        <w:gridCol w:w="109"/>
        <w:gridCol w:w="109"/>
        <w:gridCol w:w="196"/>
        <w:gridCol w:w="751"/>
        <w:gridCol w:w="109"/>
        <w:gridCol w:w="109"/>
        <w:gridCol w:w="109"/>
        <w:gridCol w:w="109"/>
        <w:gridCol w:w="196"/>
        <w:gridCol w:w="73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26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Additional</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paid-in</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w:t>
            </w:r>
          </w:p>
          <w:p>
            <w:pPr>
              <w:pStyle w:val="TableContents"/>
              <w:bidi w:val="0"/>
              <w:spacing w:lineRule="auto" w:line="276" w:before="0" w:after="0"/>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10101"/>
                <w:sz w:val="16"/>
              </w:rPr>
            </w:pPr>
            <w:r>
              <w:rPr>
                <w:rFonts w:ascii="Times New Roman;sans-serif" w:hAnsi="Times New Roman;sans-serif"/>
                <w:b/>
                <w:color w:val="010101"/>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10101"/>
                <w:sz w:val="16"/>
              </w:rPr>
            </w:pPr>
            <w:r>
              <w:rPr>
                <w:rFonts w:ascii="Times New Roman;sans-serif" w:hAnsi="Times New Roman;sans-serif"/>
                <w:b/>
                <w:color w:val="010101"/>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10101"/>
                <w:sz w:val="16"/>
              </w:rPr>
            </w:pPr>
            <w:r>
              <w:rPr>
                <w:rFonts w:ascii="Times New Roman;sans-serif" w:hAnsi="Times New Roman;sans-serif"/>
                <w:b/>
                <w:color w:val="010101"/>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10101"/>
                <w:sz w:val="16"/>
              </w:rPr>
            </w:pPr>
            <w:r>
              <w:rPr>
                <w:rFonts w:ascii="Times New Roman;sans-serif" w:hAnsi="Times New Roman;sans-serif"/>
                <w:b/>
                <w:color w:val="010101"/>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10101"/>
                <w:sz w:val="16"/>
              </w:rPr>
            </w:pPr>
            <w:r>
              <w:rPr>
                <w:rFonts w:ascii="Times New Roman;sans-serif" w:hAnsi="Times New Roman;sans-serif"/>
                <w:b/>
                <w:color w:val="010101"/>
                <w:sz w:val="16"/>
              </w:rPr>
              <w:t>Balance - 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121,832,417 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19,937,500 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upon vesting of restricted stock units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loss on marketable securities,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Refund of issuance costs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10101"/>
                <w:sz w:val="16"/>
              </w:rPr>
            </w:pPr>
            <w:r>
              <w:rPr>
                <w:rFonts w:ascii="Times New Roman;sans-serif" w:hAnsi="Times New Roman;sans-serif"/>
                <w:b w:val="false"/>
                <w:color w:val="010101"/>
                <w:sz w:val="16"/>
              </w:rPr>
              <w:t>Net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10101"/>
                <w:sz w:val="16"/>
              </w:rPr>
            </w:pPr>
            <w:r>
              <w:rPr>
                <w:rFonts w:ascii="Times New Roman;sans-serif" w:hAnsi="Times New Roman;sans-serif"/>
                <w:b/>
                <w:color w:val="010101"/>
                <w:sz w:val="16"/>
              </w:rPr>
              <w:t>Balance - March 31,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121,878,989 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19,937,500 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768,898 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(515,108)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253,771 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QUANTUM-SI INCORPORATED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 thousands)</w:t>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(unaudited)</w:t>
      </w:r>
    </w:p>
    <w:tbl>
      <w:tblPr>
        <w:tblW w:w="10205" w:type="dxa"/>
        <w:jc w:val="center"/>
        <w:tblInd w:w="0" w:type="dxa"/>
        <w:tblLayout w:type="fixed"/>
        <w:tblCellMar>
          <w:top w:w="28" w:type="dxa"/>
          <w:left w:w="28" w:type="dxa"/>
          <w:bottom w:w="28" w:type="dxa"/>
          <w:right w:w="28" w:type="dxa"/>
        </w:tblCellMar>
      </w:tblPr>
      <w:tblGrid>
        <w:gridCol w:w="2570"/>
        <w:gridCol w:w="2248"/>
        <w:gridCol w:w="2266"/>
        <w:gridCol w:w="196"/>
        <w:gridCol w:w="720"/>
        <w:gridCol w:w="109"/>
        <w:gridCol w:w="109"/>
        <w:gridCol w:w="109"/>
        <w:gridCol w:w="109"/>
        <w:gridCol w:w="196"/>
        <w:gridCol w:w="720"/>
        <w:gridCol w:w="853"/>
      </w:tblGrid>
      <w:tr>
        <w:trPr/>
        <w:tc>
          <w:tcPr>
            <w:tcW w:w="2570"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7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(19,474)</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on marketable securities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fixed assets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Write-down of inventory</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 liabilities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w:t>
            </w:r>
          </w:p>
        </w:tc>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7084"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(3,094)</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operating activities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(23,208)</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Internally developed software - capitalized costs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(78,823)</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18"/>
              </w:rPr>
              <w:t>Sales and maturities of marketable securities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22,500 </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(57,428)</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from direct equity offering, net of fees and issuance costs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offering costs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Refund of issuance costs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financing activities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(80,697)</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133,860 </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53,163 </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Supplemental disclosure of cash flow information: </w:t>
            </w:r>
          </w:p>
        </w:tc>
        <w:tc>
          <w:tcPr>
            <w:tcW w:w="10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purchased but not paid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offering costs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QUANTUM-SI INCORPORATED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 Description of Business and Basis of Presentation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Background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Quantum-Si Incorporated (including its subsidiaries, the “Company” or “Quantum-Si”) was incorporated in Delaware on June 10, 2020 as HighCape Capital Acquisition Corp. (“HighCape”). The Company’s legal name became Quantum-Si Incorporated following a business combination on June 10, 2021 between the Company and Q-SI Operations Inc. (formerly Quantum-Si Incorporated) (the “Business Combination”), which was founded in 2013.</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Quantum-Si is a life sciences company focused on proteomics research, with the mission of transforming single-molecule analysis and democratizing its use by providing researchers and clinicians access to the proteome, the set of proteins expressed within a cell. The Company has developed a proprietary universal single-molecule detection platform that it is applying to proteomics to enable Next-Gen Protein Sequencing</w:t>
      </w:r>
      <w:r>
        <w:rPr>
          <w:rFonts w:ascii="Times New Roman;sans-serif" w:hAnsi="Times New Roman;sans-serif"/>
          <w:b w:val="false"/>
          <w:color w:val="000000"/>
          <w:sz w:val="13"/>
          <w:shd w:fill="FFFFFF" w:val="clear"/>
        </w:rPr>
        <w:t>TM</w:t>
      </w:r>
      <w:r>
        <w:rPr>
          <w:color w:val="000000"/>
          <w:shd w:fill="FFFFFF" w:val="clear"/>
        </w:rPr>
        <w:t xml:space="preserve"> </w:t>
      </w:r>
      <w:r>
        <w:rPr>
          <w:rFonts w:ascii="Times New Roman;sans-serif" w:hAnsi="Times New Roman;sans-serif"/>
          <w:b w:val="false"/>
          <w:color w:val="000000"/>
          <w:sz w:val="20"/>
          <w:shd w:fill="FFFFFF" w:val="clear"/>
        </w:rPr>
        <w:t>(“NGPS”), to sequence proteins in a massively parallel fashion (rather than sequentially, one at a time), which can also be used for the study of nucleic acids. The Company believes that the ability to sequence proteins in a massively parallel fashion and offer a fast analysis time provides NGPS with the potential to unlock significant biological information through improved resolution and unbiased access to the proteome at a speed and scale that is not available today. Traditionally, proteomic workflows to sequence proteins required days or weeks to complete. The Company</w:t>
      </w:r>
      <w:r>
        <w:rPr>
          <w:color w:val="000000"/>
        </w:rPr>
        <w:t>’</w:t>
      </w:r>
      <w:r>
        <w:rPr>
          <w:rFonts w:ascii="Times New Roman;sans-serif" w:hAnsi="Times New Roman;sans-serif"/>
          <w:b w:val="false"/>
          <w:color w:val="000000"/>
          <w:sz w:val="20"/>
          <w:shd w:fill="FFFFFF" w:val="clear"/>
        </w:rPr>
        <w:t>s platform includes its Platinum line of NGPS instruments, Platinum Analysis Software, and consumable kits for use with its Platinum line of instruments.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Liquidity and Capital Resources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Company has historically financed its operations primarily with proceeds from the issuance of equity to private investors, as well as with the proceeds received from the closing of the Business Combination. The Company has incurred significant losses and negative cash flows from operations in all periods since inception and had an accumulated deficit of </w:t>
      </w:r>
      <w:r>
        <w:rPr>
          <w:rFonts w:ascii="Times New Roman;sans-serif" w:hAnsi="Times New Roman;sans-serif"/>
          <w:b w:val="false"/>
          <w:color w:val="000000"/>
          <w:sz w:val="20"/>
        </w:rPr>
        <w:t>$615.8 million</w:t>
      </w:r>
      <w:r>
        <w:rPr>
          <w:color w:val="000000"/>
          <w:shd w:fill="FFFFFF" w:val="clear"/>
        </w:rPr>
        <w:t xml:space="preserve">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 xml:space="preserve">March 31, 2025. The Company </w:t>
      </w:r>
      <w:r>
        <w:rPr>
          <w:rFonts w:ascii="Times New Roman;sans-serif" w:hAnsi="Times New Roman;sans-serif"/>
          <w:b w:val="false"/>
          <w:color w:val="000000"/>
          <w:sz w:val="20"/>
          <w:shd w:fill="FFFFFF" w:val="clear"/>
        </w:rPr>
        <w:t xml:space="preserve">has incurred significant operating losses, including net losses of </w:t>
      </w:r>
      <w:r>
        <w:rPr>
          <w:rFonts w:ascii="Times New Roman;sans-serif" w:hAnsi="Times New Roman;sans-serif"/>
          <w:b w:val="false"/>
          <w:color w:val="000000"/>
          <w:sz w:val="20"/>
        </w:rPr>
        <w:t>$19.2 million</w:t>
      </w:r>
      <w:r>
        <w:rPr>
          <w:color w:val="000000"/>
          <w:shd w:fill="FFFFFF" w:val="clear"/>
        </w:rPr>
        <w:t xml:space="preserve"> </w:t>
      </w:r>
      <w:r>
        <w:rPr>
          <w:rFonts w:ascii="Times New Roman;sans-serif" w:hAnsi="Times New Roman;sans-serif"/>
          <w:b w:val="false"/>
          <w:color w:val="000000"/>
          <w:sz w:val="20"/>
          <w:shd w:fill="FFFFFF" w:val="clear"/>
        </w:rPr>
        <w:t>and $19.5 million for the three months ended March 31, 2025 and 2024, respectively. As of March 31, 2025, the Company had cash, cash equivalents and investments in marketable securities of $232.6 million. Management believes that the Company’s current cash, cash equivalents and marketable securities, together with revenue from the sales of its products and services, will be sufficient to fund its planned operations for at least the next twelve months from the date of the issuance of the accompanying Condensed Consolidated Financial Statements.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Until such time as the Company can generate significant revenue from product sales, if ever, it expects to finance its operations through private and public equity offerings, debt financings, and/or potential future collaboration, license and development agreements. However, there can be no assurance that the Company will be able to complete any such transactions on acceptable terms or otherwise, and the Company may be unable to obtain sufficient additional capital when needed.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Global Developments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the U.S. Federal Reserve lowered interest rates slightly in 2024, it is not known whether additional action will be taken to lower interest rates and if this decrease, and any other decreases, will have an impact on inflation. While these rate fluctuations have not had a significant adverse impact on the Company to date, the impact of such rate increases on the overall financial markets and the economy may adversely impact the Company in the future. In addition, the global economy has experienced and is continuing to experience high levels of inflation and global supply chain disruptions. The Company continues to monitor these supply chain, inflation and interest rate factors, as well as the uncertainty resulting from the overall economic environment.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date, the Company has not been materially affected by enacted tariffs either by the U.S. government or foreign retaliatory tariffs, however, the Company’s finished goods and/or their components could become materially affected by changing tariffs in the future. If increased tariffs are imposed on the Company’s finished goods and/or components, they may impact the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the Company has not been significantly impacted by geopolitical conflicts such as those in Ukraine or Israel and Gaza, the Company has experienced some constraints in product and material availability and increasing costs required to obtain some materials and supplies as a result of these conflicts on the global economy. To date, the business has not been materially impacted by these conflicts, however, as the conflicts continue or worsen, it may impact the business, financial condition, results of operations and cash flows.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Basis of Presentation and Principles of Consolidation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accompanying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All intercompany transactions are eliminated.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should be read in conjunction with the audited Consolidated Financial Statements and the notes thereto included in the Company’s Annual Report on Form 10-K for the year ended December 31, 2024. The Condensed Consolidated Balance Sheet as of December 31, 2024 included herein was derived from the audited Consolidated Financial Statements as of that date, but does not include all disclosures, including certain notes required by U.S. GAAP, on an annual reporting basis.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Condensed Consolidated Financial Statements reflect all normal recurring adjustments necessary to fairly state the financial position, results of operations, and cash flows for the interim periods. The results for the three months ended March 31, 2025 are not necessarily indicative of the results to be expected for any subsequent quarter, the year ending December 31, 2025, or any other period.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Company’s significant accounting policies as described in the Company’s Annual Report on Form 10-K for the year ended December 31, 2024.</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Reclassifications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prior year amounts have been reclassified for consistency with the current year’s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Summary of Significant Accounting Policies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For the Company’s Significant Accounting Policies, please refer to its Annual Report on Form 10-K for the fiscal year ended</w:t>
      </w:r>
      <w:r>
        <w:rPr>
          <w:color w:val="000000"/>
        </w:rPr>
        <w:t xml:space="preserve">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Any reference in these notes to applicable guidance is meant to refer to the authoritative GAAP as found in the Accounting Standards Codification and Accounting Standards Update (“ASU”) of the Financial Accounting Standards Board (“FASB”).</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Use of Estimates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the Condensed Consolidated Financial Statements in conformity with U.S. GAAP requires the Company to make estimates and assumptions about future events that affect the amounts recorded in its Condensed Consolidated Financial Statements and accompanying notes. Future events and their effects cannot be determined with certainty. On an ongoing basis, management evaluates these estimates and assumptions. Significant estimates and assumptions include:</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inventory valuation;</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assumptions used for leases;</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valuation of warrant liabilities;</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valuation allowances with respect to deferred tax assets;</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assumptions associated with revenue recognition; and</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assumptions underlying the fair value used in the calculation of the stock-based compensation.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bases these estimates on historical and anticipated results and trends and on various other assumptions the Company believes are reasonable under the circumstances, including assumptions as to future events. Changes in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are recorded in the period in which they become known. Actual results could differ from those estimates, and any such differences may be material to the Condensed Consolidated Financial Statements.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Recently Issued Accounting Pronouncements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November 2024, the FASB issued ASU No. 2024-03, Disaggregation of Income Statement Expenses (“DISE”), which requires additional disclosure of the nature of expenses included in the income statement. The ASU requires disclosures about specific types of expenses included in the expense captions presented on the face of the income statement as well as disclosures about selling expenses. The amendments in this update are effective for annual reporting periods beginning after December 15, 2026 and interim reporting periods beginning after December 15, 2027, with early adoption permitted. The ASU is required to be applied prospectively with the option for retrospective application. The Company is currently evaluating the impact ASU 2024-03 may have on its Consolidated Financial Statements and disclosures.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March 2024, the FASB issued ASU No. 2024-02, Codification Improvements - Amendments to Remove References to the Concepts Statements, which contains amendments to the Codification that remove references to various Concepts Statements. The amendments in ASU 2024-02 are not intended to result in significant accounting changes for most entities. The Company adopted ASU 2024-02 effective January 1, 2025. The adoption of ASU 2024-02 did not have a material impact to the Consolidated Financial Statements and disclosures.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December 2023, the FASB issued ASU No. 2023-09, Income Taxes (Topic 740): Improvements to Income Tax Disclosures, which expands income tax disclosure requirements to include additional information related to the rate reconciliation of effective tax rates to statutory rates, as well as additional disaggregation of taxes paid in both U.S. and foreign jurisdictions. The amendments in ASU 2023-09 also remove disclosures related to certain unrecognized tax benefits and deferred taxes. The amendments are effective for fiscal years beginning after December 31, 2024, with early adoption permitted. The new standard is expected to apply prospectively, but retrospective application is permitted. The Company will adopt the new standard for the year ended December 31, 2025 and is currently evaluating the impact ASU 2023-09 may have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Investments in Marketable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Company’s investments in marketable securities were determined to be available-for-sale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Dividend and interest income from marketable securities related to the Company’s available-for-sale securities for the three months ended March 31, 2025 and 2024 were as follows (in thousands):</w:t>
      </w:r>
    </w:p>
    <w:tbl>
      <w:tblPr>
        <w:tblW w:w="6477" w:type="dxa"/>
        <w:jc w:val="left"/>
        <w:tblInd w:w="0" w:type="dxa"/>
        <w:tblLayout w:type="fixed"/>
        <w:tblCellMar>
          <w:top w:w="28" w:type="dxa"/>
          <w:left w:w="28" w:type="dxa"/>
          <w:bottom w:w="28" w:type="dxa"/>
          <w:right w:w="28" w:type="dxa"/>
        </w:tblCellMar>
      </w:tblPr>
      <w:tblGrid>
        <w:gridCol w:w="1343"/>
        <w:gridCol w:w="1179"/>
        <w:gridCol w:w="1183"/>
        <w:gridCol w:w="261"/>
        <w:gridCol w:w="762"/>
        <w:gridCol w:w="134"/>
        <w:gridCol w:w="134"/>
        <w:gridCol w:w="134"/>
        <w:gridCol w:w="134"/>
        <w:gridCol w:w="261"/>
        <w:gridCol w:w="762"/>
        <w:gridCol w:w="190"/>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 from marketable securities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marketable securities</w:t>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available-for-sale securities recorded within Marketable securities in the Condensed Consolidated Balance Sheets as of March 31, 2025 and December 31, 2024 (in thousands):</w:t>
      </w:r>
    </w:p>
    <w:tbl>
      <w:tblPr>
        <w:tblW w:w="8641" w:type="dxa"/>
        <w:jc w:val="left"/>
        <w:tblInd w:w="0" w:type="dxa"/>
        <w:tblLayout w:type="fixed"/>
        <w:tblCellMar>
          <w:top w:w="28" w:type="dxa"/>
          <w:left w:w="28" w:type="dxa"/>
          <w:bottom w:w="28" w:type="dxa"/>
          <w:right w:w="28" w:type="dxa"/>
        </w:tblCellMar>
      </w:tblPr>
      <w:tblGrid>
        <w:gridCol w:w="1011"/>
        <w:gridCol w:w="888"/>
        <w:gridCol w:w="891"/>
        <w:gridCol w:w="211"/>
        <w:gridCol w:w="826"/>
        <w:gridCol w:w="109"/>
        <w:gridCol w:w="109"/>
        <w:gridCol w:w="109"/>
        <w:gridCol w:w="109"/>
        <w:gridCol w:w="339"/>
        <w:gridCol w:w="654"/>
        <w:gridCol w:w="176"/>
        <w:gridCol w:w="109"/>
        <w:gridCol w:w="109"/>
        <w:gridCol w:w="109"/>
        <w:gridCol w:w="421"/>
        <w:gridCol w:w="723"/>
        <w:gridCol w:w="220"/>
        <w:gridCol w:w="109"/>
        <w:gridCol w:w="109"/>
        <w:gridCol w:w="109"/>
        <w:gridCol w:w="211"/>
        <w:gridCol w:w="82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Realized Net</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 Net</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tbl>
      <w:tblPr>
        <w:tblW w:w="8641" w:type="dxa"/>
        <w:jc w:val="left"/>
        <w:tblInd w:w="0" w:type="dxa"/>
        <w:tblLayout w:type="fixed"/>
        <w:tblCellMar>
          <w:top w:w="28" w:type="dxa"/>
          <w:left w:w="28" w:type="dxa"/>
          <w:bottom w:w="28" w:type="dxa"/>
          <w:right w:w="28" w:type="dxa"/>
        </w:tblCellMar>
      </w:tblPr>
      <w:tblGrid>
        <w:gridCol w:w="1011"/>
        <w:gridCol w:w="888"/>
        <w:gridCol w:w="891"/>
        <w:gridCol w:w="211"/>
        <w:gridCol w:w="826"/>
        <w:gridCol w:w="109"/>
        <w:gridCol w:w="109"/>
        <w:gridCol w:w="109"/>
        <w:gridCol w:w="109"/>
        <w:gridCol w:w="339"/>
        <w:gridCol w:w="654"/>
        <w:gridCol w:w="176"/>
        <w:gridCol w:w="109"/>
        <w:gridCol w:w="109"/>
        <w:gridCol w:w="109"/>
        <w:gridCol w:w="421"/>
        <w:gridCol w:w="723"/>
        <w:gridCol w:w="220"/>
        <w:gridCol w:w="109"/>
        <w:gridCol w:w="109"/>
        <w:gridCol w:w="109"/>
        <w:gridCol w:w="211"/>
        <w:gridCol w:w="82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Realized Net</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 Net</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available-for-sale securities included within Marketable securities in the Condensed Consolidated Balance Sheets as of March 31, 2025 and December 31, 2024, by remaining contractual maturity, are as follows (in thousands):</w:t>
      </w:r>
    </w:p>
    <w:tbl>
      <w:tblPr>
        <w:tblW w:w="8147" w:type="dxa"/>
        <w:jc w:val="left"/>
        <w:tblInd w:w="0" w:type="dxa"/>
        <w:tblLayout w:type="fixed"/>
        <w:tblCellMar>
          <w:top w:w="28" w:type="dxa"/>
          <w:left w:w="28" w:type="dxa"/>
          <w:bottom w:w="28" w:type="dxa"/>
          <w:right w:w="28" w:type="dxa"/>
        </w:tblCellMar>
      </w:tblPr>
      <w:tblGrid>
        <w:gridCol w:w="1011"/>
        <w:gridCol w:w="888"/>
        <w:gridCol w:w="891"/>
        <w:gridCol w:w="211"/>
        <w:gridCol w:w="826"/>
        <w:gridCol w:w="109"/>
        <w:gridCol w:w="109"/>
        <w:gridCol w:w="109"/>
        <w:gridCol w:w="109"/>
        <w:gridCol w:w="295"/>
        <w:gridCol w:w="570"/>
        <w:gridCol w:w="155"/>
        <w:gridCol w:w="109"/>
        <w:gridCol w:w="109"/>
        <w:gridCol w:w="109"/>
        <w:gridCol w:w="296"/>
        <w:gridCol w:w="570"/>
        <w:gridCol w:w="153"/>
        <w:gridCol w:w="109"/>
        <w:gridCol w:w="109"/>
        <w:gridCol w:w="109"/>
        <w:gridCol w:w="211"/>
        <w:gridCol w:w="82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w:t>
              <w:br/>
              <w:t>One Year</w:t>
              <w:br/>
              <w:t>Through</w:t>
              <w:br/>
              <w:t>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w:t>
              <w:br/>
              <w:t>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47" w:type="dxa"/>
        <w:jc w:val="left"/>
        <w:tblInd w:w="0" w:type="dxa"/>
        <w:tblLayout w:type="fixed"/>
        <w:tblCellMar>
          <w:top w:w="28" w:type="dxa"/>
          <w:left w:w="28" w:type="dxa"/>
          <w:bottom w:w="28" w:type="dxa"/>
          <w:right w:w="28" w:type="dxa"/>
        </w:tblCellMar>
      </w:tblPr>
      <w:tblGrid>
        <w:gridCol w:w="1011"/>
        <w:gridCol w:w="888"/>
        <w:gridCol w:w="891"/>
        <w:gridCol w:w="211"/>
        <w:gridCol w:w="826"/>
        <w:gridCol w:w="109"/>
        <w:gridCol w:w="109"/>
        <w:gridCol w:w="109"/>
        <w:gridCol w:w="109"/>
        <w:gridCol w:w="295"/>
        <w:gridCol w:w="570"/>
        <w:gridCol w:w="155"/>
        <w:gridCol w:w="109"/>
        <w:gridCol w:w="109"/>
        <w:gridCol w:w="109"/>
        <w:gridCol w:w="296"/>
        <w:gridCol w:w="570"/>
        <w:gridCol w:w="153"/>
        <w:gridCol w:w="109"/>
        <w:gridCol w:w="109"/>
        <w:gridCol w:w="109"/>
        <w:gridCol w:w="211"/>
        <w:gridCol w:w="826"/>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w:t>
              <w:br/>
              <w:t>One Year</w:t>
              <w:br/>
              <w:t>Through</w:t>
              <w:br/>
              <w:t>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w:t>
              <w:br/>
              <w:t>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4. Fair Value of Financial Instruments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shd w:fill="FFFFFF" w:val="clear"/>
        </w:rPr>
        <w:t>Level 1:</w:t>
      </w:r>
      <w:r>
        <w:rPr>
          <w:color w:val="000000"/>
          <w:shd w:fill="FFFFFF" w:val="clear"/>
        </w:rPr>
        <w:t xml:space="preserve"> </w:t>
      </w:r>
      <w:r>
        <w:rPr>
          <w:rFonts w:ascii="Times New Roman;sans-serif" w:hAnsi="Times New Roman;sans-serif"/>
          <w:b w:val="false"/>
          <w:color w:val="000000"/>
          <w:sz w:val="20"/>
          <w:shd w:fill="FFFFFF" w:val="clear"/>
        </w:rPr>
        <w:t>Valuations based on quoted prices in active markets for identical assets or liabilities that an entity has the ability to access.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shd w:fill="FFFFFF" w:val="clear"/>
        </w:rPr>
        <w:t>Level 2:</w:t>
      </w:r>
      <w:r>
        <w:rPr>
          <w:color w:val="000000"/>
          <w:shd w:fill="FFFFFF" w:val="clear"/>
        </w:rPr>
        <w:t xml:space="preserve"> </w:t>
      </w:r>
      <w:r>
        <w:rPr>
          <w:rFonts w:ascii="Times New Roman;sans-serif" w:hAnsi="Times New Roman;sans-serif"/>
          <w:b w:val="false"/>
          <w:color w:val="000000"/>
          <w:sz w:val="20"/>
          <w:shd w:fill="FFFFFF" w:val="clear"/>
        </w:rPr>
        <w:t>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shd w:fill="FFFFFF" w:val="clear"/>
        </w:rPr>
        <w:t>Level 3:</w:t>
      </w:r>
      <w:r>
        <w:rPr>
          <w:color w:val="000000"/>
          <w:shd w:fill="FFFFFF" w:val="clear"/>
        </w:rPr>
        <w:t xml:space="preserve"> </w:t>
      </w:r>
      <w:r>
        <w:rPr>
          <w:rFonts w:ascii="Times New Roman;sans-serif" w:hAnsi="Times New Roman;sans-serif"/>
          <w:b w:val="false"/>
          <w:color w:val="000000"/>
          <w:sz w:val="20"/>
          <w:shd w:fill="FFFFFF" w:val="clear"/>
        </w:rPr>
        <w:t>Valuations based on inputs that are supported by little or no market activity and that are significant to the fair value of the assets or liabilities.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carrying value of cash and cash equivalents, accounts payable and accrued expenses and other current liabilities approximates their fair values due to the short-term or on demand nature of these instruments. 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the Company’s investment portfolio included available-for-sale securities which were comprised of money market funds, U.S. treasury bills and commercial paper. The Company has U.S. Treasury bills and commercial papers that are classified as Level 2 due to the fair value for these instruments being determined by utilizing observable inputs in similar assets or identical assets in non-active markets.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Warrants are recorded as Warrant liabilities in the Condensed Consolidated Balance Sheets. The warrant liabilities are measured at fair value at inception and on a recurring basis, with changes in fair value presented as Change in fair value of warrant liabilities in the Condensed Consolidated Statements of Operations and Comprehensive Loss.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Public Warrants and Private Warrants were carried at fair value 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The Public Warrants were valued using Level 1 inputs as they are traded in an active market. The Private Warrants were valued using a binomial lattice model.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the assumptions used in preparing the binomial lattice model for valuing the Private Warrants liability include (i) volatility of 201.5%, (ii) risk-free interest rate of 4.0%, (iii) strike price of $11.50, (iv) fair value of Class A common stock of $1.20, and (v) expected life of 1.2 years. As of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the assumptions used in preparing the binomial lattice model for valuing the Private Warrants liability include (i) volatility of 194.3%, (ii) risk-free interest rate of 4.2%, (iii) strike price of $11.50, (iv) fair value of Class A common stock of $2.70, and (v) expected life of 1.4 years. </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There were no exercises or redemptions of the Public Warrants or Private Warrants during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following table summarizes the Company’s assets and liabilities </w:t>
      </w:r>
      <w:r>
        <w:rPr>
          <w:rFonts w:ascii="Times New Roman;sans-serif" w:hAnsi="Times New Roman;sans-serif"/>
          <w:b w:val="false"/>
          <w:color w:val="000000"/>
          <w:sz w:val="20"/>
        </w:rPr>
        <w:t>in the Condensed Consolidated Balance Sheets as of March 31, 2025 and December 31, 2024,</w:t>
      </w:r>
      <w:r>
        <w:rPr>
          <w:color w:val="000000"/>
          <w:shd w:fill="FFFFFF" w:val="clear"/>
        </w:rPr>
        <w:t xml:space="preserve"> </w:t>
      </w:r>
      <w:r>
        <w:rPr>
          <w:rFonts w:ascii="Times New Roman;sans-serif" w:hAnsi="Times New Roman;sans-serif"/>
          <w:b w:val="false"/>
          <w:color w:val="000000"/>
          <w:sz w:val="20"/>
          <w:shd w:fill="FFFFFF" w:val="clear"/>
        </w:rPr>
        <w:t>that are measured at fair value on a recurring basis, by level, within the fair value hierarchy (in thousands):</w:t>
      </w:r>
    </w:p>
    <w:tbl>
      <w:tblPr>
        <w:tblW w:w="9424" w:type="dxa"/>
        <w:jc w:val="left"/>
        <w:tblInd w:w="0" w:type="dxa"/>
        <w:tblLayout w:type="fixed"/>
        <w:tblCellMar>
          <w:top w:w="28" w:type="dxa"/>
          <w:left w:w="28" w:type="dxa"/>
          <w:bottom w:w="28" w:type="dxa"/>
          <w:right w:w="28" w:type="dxa"/>
        </w:tblCellMar>
      </w:tblPr>
      <w:tblGrid>
        <w:gridCol w:w="1451"/>
        <w:gridCol w:w="1273"/>
        <w:gridCol w:w="1280"/>
        <w:gridCol w:w="109"/>
        <w:gridCol w:w="109"/>
        <w:gridCol w:w="109"/>
        <w:gridCol w:w="211"/>
        <w:gridCol w:w="721"/>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 on a recurring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at fair value on a recurring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tbl>
      <w:tblPr>
        <w:tblW w:w="9476" w:type="dxa"/>
        <w:jc w:val="left"/>
        <w:tblInd w:w="0" w:type="dxa"/>
        <w:tblLayout w:type="fixed"/>
        <w:tblCellMar>
          <w:top w:w="28" w:type="dxa"/>
          <w:left w:w="28" w:type="dxa"/>
          <w:bottom w:w="28" w:type="dxa"/>
          <w:right w:w="28" w:type="dxa"/>
        </w:tblCellMar>
      </w:tblPr>
      <w:tblGrid>
        <w:gridCol w:w="1450"/>
        <w:gridCol w:w="1275"/>
        <w:gridCol w:w="1279"/>
        <w:gridCol w:w="109"/>
        <w:gridCol w:w="109"/>
        <w:gridCol w:w="109"/>
        <w:gridCol w:w="211"/>
        <w:gridCol w:w="721"/>
        <w:gridCol w:w="109"/>
        <w:gridCol w:w="109"/>
        <w:gridCol w:w="109"/>
        <w:gridCol w:w="109"/>
        <w:gridCol w:w="211"/>
        <w:gridCol w:w="826"/>
        <w:gridCol w:w="109"/>
        <w:gridCol w:w="109"/>
        <w:gridCol w:w="109"/>
        <w:gridCol w:w="109"/>
        <w:gridCol w:w="211"/>
        <w:gridCol w:w="466"/>
        <w:gridCol w:w="109"/>
        <w:gridCol w:w="109"/>
        <w:gridCol w:w="109"/>
        <w:gridCol w:w="109"/>
        <w:gridCol w:w="211"/>
        <w:gridCol w:w="826"/>
        <w:gridCol w:w="154"/>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 on a recurring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at fair value on a recurring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Inventory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 as of March 31, 2025 and December 31, 2024 (in thousands):</w:t>
      </w:r>
    </w:p>
    <w:tbl>
      <w:tblPr>
        <w:tblW w:w="4106" w:type="dxa"/>
        <w:jc w:val="left"/>
        <w:tblInd w:w="0" w:type="dxa"/>
        <w:tblLayout w:type="fixed"/>
        <w:tblCellMar>
          <w:top w:w="28" w:type="dxa"/>
          <w:left w:w="28" w:type="dxa"/>
          <w:bottom w:w="28" w:type="dxa"/>
          <w:right w:w="28" w:type="dxa"/>
        </w:tblCellMar>
      </w:tblPr>
      <w:tblGrid>
        <w:gridCol w:w="543"/>
        <w:gridCol w:w="476"/>
        <w:gridCol w:w="480"/>
        <w:gridCol w:w="220"/>
        <w:gridCol w:w="642"/>
        <w:gridCol w:w="113"/>
        <w:gridCol w:w="109"/>
        <w:gridCol w:w="109"/>
        <w:gridCol w:w="109"/>
        <w:gridCol w:w="280"/>
        <w:gridCol w:w="819"/>
        <w:gridCol w:w="206"/>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Charges recorded for inventory write-downs included in Research and development expenses in the Condensed Consolidated Statements of Operations and Comprehensive Loss for the three months ended March 31, 2025 and 2024 were $0.5 million and $0.6 million, respectively. Charges recorded for inventory write-downs included in Cost of revenue in the Condensed Consolidated Statements of Operations and Comprehensive Loss were $0.2 million</w:t>
      </w:r>
      <w:r>
        <w:rPr>
          <w:color w:val="000000"/>
        </w:rPr>
        <w:t xml:space="preserve"> </w:t>
      </w:r>
      <w:r>
        <w:rPr>
          <w:rFonts w:ascii="Times New Roman;sans-serif" w:hAnsi="Times New Roman;sans-serif"/>
          <w:b w:val="false"/>
          <w:color w:val="000000"/>
          <w:sz w:val="20"/>
        </w:rPr>
        <w:t>for the three months ended March 31, 2025 and immaterial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6. Property and Equipment, Net</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Property and equipment, net, consists of the following 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(in thousands):</w:t>
      </w:r>
    </w:p>
    <w:tbl>
      <w:tblPr>
        <w:tblW w:w="6828" w:type="dxa"/>
        <w:jc w:val="left"/>
        <w:tblInd w:w="0" w:type="dxa"/>
        <w:tblLayout w:type="fixed"/>
        <w:tblCellMar>
          <w:top w:w="28" w:type="dxa"/>
          <w:left w:w="28" w:type="dxa"/>
          <w:bottom w:w="28" w:type="dxa"/>
          <w:right w:w="28" w:type="dxa"/>
        </w:tblCellMar>
      </w:tblPr>
      <w:tblGrid>
        <w:gridCol w:w="1506"/>
        <w:gridCol w:w="1322"/>
        <w:gridCol w:w="1327"/>
        <w:gridCol w:w="211"/>
        <w:gridCol w:w="721"/>
        <w:gridCol w:w="109"/>
        <w:gridCol w:w="109"/>
        <w:gridCol w:w="109"/>
        <w:gridCol w:w="109"/>
        <w:gridCol w:w="253"/>
        <w:gridCol w:w="867"/>
        <w:gridCol w:w="185"/>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and production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process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76"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(11,707)</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is included within Cost of revenue, Research and development and Selling, general and administrative expenses in the Condensed Consolidated Statements of Operations and Comprehensive Loss. Depreciation and amortization expense was $0.9 million and $1.1 million for the three months ended March 31, 2025 and 2024, respectively. No impairments of property and equipment were recorded for both the three months ended March 31, 2025 or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Leases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Lease-related costs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are as follows (in thousands):</w:t>
      </w:r>
    </w:p>
    <w:tbl>
      <w:tblPr>
        <w:tblW w:w="4527" w:type="dxa"/>
        <w:jc w:val="left"/>
        <w:tblInd w:w="0" w:type="dxa"/>
        <w:tblLayout w:type="fixed"/>
        <w:tblCellMar>
          <w:top w:w="28" w:type="dxa"/>
          <w:left w:w="28" w:type="dxa"/>
          <w:bottom w:w="28" w:type="dxa"/>
          <w:right w:w="28" w:type="dxa"/>
        </w:tblCellMar>
      </w:tblPr>
      <w:tblGrid>
        <w:gridCol w:w="635"/>
        <w:gridCol w:w="558"/>
        <w:gridCol w:w="562"/>
        <w:gridCol w:w="261"/>
        <w:gridCol w:w="762"/>
        <w:gridCol w:w="134"/>
        <w:gridCol w:w="134"/>
        <w:gridCol w:w="134"/>
        <w:gridCol w:w="134"/>
        <w:gridCol w:w="261"/>
        <w:gridCol w:w="762"/>
        <w:gridCol w:w="190"/>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Future minimum lease payments under non-cancellable leases 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are as follows (dollars in thousands):</w:t>
      </w:r>
    </w:p>
    <w:tbl>
      <w:tblPr>
        <w:tblW w:w="6615" w:type="dxa"/>
        <w:jc w:val="left"/>
        <w:tblInd w:w="0" w:type="dxa"/>
        <w:tblLayout w:type="fixed"/>
        <w:tblCellMar>
          <w:top w:w="28" w:type="dxa"/>
          <w:left w:w="28" w:type="dxa"/>
          <w:bottom w:w="28" w:type="dxa"/>
          <w:right w:w="28" w:type="dxa"/>
        </w:tblCellMar>
      </w:tblPr>
      <w:tblGrid>
        <w:gridCol w:w="1493"/>
        <w:gridCol w:w="1311"/>
        <w:gridCol w:w="1321"/>
        <w:gridCol w:w="421"/>
        <w:gridCol w:w="1439"/>
        <w:gridCol w:w="630"/>
      </w:tblGrid>
      <w:tr>
        <w:trPr/>
        <w:tc>
          <w:tcPr>
            <w:tcW w:w="149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Remaining Lease Payments</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7,247 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remaining undiscounted lease payments</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25,562 </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6" w:before="0" w:after="30"/>
              <w:jc w:val="left"/>
              <w:rPr/>
            </w:pPr>
            <w:r>
              <w:rPr>
                <w:rFonts w:ascii="Times New Roman;sans-serif" w:hAnsi="Times New Roman;sans-serif"/>
                <w:b w:val="false"/>
                <w:color w:val="000000"/>
                <w:sz w:val="20"/>
              </w:rPr>
              <w:t>Less: Lease incentives</w:t>
            </w:r>
            <w:r>
              <w:rPr>
                <w:rFonts w:ascii="Times New Roman;sans-serif" w:hAnsi="Times New Roman;sans-serif"/>
                <w:b w:val="false"/>
                <w:color w:val="000000"/>
                <w:sz w:val="13"/>
              </w:rPr>
              <w:t>(1)</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(9,104)</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1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12,054 </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10,118 </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24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hanging="360"/>
        <w:jc w:val="both"/>
        <w:rPr/>
      </w:pPr>
      <w:r>
        <w:rPr>
          <w:rFonts w:ascii="Times New Roman;sans-serif" w:hAnsi="Times New Roman;sans-serif"/>
          <w:b w:val="false"/>
          <w:color w:val="000000"/>
          <w:sz w:val="14"/>
        </w:rPr>
        <w:t>(1)</w:t>
      </w:r>
      <w:r>
        <w:rPr>
          <w:rFonts w:ascii="Times New Roman;sans-serif" w:hAnsi="Times New Roman;sans-serif"/>
          <w:b w:val="false"/>
          <w:color w:val="000000"/>
          <w:sz w:val="20"/>
        </w:rPr>
        <w:t>Includes lease incentives that are estimated to be realized in 2026 and 2027 for the costs of leasehold improvements.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following table provides certain cash flow and supplemental cash flow information related to the Company’s right-of-use assets and lease liabilities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 (in thousands):</w:t>
      </w:r>
    </w:p>
    <w:tbl>
      <w:tblPr>
        <w:tblW w:w="7349" w:type="dxa"/>
        <w:jc w:val="left"/>
        <w:tblInd w:w="0" w:type="dxa"/>
        <w:tblLayout w:type="fixed"/>
        <w:tblCellMar>
          <w:top w:w="28" w:type="dxa"/>
          <w:left w:w="28" w:type="dxa"/>
          <w:bottom w:w="28" w:type="dxa"/>
          <w:right w:w="28" w:type="dxa"/>
        </w:tblCellMar>
      </w:tblPr>
      <w:tblGrid>
        <w:gridCol w:w="1640"/>
        <w:gridCol w:w="1440"/>
        <w:gridCol w:w="1450"/>
        <w:gridCol w:w="265"/>
        <w:gridCol w:w="774"/>
        <w:gridCol w:w="137"/>
        <w:gridCol w:w="137"/>
        <w:gridCol w:w="137"/>
        <w:gridCol w:w="137"/>
        <w:gridCol w:w="265"/>
        <w:gridCol w:w="774"/>
        <w:gridCol w:w="193"/>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paid to settle operating lease liabilities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both March 31, 2025 and December 31, 2024, the Company has incurred and recognized total leasehold improvements of approximately $1.2 million related to reimbursable construction costs included in construction in progress within Property and equipment, net,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8. Accrued Expenses and Other Current Liabilities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Accrued expenses and other current liabilities consisted of the following (in thousands):</w:t>
      </w:r>
    </w:p>
    <w:tbl>
      <w:tblPr>
        <w:tblW w:w="6866" w:type="dxa"/>
        <w:jc w:val="left"/>
        <w:tblInd w:w="0" w:type="dxa"/>
        <w:tblLayout w:type="fixed"/>
        <w:tblCellMar>
          <w:top w:w="28" w:type="dxa"/>
          <w:left w:w="28" w:type="dxa"/>
          <w:bottom w:w="28" w:type="dxa"/>
          <w:right w:w="28" w:type="dxa"/>
        </w:tblCellMar>
      </w:tblPr>
      <w:tblGrid>
        <w:gridCol w:w="1542"/>
        <w:gridCol w:w="1352"/>
        <w:gridCol w:w="1365"/>
        <w:gridCol w:w="220"/>
        <w:gridCol w:w="642"/>
        <w:gridCol w:w="113"/>
        <w:gridCol w:w="109"/>
        <w:gridCol w:w="109"/>
        <w:gridCol w:w="109"/>
        <w:gridCol w:w="280"/>
        <w:gridCol w:w="819"/>
        <w:gridCol w:w="206"/>
      </w:tblGrid>
      <w:tr>
        <w:trPr/>
        <w:tc>
          <w:tcPr>
            <w:tcW w:w="154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fees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payable</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Equity Transactions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Registered Direct Offering</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On January 3, 2025, the Company entered into a securities purchase agreement with certain institutional investors pursuant to which the Company agreed to issue and sell, in a registered direct offering (the “Registered Direct Offering”) an aggregate of 15,625,000 shares of the Company’s Class A common stock at a price of $3.20 per share. The gross proceeds to the Company from the Registered Direct Offering were </w:t>
      </w:r>
      <w:r>
        <w:rPr>
          <w:rFonts w:ascii="Times New Roman;sans-serif" w:hAnsi="Times New Roman;sans-serif"/>
          <w:b w:val="false"/>
          <w:color w:val="000000"/>
          <w:sz w:val="20"/>
        </w:rPr>
        <w:t>$50.0 million</w:t>
      </w:r>
      <w:r>
        <w:rPr>
          <w:rFonts w:ascii="Times New Roman;sans-serif" w:hAnsi="Times New Roman;sans-serif"/>
          <w:b w:val="false"/>
          <w:color w:val="000000"/>
          <w:sz w:val="20"/>
          <w:shd w:fill="FFFFFF" w:val="clear"/>
        </w:rPr>
        <w:t xml:space="preserve">. After deducting estimated placement agents’ fees and other offering expenses payable by the Company, net proceeds recorded during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were approximately </w:t>
      </w:r>
      <w:r>
        <w:rPr>
          <w:rFonts w:ascii="Times New Roman;sans-serif" w:hAnsi="Times New Roman;sans-serif"/>
          <w:b w:val="false"/>
          <w:color w:val="000000"/>
          <w:sz w:val="20"/>
        </w:rPr>
        <w:t>$46.8 million</w:t>
      </w:r>
      <w:r>
        <w:rPr>
          <w:rFonts w:ascii="Times New Roman;sans-serif" w:hAnsi="Times New Roman;sans-serif"/>
          <w:b w:val="false"/>
          <w:color w:val="000000"/>
          <w:sz w:val="20"/>
          <w:shd w:fill="FFFFFF" w:val="clear"/>
        </w:rPr>
        <w:t>.</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Preferred Stock</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the Company had authorized </w:t>
      </w:r>
      <w:r>
        <w:rPr>
          <w:rFonts w:ascii="Times New Roman;sans-serif" w:hAnsi="Times New Roman;sans-serif"/>
          <w:b w:val="false"/>
          <w:color w:val="000000"/>
          <w:sz w:val="20"/>
        </w:rPr>
        <w:t>1,000,000</w:t>
      </w:r>
      <w:r>
        <w:rPr>
          <w:color w:val="000000"/>
          <w:shd w:fill="FFFFFF" w:val="clear"/>
        </w:rPr>
        <w:t xml:space="preserve"> </w:t>
      </w:r>
      <w:r>
        <w:rPr>
          <w:rFonts w:ascii="Times New Roman;sans-serif" w:hAnsi="Times New Roman;sans-serif"/>
          <w:b w:val="false"/>
          <w:color w:val="000000"/>
          <w:sz w:val="20"/>
          <w:shd w:fill="FFFFFF" w:val="clear"/>
        </w:rPr>
        <w:t xml:space="preserve">shares of preferred stock at </w:t>
      </w:r>
      <w:r>
        <w:rPr>
          <w:rFonts w:ascii="Times New Roman;sans-serif" w:hAnsi="Times New Roman;sans-serif"/>
          <w:b w:val="false"/>
          <w:color w:val="000000"/>
          <w:sz w:val="20"/>
        </w:rPr>
        <w:t>$0.0001</w:t>
      </w:r>
      <w:r>
        <w:rPr>
          <w:color w:val="000000"/>
          <w:shd w:fill="FFFFFF" w:val="clear"/>
        </w:rPr>
        <w:t xml:space="preserve"> </w:t>
      </w:r>
      <w:r>
        <w:rPr>
          <w:rFonts w:ascii="Times New Roman;sans-serif" w:hAnsi="Times New Roman;sans-serif"/>
          <w:b w:val="false"/>
          <w:color w:val="000000"/>
          <w:sz w:val="20"/>
          <w:shd w:fill="FFFFFF" w:val="clear"/>
        </w:rPr>
        <w:t xml:space="preserve">par value per share. There were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preferred shares outstanding for both periods.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Preferred stock may be issued from time to time in one or more series. Any shares of preferred stock which may be redeemed, purchased or acquired by the Company may be reissued except as otherwise provided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Stock-based Compensation</w:t>
      </w:r>
    </w:p>
    <w:p>
      <w:pPr>
        <w:pStyle w:val="TextBody"/>
        <w:bidi w:val="0"/>
        <w:spacing w:lineRule="auto" w:line="288" w:before="24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Equity Incentive Plan</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Quantum-Si Incorporated 2021 Equity Incentive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 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there were 13,952,174 shares available for future grant under the 2021 Plan. </w:t>
      </w:r>
    </w:p>
    <w:p>
      <w:pPr>
        <w:pStyle w:val="TextBody"/>
        <w:bidi w:val="0"/>
        <w:spacing w:lineRule="auto" w:line="288" w:before="24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Inducement Equity Incentive Plan</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On </w:t>
      </w:r>
      <w:r>
        <w:rPr>
          <w:rFonts w:ascii="Times New Roman;sans-serif" w:hAnsi="Times New Roman;sans-serif"/>
          <w:b w:val="false"/>
          <w:color w:val="000000"/>
          <w:sz w:val="20"/>
        </w:rPr>
        <w:t>May 8, 2023</w:t>
      </w:r>
      <w:r>
        <w:rPr>
          <w:rFonts w:ascii="Times New Roman;sans-serif" w:hAnsi="Times New Roman;sans-serif"/>
          <w:b w:val="false"/>
          <w:color w:val="000000"/>
          <w:sz w:val="20"/>
          <w:shd w:fill="FFFFFF" w:val="clear"/>
        </w:rPr>
        <w:t xml:space="preserve">, the Company adopted the 2023 Inducement Equity Incentive Plan (the “2023 Inducement Plan”) to reserve 3,000,000 shares of its Class A common stock to be used exclusively for grants of awards to individuals that were not previously employees or directors of the Company as a material inducement to such individuals’ entry into employment with the Company within the meaning of Rule 5635(c)(4) of the Nasdaq Listing Rules. On </w:t>
      </w:r>
      <w:r>
        <w:rPr>
          <w:rFonts w:ascii="Times New Roman;sans-serif" w:hAnsi="Times New Roman;sans-serif"/>
          <w:b w:val="false"/>
          <w:color w:val="000000"/>
          <w:sz w:val="20"/>
        </w:rPr>
        <w:t>August 23, 2024</w:t>
      </w:r>
      <w:r>
        <w:rPr>
          <w:rFonts w:ascii="Times New Roman;sans-serif" w:hAnsi="Times New Roman;sans-serif"/>
          <w:b w:val="false"/>
          <w:color w:val="000000"/>
          <w:sz w:val="20"/>
          <w:shd w:fill="FFFFFF" w:val="clear"/>
        </w:rPr>
        <w:t xml:space="preserve">, the Company amended the 2023 Inducement Plan to reserve an additional </w:t>
      </w:r>
      <w:r>
        <w:rPr>
          <w:rFonts w:ascii="Times New Roman;sans-serif" w:hAnsi="Times New Roman;sans-serif"/>
          <w:b w:val="false"/>
          <w:color w:val="000000"/>
          <w:sz w:val="20"/>
        </w:rPr>
        <w:t>3,000,000</w:t>
      </w:r>
      <w:r>
        <w:rPr>
          <w:color w:val="000000"/>
          <w:shd w:fill="FFFFFF" w:val="clear"/>
        </w:rPr>
        <w:t xml:space="preserve"> </w:t>
      </w:r>
      <w:r>
        <w:rPr>
          <w:rFonts w:ascii="Times New Roman;sans-serif" w:hAnsi="Times New Roman;sans-serif"/>
          <w:b w:val="false"/>
          <w:color w:val="000000"/>
          <w:sz w:val="20"/>
          <w:shd w:fill="FFFFFF" w:val="clear"/>
        </w:rPr>
        <w:t xml:space="preserve">shares of its Class A common stock under the 2023 Inducement Plan. The terms and conditions of the 2023 Inducement Plan, as amended, are substantially similar to those of the 2021 Plan. 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there were 1,603,795 shares available for future issuance under the 2023 Inducement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Stock Options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granted an aggregate of 32,000 stock option awards to participants during the three months ended March 31, 2025, with vesting subject to the participant’s continued employment with or continued service provided to the Company through the applicable vesting dates. During the three months ended March 31, 2024, the Company did not grant any stock options to participants.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Company recorded </w:t>
      </w:r>
      <w:r>
        <w:rPr>
          <w:rFonts w:ascii="Times New Roman;sans-serif" w:hAnsi="Times New Roman;sans-serif"/>
          <w:b w:val="false"/>
          <w:color w:val="000000"/>
          <w:sz w:val="20"/>
        </w:rPr>
        <w:t>$1.5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$1.3 million </w:t>
      </w:r>
      <w:r>
        <w:rPr>
          <w:rFonts w:ascii="Times New Roman;sans-serif" w:hAnsi="Times New Roman;sans-serif"/>
          <w:b w:val="false"/>
          <w:color w:val="000000"/>
          <w:sz w:val="20"/>
          <w:shd w:fill="FFFFFF" w:val="clear"/>
        </w:rPr>
        <w:t xml:space="preserve">for stock-based compensation related to stock options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 xml:space="preserve">March 31, 2025 and 2024, </w:t>
      </w:r>
      <w:r>
        <w:rPr>
          <w:rFonts w:ascii="Times New Roman;sans-serif" w:hAnsi="Times New Roman;sans-serif"/>
          <w:b w:val="false"/>
          <w:color w:val="000000"/>
          <w:sz w:val="20"/>
          <w:shd w:fill="FFFFFF" w:val="clear"/>
        </w:rPr>
        <w:t>respectively.</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fair value of each stock option award granted during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was estimated as of the grant date using a Black-Scholes model with the following assumptions:</w:t>
      </w:r>
    </w:p>
    <w:tbl>
      <w:tblPr>
        <w:tblW w:w="7586" w:type="dxa"/>
        <w:jc w:val="left"/>
        <w:tblInd w:w="0" w:type="dxa"/>
        <w:tblLayout w:type="fixed"/>
        <w:tblCellMar>
          <w:top w:w="28" w:type="dxa"/>
          <w:left w:w="28" w:type="dxa"/>
          <w:bottom w:w="28" w:type="dxa"/>
          <w:right w:w="28" w:type="dxa"/>
        </w:tblCellMar>
      </w:tblPr>
      <w:tblGrid>
        <w:gridCol w:w="1457"/>
        <w:gridCol w:w="1278"/>
        <w:gridCol w:w="1285"/>
        <w:gridCol w:w="109"/>
        <w:gridCol w:w="109"/>
        <w:gridCol w:w="109"/>
        <w:gridCol w:w="947"/>
        <w:gridCol w:w="947"/>
        <w:gridCol w:w="1345"/>
      </w:tblGrid>
      <w:tr>
        <w:trPr/>
        <w:tc>
          <w:tcPr>
            <w:tcW w:w="14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114.2%</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A summary of the stock option activity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is presented in the table below:</w:t>
      </w:r>
    </w:p>
    <w:tbl>
      <w:tblPr>
        <w:tblW w:w="10205" w:type="dxa"/>
        <w:jc w:val="left"/>
        <w:tblInd w:w="0" w:type="dxa"/>
        <w:tblLayout w:type="fixed"/>
        <w:tblCellMar>
          <w:top w:w="28" w:type="dxa"/>
          <w:left w:w="28" w:type="dxa"/>
          <w:bottom w:w="28" w:type="dxa"/>
          <w:right w:w="28" w:type="dxa"/>
        </w:tblCellMar>
      </w:tblPr>
      <w:tblGrid>
        <w:gridCol w:w="1301"/>
        <w:gridCol w:w="1143"/>
        <w:gridCol w:w="1149"/>
        <w:gridCol w:w="344"/>
        <w:gridCol w:w="344"/>
        <w:gridCol w:w="348"/>
        <w:gridCol w:w="109"/>
        <w:gridCol w:w="109"/>
        <w:gridCol w:w="109"/>
        <w:gridCol w:w="402"/>
        <w:gridCol w:w="978"/>
        <w:gridCol w:w="210"/>
        <w:gridCol w:w="109"/>
        <w:gridCol w:w="109"/>
        <w:gridCol w:w="109"/>
        <w:gridCol w:w="542"/>
        <w:gridCol w:w="542"/>
        <w:gridCol w:w="544"/>
        <w:gridCol w:w="109"/>
        <w:gridCol w:w="109"/>
        <w:gridCol w:w="109"/>
        <w:gridCol w:w="266"/>
        <w:gridCol w:w="911"/>
        <w:gridCol w:w="200"/>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Number of</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Remaining</w:t>
              <w:br/>
              <w:t xml:space="preserve">Contractual Term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Aggregate</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Intrinsic Value</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20,803,142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2025</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19,612,245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at March 31, 2025</w:t>
            </w:r>
          </w:p>
        </w:tc>
        <w:tc>
          <w:tcPr>
            <w:tcW w:w="10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March 31, 2025</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16,987,541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total unrecognized stock-based compensation related to stock options was $9.9 million, which is expected to be recognized over a remaining weighted average vesting period of 2.2 years.</w:t>
      </w:r>
    </w:p>
    <w:p>
      <w:pPr>
        <w:pStyle w:val="TextBody"/>
        <w:bidi w:val="0"/>
        <w:spacing w:lineRule="auto" w:line="288" w:before="24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Performance Stock Options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and May 2023, the Company granted 2,780,000 and 1,000,000 performance-based stock option awards to its Chief Executive Officer and Chief Financial Officer, respectively. The vesting of these awards are subject to continued service to the Company and certain market conditions. The market conditions require the Company’s Class A common stock trade above specified levels for certain periods of time. The fair values of the awards were estimated at the grant date using the Monte Carlo simulation model.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15, 2024, the market conditions that trigger the vesting of these performance-based stock option awards were modified. The modified market conditions require the Company’s Class A common stock to trade above specified levels for certain defined periods of time that are different from the original awards. The Company accounted for the modifications as modifications of market conditions. The total incremental stock-based compensation expense to be recognized for these awards within Selling, general and administrative operating expenses in the Condensed Consolidated Statements of Operations and Comprehensive Loss is approximately $2.4 million. Incremental stock-based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expense for the three months ended March 31, 2025 was $0.2 million. Incremental stock-based compensation expense for the three months ended March 31, 2024 was immaterial. </w:t>
      </w:r>
    </w:p>
    <w:p>
      <w:pPr>
        <w:pStyle w:val="TextBody"/>
        <w:bidi w:val="0"/>
        <w:spacing w:lineRule="auto" w:line="288" w:before="24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Restricted Stock Units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Company recorded </w:t>
      </w:r>
      <w:r>
        <w:rPr>
          <w:rFonts w:ascii="Times New Roman;sans-serif" w:hAnsi="Times New Roman;sans-serif"/>
          <w:b w:val="false"/>
          <w:color w:val="000000"/>
          <w:sz w:val="20"/>
        </w:rPr>
        <w:t>$0.8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$0.3 million</w:t>
      </w:r>
      <w:r>
        <w:rPr>
          <w:color w:val="000000"/>
        </w:rPr>
        <w:t xml:space="preserve"> </w:t>
      </w:r>
      <w:r>
        <w:rPr>
          <w:rFonts w:ascii="Times New Roman;sans-serif" w:hAnsi="Times New Roman;sans-serif"/>
          <w:b w:val="false"/>
          <w:color w:val="000000"/>
          <w:sz w:val="20"/>
          <w:shd w:fill="FFFFFF" w:val="clear"/>
        </w:rPr>
        <w:t xml:space="preserve">of stock-based compensation expense related to restricted stock unit (“RSU”) awards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 and 2024, respectively.</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A summary of the RSU activity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is presented in the table below:</w:t>
      </w:r>
    </w:p>
    <w:tbl>
      <w:tblPr>
        <w:tblW w:w="6926" w:type="dxa"/>
        <w:jc w:val="left"/>
        <w:tblInd w:w="0" w:type="dxa"/>
        <w:tblLayout w:type="fixed"/>
        <w:tblCellMar>
          <w:top w:w="28" w:type="dxa"/>
          <w:left w:w="28" w:type="dxa"/>
          <w:bottom w:w="28" w:type="dxa"/>
          <w:right w:w="28" w:type="dxa"/>
        </w:tblCellMar>
      </w:tblPr>
      <w:tblGrid>
        <w:gridCol w:w="1587"/>
        <w:gridCol w:w="1392"/>
        <w:gridCol w:w="1400"/>
        <w:gridCol w:w="369"/>
        <w:gridCol w:w="369"/>
        <w:gridCol w:w="371"/>
        <w:gridCol w:w="109"/>
        <w:gridCol w:w="109"/>
        <w:gridCol w:w="109"/>
        <w:gridCol w:w="267"/>
        <w:gridCol w:w="648"/>
        <w:gridCol w:w="196"/>
      </w:tblGrid>
      <w:tr>
        <w:trPr/>
        <w:tc>
          <w:tcPr>
            <w:tcW w:w="158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br/>
              <w:t xml:space="preserve">of Shares </w:t>
              <w:br/>
              <w:t xml:space="preserve">Underlying </w:t>
              <w:br/>
              <w:t xml:space="preserve">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Grant-Date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RSUs at December 31, 2024</w:t>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0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8,104,473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76"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0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non-vested RSUs at March 31, 2025</w:t>
            </w:r>
          </w:p>
        </w:tc>
        <w:tc>
          <w:tcPr>
            <w:tcW w:w="11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14,852,679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total unrecognized stock-based compensation related to restricted stock was $18.2 million, which is expected to be recognized over the remaining weighted average vesting period of 3.6 years.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Stock-based compensation is allocated to Research and development and Selling, general and administrative operating expenses in the Condensed Consolidated Statements of Operations and Comprehensive Loss. Stock-based compensation expense for the years ended </w:t>
      </w:r>
      <w:r>
        <w:rPr>
          <w:rFonts w:ascii="Times New Roman;sans-serif" w:hAnsi="Times New Roman;sans-serif"/>
          <w:b w:val="false"/>
          <w:color w:val="000000"/>
          <w:sz w:val="20"/>
        </w:rPr>
        <w:t>March 31, 2025 and 2024</w:t>
      </w:r>
      <w:r>
        <w:rPr>
          <w:color w:val="000000"/>
          <w:shd w:fill="FFFFFF" w:val="clear"/>
        </w:rPr>
        <w:t xml:space="preserve"> </w:t>
      </w:r>
      <w:r>
        <w:rPr>
          <w:rFonts w:ascii="Times New Roman;sans-serif" w:hAnsi="Times New Roman;sans-serif"/>
          <w:b w:val="false"/>
          <w:color w:val="000000"/>
          <w:sz w:val="20"/>
          <w:shd w:fill="FFFFFF" w:val="clear"/>
        </w:rPr>
        <w:t>is as follows (in thousands):</w:t>
      </w:r>
    </w:p>
    <w:tbl>
      <w:tblPr>
        <w:tblW w:w="5726" w:type="dxa"/>
        <w:jc w:val="left"/>
        <w:tblInd w:w="0" w:type="dxa"/>
        <w:tblLayout w:type="fixed"/>
        <w:tblCellMar>
          <w:top w:w="28" w:type="dxa"/>
          <w:left w:w="28" w:type="dxa"/>
          <w:bottom w:w="28" w:type="dxa"/>
          <w:right w:w="28" w:type="dxa"/>
        </w:tblCellMar>
      </w:tblPr>
      <w:tblGrid>
        <w:gridCol w:w="1071"/>
        <w:gridCol w:w="939"/>
        <w:gridCol w:w="944"/>
        <w:gridCol w:w="261"/>
        <w:gridCol w:w="762"/>
        <w:gridCol w:w="134"/>
        <w:gridCol w:w="134"/>
        <w:gridCol w:w="134"/>
        <w:gridCol w:w="134"/>
        <w:gridCol w:w="261"/>
        <w:gridCol w:w="762"/>
        <w:gridCol w:w="190"/>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6"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related tax benefits of the stock-based compensation expense have been recognized and no related tax benefits have been realized from the exercise of stock options due to the Company’s net operating loss carryforwards.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11. Warrant Liabilities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Public Warrants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there were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Redemptions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any time while the warrants are exercisable, the Company may redeem not less than all of the outstanding Public Warrants:</w:t>
      </w:r>
    </w:p>
    <w:p>
      <w:pPr>
        <w:pStyle w:val="TextBody"/>
        <w:bidi w:val="0"/>
        <w:spacing w:lineRule="auto" w:line="288" w:before="240" w:after="283"/>
        <w:ind w:left="0" w:right="0" w:hanging="360"/>
        <w:jc w:val="both"/>
        <w:rPr/>
      </w:pPr>
      <w:r>
        <w:rPr>
          <w:color w:val="000000"/>
        </w:rPr>
        <w:t>•</w:t>
      </w:r>
      <w:r>
        <w:rPr>
          <w:color w:val="000000"/>
          <w:shd w:fill="FFFFFF" w:val="clear"/>
        </w:rPr>
        <w:t xml:space="preserve"> </w:t>
      </w:r>
      <w:r>
        <w:rPr>
          <w:rFonts w:ascii="Times New Roman;sans-serif" w:hAnsi="Times New Roman;sans-serif"/>
          <w:b w:val="false"/>
          <w:color w:val="000000"/>
          <w:sz w:val="20"/>
          <w:shd w:fill="FFFFFF" w:val="clear"/>
        </w:rPr>
        <w:t>in whole and not in part;</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at a price of </w:t>
      </w:r>
      <w:r>
        <w:rPr>
          <w:rFonts w:ascii="Times New Roman;sans-serif" w:hAnsi="Times New Roman;sans-serif"/>
          <w:b w:val="false"/>
          <w:color w:val="000000"/>
          <w:sz w:val="20"/>
        </w:rPr>
        <w:t>$0.01</w:t>
      </w:r>
      <w:r>
        <w:rPr>
          <w:color w:val="000000"/>
          <w:shd w:fill="FFFFFF" w:val="clear"/>
        </w:rPr>
        <w:t xml:space="preserve"> </w:t>
      </w:r>
      <w:r>
        <w:rPr>
          <w:rFonts w:ascii="Times New Roman;sans-serif" w:hAnsi="Times New Roman;sans-serif"/>
          <w:b w:val="false"/>
          <w:color w:val="000000"/>
          <w:sz w:val="20"/>
          <w:shd w:fill="FFFFFF" w:val="clear"/>
        </w:rPr>
        <w:t>per warrant;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shd w:fill="FFFFFF" w:val="clear"/>
        </w:rPr>
        <w:t xml:space="preserve">upon not less than </w:t>
      </w:r>
      <w:r>
        <w:rPr>
          <w:rFonts w:ascii="Times New Roman;sans-serif" w:hAnsi="Times New Roman;sans-serif"/>
          <w:b w:val="false"/>
          <w:color w:val="000000"/>
          <w:sz w:val="20"/>
        </w:rPr>
        <w:t>30 days</w:t>
      </w:r>
      <w:r>
        <w:rPr>
          <w:color w:val="000000"/>
          <w:shd w:fill="FFFFFF" w:val="clear"/>
        </w:rPr>
        <w:t xml:space="preserve">’ </w:t>
      </w:r>
      <w:r>
        <w:rPr>
          <w:rFonts w:ascii="Times New Roman;sans-serif" w:hAnsi="Times New Roman;sans-serif"/>
          <w:b w:val="false"/>
          <w:color w:val="000000"/>
          <w:sz w:val="20"/>
          <w:shd w:fill="FFFFFF" w:val="clear"/>
        </w:rPr>
        <w:t>prior written notice of redemption (the “</w:t>
      </w:r>
      <w:r>
        <w:rPr>
          <w:rFonts w:ascii="Times New Roman;sans-serif" w:hAnsi="Times New Roman;sans-serif"/>
          <w:b w:val="false"/>
          <w:color w:val="000000"/>
          <w:sz w:val="20"/>
        </w:rPr>
        <w:t>30</w:t>
      </w:r>
      <w:r>
        <w:rPr>
          <w:rFonts w:ascii="Times New Roman;sans-serif" w:hAnsi="Times New Roman;sans-serif"/>
          <w:b w:val="false"/>
          <w:color w:val="000000"/>
          <w:sz w:val="20"/>
          <w:shd w:fill="FFFFFF" w:val="clear"/>
        </w:rPr>
        <w:t>-day redemption period”) to each warrant holder;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shd w:fill="FFFFFF" w:val="clear"/>
        </w:rPr>
        <w:t xml:space="preserve">if, and only if, the closing price of the Company’s Class A common stock equals or exceeds </w:t>
      </w:r>
      <w:r>
        <w:rPr>
          <w:rFonts w:ascii="Times New Roman;sans-serif" w:hAnsi="Times New Roman;sans-serif"/>
          <w:b w:val="false"/>
          <w:color w:val="000000"/>
          <w:sz w:val="20"/>
        </w:rPr>
        <w:t>$18.00</w:t>
      </w:r>
      <w:r>
        <w:rPr>
          <w:color w:val="000000"/>
          <w:shd w:fill="FFFFFF" w:val="clear"/>
        </w:rPr>
        <w:t xml:space="preserve"> </w:t>
      </w:r>
      <w:r>
        <w:rPr>
          <w:rFonts w:ascii="Times New Roman;sans-serif" w:hAnsi="Times New Roman;sans-serif"/>
          <w:b w:val="false"/>
          <w:color w:val="000000"/>
          <w:sz w:val="20"/>
          <w:shd w:fill="FFFFFF" w:val="clear"/>
        </w:rPr>
        <w:t xml:space="preserve">per share (as adjusted for stock splits, stock capitalizations, reorganizations, recapitalizations and the like) for any </w:t>
      </w:r>
      <w:r>
        <w:rPr>
          <w:rFonts w:ascii="Times New Roman;sans-serif" w:hAnsi="Times New Roman;sans-serif"/>
          <w:b w:val="false"/>
          <w:color w:val="000000"/>
          <w:sz w:val="20"/>
        </w:rPr>
        <w:t>20</w:t>
      </w:r>
      <w:r>
        <w:rPr>
          <w:color w:val="000000"/>
          <w:shd w:fill="FFFFFF" w:val="clear"/>
        </w:rPr>
        <w:t xml:space="preserve"> </w:t>
      </w:r>
      <w:r>
        <w:rPr>
          <w:rFonts w:ascii="Times New Roman;sans-serif" w:hAnsi="Times New Roman;sans-serif"/>
          <w:b w:val="false"/>
          <w:color w:val="000000"/>
          <w:sz w:val="20"/>
          <w:shd w:fill="FFFFFF" w:val="clear"/>
        </w:rPr>
        <w:t xml:space="preserve">trading days within a </w:t>
      </w:r>
      <w:r>
        <w:rPr>
          <w:rFonts w:ascii="Times New Roman;sans-serif" w:hAnsi="Times New Roman;sans-serif"/>
          <w:b w:val="false"/>
          <w:color w:val="000000"/>
          <w:sz w:val="20"/>
        </w:rPr>
        <w:t>30</w:t>
      </w:r>
      <w:r>
        <w:rPr>
          <w:rFonts w:ascii="Times New Roman;sans-serif" w:hAnsi="Times New Roman;sans-serif"/>
          <w:b w:val="false"/>
          <w:color w:val="000000"/>
          <w:sz w:val="20"/>
          <w:shd w:fill="FFFFFF" w:val="clear"/>
        </w:rPr>
        <w:t xml:space="preserve">-trading day period ending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business days before the Company sends the notice of redemption to the warrant holders.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foregoing conditions are satisfied and the Company issues a notice of redemption of the Public Warrants at $0.01 per warrant, each holder of Public Warrants will be entitled to exercise their Public Warrants held prior to the scheduled redemption date.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Company calls the Public Warrants for redemption for $0.01 as described above, the Board may elect to require any holder that wishes to exercise his, her or its Public Warrants to do so on a “cashless basis.” If the Board makes such election, all holders of Public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Public Warrants do not meet the criteria to be classified in stockholders’ equity as the exercise of the Public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precludes the Public Warrants from being classified in equity and thus they are classified as long-term liabilities in the Condensed Consolidated Balance Sheets.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Private Warrants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there were 135,000 Private Warrants outstanding. The Private Warrants are identical to the Public Warrants, except that so long as they are held by HighCape Capital Acquisition LLC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that the other conditions of such redemption are met, as described above. If the Private Warrants are held by a holder other than HighCape Capital Acquisition LLC or any of its permitted transferees, the Private Warrants will be redeemable by the Company in all redemption scenarios applicable to the Public Warrants and exercisable by such holders on the same basis as the Public Warrants.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Private Warrants do not meet the criteria to be classified in stockholders’ equity as the terms of the warrants provide for potential changes to the settlement amounts depending upon the characteristics of the warrant holder, and, because the holder of a warrant is not an input into the pricing of a fixed-for-fixed option on equity shares. This provision precludes the Private Warrants from being classified in equity and thus they are classified as long-term liabilities in the Condensed Consolidated Balance Sheets.</w:t>
      </w:r>
    </w:p>
    <w:p>
      <w:pPr>
        <w:pStyle w:val="TextBody"/>
        <w:bidi w:val="0"/>
        <w:spacing w:lineRule="auto" w:line="288" w:before="240" w:after="283"/>
        <w:jc w:val="both"/>
        <w:rPr/>
      </w:pPr>
      <w:r>
        <w:rPr>
          <w:rFonts w:ascii="Times New Roman;sans-serif" w:hAnsi="Times New Roman;sans-serif"/>
          <w:b w:val="false"/>
          <w:color w:val="000000"/>
          <w:sz w:val="20"/>
        </w:rPr>
        <w:t>As of March 31, 2025 and December 31, 2024, the combined fair value of warrant liabilities was $1.6 million and $5.0 million, respectively. The Company recognized gains of $3.4 million and $0.3 million as a Change in fair value of warrant liabilities in the Condensed Consolidated Statements of Operations and Comprehensive Loss</w:t>
      </w:r>
      <w:r>
        <w:rPr>
          <w:color w:val="000000"/>
        </w:rPr>
        <w:t xml:space="preserve"> </w:t>
      </w:r>
      <w:r>
        <w:rPr>
          <w:rFonts w:ascii="Times New Roman;sans-serif" w:hAnsi="Times New Roman;sans-serif"/>
          <w:b w:val="false"/>
          <w:color w:val="000000"/>
          <w:sz w:val="20"/>
        </w:rPr>
        <w:t xml:space="preserve">for the three months ended March 31, 2025 and 2024, respectively. </w:t>
      </w:r>
      <w:r>
        <w:rPr>
          <w:rFonts w:ascii="Times New Roman;sans-serif" w:hAnsi="Times New Roman;sans-serif"/>
          <w:b w:val="false"/>
          <w:color w:val="000000"/>
          <w:sz w:val="20"/>
          <w:shd w:fill="FFFFFF" w:val="clear"/>
        </w:rPr>
        <w:t xml:space="preserve">There were no exercises or redemptions of the Public Warrants or Private Warrants during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or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For further details regarding the warrant liabilities, please refer to </w:t>
      </w:r>
      <w:hyperlink w:anchor="i4636a994e10c426c9213f0b844f89df1_46">
        <w:r>
          <w:rPr>
            <w:rStyle w:val="InternetLink"/>
          </w:rPr>
          <w:t xml:space="preserve">Note </w:t>
        </w:r>
      </w:hyperlink>
      <w:hyperlink w:anchor="i4636a994e10c426c9213f0b844f89df1_46">
        <w:r>
          <w:rPr>
            <w:rStyle w:val="InternetLink"/>
          </w:rPr>
          <w:t>4</w:t>
        </w:r>
      </w:hyperlink>
      <w:hyperlink w:anchor="i4636a994e10c426c9213f0b844f89df1_46">
        <w:r>
          <w:rPr>
            <w:rStyle w:val="InternetLink"/>
          </w:rPr>
          <w:t>. Fair Value of Financial Instruments</w:t>
        </w:r>
      </w:hyperlink>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12. Net Loss Per Share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presents both basic earnings per share (“EPS”) and diluted EPS. Basic and diluted net loss per share was the same for each period presented as the inclusion of all common share equivalents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following table presents the calculations for the </w:t>
      </w:r>
      <w:r>
        <w:rPr>
          <w:rFonts w:ascii="Times New Roman;sans-serif" w:hAnsi="Times New Roman;sans-serif"/>
          <w:b w:val="false"/>
          <w:color w:val="000000"/>
          <w:sz w:val="20"/>
        </w:rPr>
        <w:t>three months</w:t>
      </w:r>
      <w:r>
        <w:rPr>
          <w:color w:val="000000"/>
          <w:shd w:fill="FFFFFF" w:val="clear"/>
        </w:rPr>
        <w:t xml:space="preserve"> </w:t>
      </w:r>
      <w:r>
        <w:rPr>
          <w:rFonts w:ascii="Times New Roman;sans-serif" w:hAnsi="Times New Roman;sans-serif"/>
          <w:b w:val="false"/>
          <w:color w:val="000000"/>
          <w:sz w:val="20"/>
          <w:shd w:fill="FFFFFF" w:val="clear"/>
        </w:rPr>
        <w:t xml:space="preserve">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of basic and diluted net loss per share for the Company’s common stock (in thousands, except per share amounts):</w:t>
      </w:r>
    </w:p>
    <w:tbl>
      <w:tblPr>
        <w:tblW w:w="9327" w:type="dxa"/>
        <w:jc w:val="left"/>
        <w:tblInd w:w="0" w:type="dxa"/>
        <w:tblLayout w:type="fixed"/>
        <w:tblCellMar>
          <w:top w:w="28" w:type="dxa"/>
          <w:left w:w="28" w:type="dxa"/>
          <w:bottom w:w="28" w:type="dxa"/>
          <w:right w:w="28" w:type="dxa"/>
        </w:tblCellMar>
      </w:tblPr>
      <w:tblGrid>
        <w:gridCol w:w="2370"/>
        <w:gridCol w:w="2081"/>
        <w:gridCol w:w="2104"/>
        <w:gridCol w:w="224"/>
        <w:gridCol w:w="848"/>
        <w:gridCol w:w="116"/>
        <w:gridCol w:w="116"/>
        <w:gridCol w:w="116"/>
        <w:gridCol w:w="116"/>
        <w:gridCol w:w="224"/>
        <w:gridCol w:w="848"/>
        <w:gridCol w:w="164"/>
      </w:tblGrid>
      <w:tr>
        <w:trPr/>
        <w:tc>
          <w:tcPr>
            <w:tcW w:w="2370"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(19,474)</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basic and diluted EPS - loss attributable to common stockholders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182,303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141,773</w:t>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and diluted EPS - weighted-average common stock</w:t>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182,303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141,773</w:t>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Net loss per share attributable to Class A and Class B common stockholders was the same on a basic and diluted basis, as the inclusion of all potential common equivalent shares outstanding would have been anti-dilutive. The following potential dilutive shares were excluded from the calculation of diluted net loss per share because their effect would be anti-dilutive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 (in thousands)</w:t>
      </w:r>
      <w:r>
        <w:rPr>
          <w:rFonts w:ascii="Times New Roman;sans-serif" w:hAnsi="Times New Roman;sans-serif"/>
          <w:b w:val="false"/>
          <w:color w:val="000000"/>
          <w:sz w:val="20"/>
          <w:shd w:fill="FFFFFF" w:val="clear"/>
        </w:rPr>
        <w:t>:</w:t>
      </w:r>
    </w:p>
    <w:tbl>
      <w:tblPr>
        <w:tblW w:w="7743" w:type="dxa"/>
        <w:jc w:val="left"/>
        <w:tblInd w:w="0" w:type="dxa"/>
        <w:tblLayout w:type="fixed"/>
        <w:tblCellMar>
          <w:top w:w="28" w:type="dxa"/>
          <w:left w:w="28" w:type="dxa"/>
          <w:bottom w:w="28" w:type="dxa"/>
          <w:right w:w="28" w:type="dxa"/>
        </w:tblCellMar>
      </w:tblPr>
      <w:tblGrid>
        <w:gridCol w:w="1446"/>
        <w:gridCol w:w="1268"/>
        <w:gridCol w:w="1275"/>
        <w:gridCol w:w="762"/>
        <w:gridCol w:w="319"/>
        <w:gridCol w:w="294"/>
        <w:gridCol w:w="294"/>
        <w:gridCol w:w="294"/>
        <w:gridCol w:w="294"/>
        <w:gridCol w:w="762"/>
        <w:gridCol w:w="319"/>
        <w:gridCol w:w="416"/>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 to purchase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19,612,245 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22,101,807 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restricted stock units</w:t>
            </w:r>
          </w:p>
        </w:tc>
        <w:tc>
          <w:tcPr>
            <w:tcW w:w="10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14,852,679 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6,152,344 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3,968,319 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3,968,319 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38,433,243 </w:t>
            </w:r>
          </w:p>
        </w:tc>
        <w:tc>
          <w:tcPr>
            <w:tcW w:w="2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32,222,470 </w:t>
            </w:r>
          </w:p>
        </w:tc>
        <w:tc>
          <w:tcPr>
            <w:tcW w:w="4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Restructuring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committed to organizational restructurings during the fourth quarter of 2024, designed to decrease its costs and create a more streamlined organization to support its business. Restructuring liabilities were $0.3 million and $0.7 million as of March 31, 2025 and December 31, 2024, respectively. These liabilities are included in Accrued expenses and other current liabilities in the Condensed Consolidated Balance Sheets.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restructuring costs, primarily for cash severance and other severance costs, are allocated to the following operating expense categories as follows (in thousands):</w:t>
      </w:r>
    </w:p>
    <w:tbl>
      <w:tblPr>
        <w:tblW w:w="10205" w:type="dxa"/>
        <w:jc w:val="left"/>
        <w:tblInd w:w="0" w:type="dxa"/>
        <w:tblLayout w:type="fixed"/>
        <w:tblCellMar>
          <w:top w:w="28" w:type="dxa"/>
          <w:left w:w="28" w:type="dxa"/>
          <w:bottom w:w="28" w:type="dxa"/>
          <w:right w:w="28" w:type="dxa"/>
        </w:tblCellMar>
      </w:tblPr>
      <w:tblGrid>
        <w:gridCol w:w="1159"/>
        <w:gridCol w:w="1003"/>
        <w:gridCol w:w="1010"/>
        <w:gridCol w:w="109"/>
        <w:gridCol w:w="109"/>
        <w:gridCol w:w="109"/>
        <w:gridCol w:w="610"/>
        <w:gridCol w:w="1350"/>
        <w:gridCol w:w="316"/>
        <w:gridCol w:w="109"/>
        <w:gridCol w:w="109"/>
        <w:gridCol w:w="109"/>
        <w:gridCol w:w="788"/>
        <w:gridCol w:w="1742"/>
        <w:gridCol w:w="411"/>
        <w:gridCol w:w="109"/>
        <w:gridCol w:w="109"/>
        <w:gridCol w:w="109"/>
        <w:gridCol w:w="211"/>
        <w:gridCol w:w="466"/>
        <w:gridCol w:w="158"/>
      </w:tblGrid>
      <w:tr>
        <w:trPr/>
        <w:tc>
          <w:tcPr>
            <w:tcW w:w="115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Cash payments and other adjustments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0"/>
        </w:rPr>
        <w:t>Cash payments and other adjustments include charges related to health care coverage for a specified period of time after separation.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restructuring activities were complete as of December 31, 2024. The Company does not expect to incur additional charges associated with these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Income Taxes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Income taxes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 xml:space="preserve">were recorded at the Company’s estimated annual effective income tax rate, subject to adjustments for discrete events, if they occur. The Company’s estimated annual effective tax rate was </w:t>
      </w:r>
      <w:r>
        <w:rPr>
          <w:rFonts w:ascii="Times New Roman;sans-serif" w:hAnsi="Times New Roman;sans-serif"/>
          <w:b w:val="false"/>
          <w:color w:val="000000"/>
          <w:sz w:val="20"/>
        </w:rPr>
        <w:t>(0.06)%</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0.00%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 respectively.</w:t>
      </w:r>
      <w:r>
        <w:rPr>
          <w:color w:val="000000"/>
          <w:shd w:fill="FFFFFF" w:val="clear"/>
        </w:rPr>
        <w:t xml:space="preserve"> </w:t>
      </w:r>
      <w:r>
        <w:rPr>
          <w:rFonts w:ascii="Times New Roman;sans-serif" w:hAnsi="Times New Roman;sans-serif"/>
          <w:b w:val="false"/>
          <w:color w:val="000000"/>
          <w:sz w:val="20"/>
          <w:shd w:fill="FFFFFF" w:val="clear"/>
        </w:rPr>
        <w:t>The primary reconciling items between the federal statutory rate of 21.0% and the Company’s overall effective tax rates</w:t>
      </w:r>
      <w:r>
        <w:rPr>
          <w:color w:val="000000"/>
        </w:rPr>
        <w:t xml:space="preserve"> </w:t>
      </w:r>
      <w:r>
        <w:rPr>
          <w:rFonts w:ascii="Times New Roman;sans-serif" w:hAnsi="Times New Roman;sans-serif"/>
          <w:b w:val="false"/>
          <w:color w:val="000000"/>
          <w:sz w:val="20"/>
          <w:shd w:fill="FFFFFF" w:val="clear"/>
        </w:rPr>
        <w:t xml:space="preserve">for these periods were related to the effects of deferred state income taxes, stock-based compensation, changes in the fair value of warrant liabilities, research and development credits and the valuation allowance recorded against the full amount of the Company’s net deferred tax assets. In addition to the previously mentioned reconciling items, the reconciling items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also included foreign taxes.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Management believes that based on the earnings history of the Company, it is more likely than not that the benefits of these assets will not be realized, and therefore, a full valuation allowance has been recorded against the Company’s net deferred tax assets 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15. Segment Information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Quantum-Si is a life sciences company focused on proteomics research, with the mission of transforming single-molecule analysis and democratizing its use by providing researchers and clinicians access to the proteome, the set of proteins expressed within a cell. Our platform includes our Platinum NGPS instrument, Platinum Analysis Software, and consumable kits for use with our Platinum line of instruments.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Chief Operating Decision Maker (the “CODM”), its Chief Executive Officer, reviews financial information presented on a consolidated basis for purposes of assessing financial performance, making operating decisions and allocating resources. Accordingly, the Company has determined that it operates as a single reportable segment. The CODM utilizes the Company’s long-range plan, which includes product development roadmaps and long-range financial models, as a key input to resource allocation. The CODM makes decisions on resource allocation, assesses the performance of the business, and monitors budget versus actual results on a consolidated basis using loss from operations as reported on the Condensed Consolidated Statements of Operations and Comprehensive Loss. Net loss and the change in cash and cash equivalents and marketable securities are also measures that are considered in monitoring budget versus actual results.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Significant expenses within loss from operations, as well as within net loss, include research and development, and selling, general and administrative expenses, which are each separately presented on the Company’s Condensed Consolidated Statements of Operations and Comprehensive Loss.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revenue is derived from sales of products and services. Product revenue is primarily generated from the sales of instruments and consumables used in protein sequencing and analysis. Service revenue is primarily generated from service maintenance contracts including access to analysis software and advanced training for instrument use.</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Total revenue generated from domestic and international sales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is as follows (in thousands):</w:t>
      </w:r>
    </w:p>
    <w:tbl>
      <w:tblPr>
        <w:tblW w:w="4016" w:type="dxa"/>
        <w:jc w:val="left"/>
        <w:tblInd w:w="0" w:type="dxa"/>
        <w:tblLayout w:type="fixed"/>
        <w:tblCellMar>
          <w:top w:w="28" w:type="dxa"/>
          <w:left w:w="28" w:type="dxa"/>
          <w:bottom w:w="28" w:type="dxa"/>
          <w:right w:w="28" w:type="dxa"/>
        </w:tblCellMar>
      </w:tblPr>
      <w:tblGrid>
        <w:gridCol w:w="451"/>
        <w:gridCol w:w="395"/>
        <w:gridCol w:w="399"/>
        <w:gridCol w:w="301"/>
        <w:gridCol w:w="665"/>
        <w:gridCol w:w="155"/>
        <w:gridCol w:w="155"/>
        <w:gridCol w:w="155"/>
        <w:gridCol w:w="155"/>
        <w:gridCol w:w="301"/>
        <w:gridCol w:w="665"/>
        <w:gridCol w:w="219"/>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16. Related Party Transactions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was a party to the Amended and Restated Technology Services Agreement (the “ARTSA”), most recently amended on November 11, 2020, by and among 4Catalyzer Corporation (“4C”), the Company and other participant companies controlled by Dr. Jonathan Rothberg, the Chairman of the Company’s Board of Directors. The Company entered into a First Addendum to the ARTSA on February 17, 2021 pursuant to which the Company agreed to terminate its participation under the ARTSA no later than immediately prior to the effective time of the Business Combination, resulting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termination of the Company’s participation under the ARTSA on June 10, 2021. In connection with the termination of the Company’s participation under the ARTSA, the Company terminated its existing arm’s length lease agreement with 4C and negotiated an arm’s length lease agreement.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Company incurred expenses paid to 4C of </w:t>
      </w:r>
      <w:r>
        <w:rPr>
          <w:rFonts w:ascii="Times New Roman;sans-serif" w:hAnsi="Times New Roman;sans-serif"/>
          <w:b w:val="false"/>
          <w:color w:val="000000"/>
          <w:sz w:val="20"/>
        </w:rPr>
        <w:t xml:space="preserve">$0.1 million </w:t>
      </w:r>
      <w:r>
        <w:rPr>
          <w:rFonts w:ascii="Times New Roman;sans-serif" w:hAnsi="Times New Roman;sans-serif"/>
          <w:b w:val="false"/>
          <w:color w:val="000000"/>
          <w:sz w:val="20"/>
          <w:shd w:fill="FFFFFF" w:val="clear"/>
        </w:rPr>
        <w:t xml:space="preserve">for both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m</w:t>
      </w:r>
      <w:r>
        <w:rPr>
          <w:rFonts w:ascii="Times New Roman;sans-serif" w:hAnsi="Times New Roman;sans-serif"/>
          <w:b w:val="false"/>
          <w:color w:val="000000"/>
          <w:sz w:val="20"/>
        </w:rPr>
        <w:t xml:space="preserve">onths ended March 31, 2025 and 2024. These expenses included amounts for month-to-month sublease arrangements for office and laboratory spaces from 4C and certain administrative expenses. These amounts </w:t>
      </w:r>
      <w:r>
        <w:rPr>
          <w:rFonts w:ascii="Times New Roman;sans-serif" w:hAnsi="Times New Roman;sans-serif"/>
          <w:b w:val="false"/>
          <w:color w:val="000000"/>
          <w:sz w:val="20"/>
          <w:shd w:fill="FFFFFF" w:val="clear"/>
        </w:rPr>
        <w:t xml:space="preserve">are included in Selling, general and administrative expenses in the Condensed Consolidated Statements of Operations and Comprehensive Loss. As of both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 xml:space="preserve">amounts due to 4C were </w:t>
      </w:r>
      <w:r>
        <w:rPr>
          <w:rFonts w:ascii="Times New Roman;sans-serif" w:hAnsi="Times New Roman;sans-serif"/>
          <w:b w:val="false"/>
          <w:color w:val="000000"/>
          <w:sz w:val="20"/>
        </w:rPr>
        <w:t>immaterial</w:t>
      </w:r>
      <w:r>
        <w:rPr>
          <w:rFonts w:ascii="Times New Roman;sans-serif" w:hAnsi="Times New Roman;sans-serif"/>
          <w:b w:val="false"/>
          <w:color w:val="000000"/>
          <w:sz w:val="20"/>
          <w:shd w:fill="FFFFFF" w:val="clear"/>
        </w:rPr>
        <w:t xml:space="preserve">. </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ARTSA also provided for the participant companies to provide other services to each other. As of both </w:t>
      </w:r>
      <w:r>
        <w:rPr>
          <w:rFonts w:ascii="Times New Roman;sans-serif" w:hAnsi="Times New Roman;sans-serif"/>
          <w:b w:val="false"/>
          <w:color w:val="000000"/>
          <w:sz w:val="20"/>
        </w:rPr>
        <w:t>March 31, 2025 and December 31, 2024, t</w:t>
      </w:r>
      <w:r>
        <w:rPr>
          <w:rFonts w:ascii="Times New Roman;sans-serif" w:hAnsi="Times New Roman;sans-serif"/>
          <w:b w:val="false"/>
          <w:color w:val="000000"/>
          <w:sz w:val="20"/>
          <w:shd w:fill="FFFFFF" w:val="clear"/>
        </w:rPr>
        <w:t xml:space="preserve">here were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amounts payable to or from the Company related to these services.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Effective November 1, 2022, the Company entered into an Advisory Agreement with Dr. Rothberg (the “Advisory Agreement”), pursuant to which Dr. Rothberg previously served as Chairman of the Board, advises the Chief Executive Officer and the Board on strategic matters, and provides consulting, business development and similar services on matters relating to the Company’s current, future and potential scientific and strategic initiatives and such other consulting services reasonably requested from time to time. Pursuant to the Advisory Agreement, as compensation for the services provided, in March 2023, the Company granted Dr. Rothberg an option to purchase 250,000 shares of Class A common stock pursuant to the 2021 Plan. In connection with the Advisory Agreement, Dr. Rothberg’s title was changed from Executive Chairman to Chairman of the Board. Subsequently, in May 2024, with Charles Kummeth’s appointment as Chairman of the Board, Dr. Rothberg’s title was changed from Chairman of the Board to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17. Commitments and Contingencies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Commitments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Licenses related to certain intellectual property:</w:t>
      </w:r>
    </w:p>
    <w:p>
      <w:pPr>
        <w:pStyle w:val="TextBody"/>
        <w:bidi w:val="0"/>
        <w:spacing w:lineRule="auto" w:line="288" w:before="240" w:after="283"/>
        <w:jc w:val="both"/>
        <w:rPr/>
      </w:pPr>
      <w:r>
        <w:rPr>
          <w:rFonts w:ascii="Times New Roman;sans-serif" w:hAnsi="Times New Roman;sans-serif"/>
          <w:b w:val="false"/>
          <w:color w:val="000000"/>
          <w:sz w:val="20"/>
        </w:rPr>
        <w:t>The Company licenses certain intellectual property, some of which may be utilized in its current or future product offerings. To preserve the right to use such intellectual property, the Company is required to make annual minimum fixed payments totaling approximately $0.2 million as well as royalties based on net sales if the royalties exceed annual minimum fixed payments. As of March 31, 2025 and December 31, 2024, the Company had accrued royalties of approximately $0.1 million and $0.2 million</w:t>
      </w:r>
      <w:r>
        <w:rPr>
          <w:color w:val="000000"/>
        </w:rPr>
        <w:t xml:space="preserve"> </w:t>
      </w:r>
      <w:r>
        <w:rPr>
          <w:rFonts w:ascii="Times New Roman;sans-serif" w:hAnsi="Times New Roman;sans-serif"/>
          <w:b w:val="false"/>
          <w:color w:val="000000"/>
          <w:sz w:val="20"/>
        </w:rPr>
        <w:t>included in Accrued expenses and other current liabilities in the Condensed Consolidated Balance Sheets.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commitments: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Company sponsors a 401(k) defined contribution plan covering all eligible U.S. employees (the “401(k) Plan”). Contributions to the 401(k) Plan are discretionary. The Company did not make any matching contributions to the 401(k) Plan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Contingencies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subject to claims in the ordinary course of business. Except as discussed below, the Company is not currently a party to any pending or threatened litigation, the outcome of which would be expected to have a material adverse effect on its financial condition, results of operations, or cash flows. The Company discloses contingent liabilities even if the liability is not probable or estimable, or both, if there is a reasonable possibility that a material loss may have been incurred.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May 16, 2024, a punitive class action lawsuit was filed in the Delaware Court of Chancery, styled Farzad v. HighCape Capital, et al. (the “Delaware Stockholder Litigation”). The Delaware Stockholder Litigation asserts breach of fiduciary duty claims against the former officers and directors of HighCape, including Kevin Rakin, Matt Zuga, David Colpman,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shd w:fill="FFFFFF" w:val="clear"/>
        </w:rPr>
        <w:t>Robert Taub and Antony Loebel, HighCape Capital Acquisition LLC and HighCape Capital L.P., aiding and abetting breach of fiduciary duty claims against Foresite Capital Management, LLC and Dr. Rothberg, and unjust enrichment claims against all defendants related to the Business Combination. The Delaware Stockholder Litigation complaint alleges that the transactions contemplated by the Business Combination were a product of an unfair process which was allegedly impacted by conflicts of interest, resulting in mispricing of the Business Combination. The complaint seeks, among other things, unspecified damages and attorneys’ fees and costs.</w:t>
      </w:r>
      <w:r>
        <w:rPr>
          <w:color w:val="000000"/>
        </w:rPr>
        <w:t xml:space="preserve"> </w:t>
      </w:r>
      <w:r>
        <w:rPr>
          <w:rFonts w:ascii="Times New Roman;sans-serif" w:hAnsi="Times New Roman;sans-serif"/>
          <w:b w:val="false"/>
          <w:color w:val="000000"/>
          <w:sz w:val="20"/>
          <w:shd w:fill="FFFFFF" w:val="clear"/>
        </w:rPr>
        <w:t>As of May 15, 2025, the parties were working through various motions associated with the case and no trial date has been set. Quantum-Si, as part of the Business Combination, had previously agreed to indemnify certain of the defendants related to actions such as the Delaware Stockholder Litigation to the extent allowable by law. There is no assurance that defendants will be successful in the defense of the litigation or that insurance will be available or adequate to fund any potential settlement or judgment or the litigation costs of the action. Further, since the Quantum-Si has indemnified certain of the defendants to the extent allowable by law, there is no guarantee that insurance available to Quantum-Si will be available or adequate to fund any potential settlement or judgment or related costs associated with the indemnified parties. At the time of this filing, the outcome of this matter is not estimable or probable.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April 2023, the Company informed the contract manufacturer that had manufactured the Platinum and another development product, Carbon™, that it intended to wind down the relationship and transition to a different contract manufacturer. In October 2023, the former contract manufacturer filed a complaint against the Company in the State of Texas alleging breach of contract and made claims for economic damage and attorney costs. In January 2024, the suit was withdrawn and refiled in the State of Minnesota alleging similar claims. The Company denied all liability and countersued alleging claims of negligence. In February 2025, the court ordered mandatory non-binding settlement conference to take place on June 27, 2025. Although it is not possible to determine the potential financial exposure associated with the alleged claim at this time given its early stage, the Company believes it has a meritorious defense and intends to vigorously defend against all claims asserted in the complaint. At the time of this filing, the outcome of this matter is not estimable or probable.</w:t>
      </w:r>
    </w:p>
    <w:p>
      <w:pPr>
        <w:pStyle w:val="TextBody"/>
        <w:bidi w:val="0"/>
        <w:spacing w:lineRule="auto" w:line="288" w:before="240" w:after="283"/>
        <w:jc w:val="both"/>
        <w:rPr/>
      </w:pPr>
      <w:r>
        <w:rPr>
          <w:rFonts w:ascii="Times New Roman;sans-serif" w:hAnsi="Times New Roman;sans-serif"/>
          <w:b w:val="false"/>
          <w:color w:val="000000"/>
          <w:sz w:val="20"/>
        </w:rPr>
        <w:t xml:space="preserve">In December 2021, the Company signed a 10-year lease for approximately 67,000 square feet of space in New Haven, Connecticut. The lease commenced on January 8, 2022 with rent payments beginning on July 7, 2022. Under the lease, the landlord contractually agreed to reimburse the Company for up to $9.1 million in improvements to the space, to be used for such improvements as the Company deems “necessary or desirable”. On September 13, 2022, the Company filed a lawsuit against the landlord, alleging that the landlord has: (i) refused to reimburse the Company for costs related to improvements already incurred and submitted, (ii) delayed the Company’s completion of improvements, in order to avoid reimbursing the costs of those improvements, and (iii) improperly rejected the Company’s proposed improvement plans. The Company accounted for these lease incentives as an offset to the lease liability recorded at the inception of the lease. In September 2024, the Company determined there was a change in the estimated timing of receipt of reimbursements for the improvements. This resulted in an increase of the carrying value of the right-of-use asset and the corresponding lease liabilities of $1.0 million. Although the Company believes it is contractually entitled to the $9.1 million of lease incentives, based on the current </w:t>
      </w:r>
      <w:r>
        <w:rPr>
          <w:rFonts w:ascii="Times New Roman;sans-serif" w:hAnsi="Times New Roman;sans-serif"/>
          <w:b w:val="false"/>
          <w:color w:val="000000"/>
          <w:sz w:val="20"/>
          <w:shd w:fill="FFFFFF" w:val="clear"/>
        </w:rPr>
        <w:t>status of the litigation, the Company cannot determine the likely outcome or estimate the impact on such carrying values.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Condensed Consolidated Statements of Operations and Comprehensive Loss in connection with the indemnification provisions have not been material.</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following discussion and analysis provides information which management believes is relevant to an assessment and understanding of our condensed consolidated results of operations and financial condition. The discussion should be read in conjunction with (i) the unaudited Condensed Consolidated Financial Statements and notes thereto contained in this Quarterly Report on Form 10-Q, (ii) the Consolidated Financial Statements and notes thereto for the year ended December 31, 2024 contained in our Annual Report on Form 10-K for the year ended December 31, 2024, filed with the Securities and Exchange Commission (the “SEC”) on March 3, 2025, and (iii) our other public reports filed with the SEC. This discussion contains forward looking statements and involves numerous risks and uncertainties, including, but not limited to, those described in the “Risk Factors” section of our Annual Report on Form 10-K for the year ended December 31, 2024 and this Quarterly Report on Form 10-Q. Actual results may differ materially from those contained in any forward-looking statements. Unless the context otherwise requires, references to “we”, “us”, “our”, the “Company” or “Quantum-Si” are intended to mean the business and operations of Quantum-Si Incorporated and its consolidated subsidiaries. The unaudited Condensed Consolidated Financial Statements for the three months ended March 31, 2025 and 2024 present the financial position and results of operations of Quantum-Si Incorporated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We are a life sciences company focused on proteomics research, with the mission of transforming single-molecule analysis and democratizing its use by providing researchers and clinicians access to the proteome, the set of proteins expressed within a cell. We have developed a proprietary universal single-molecule detection platform that we are applying to proteomics to enable Next-Gen Protein Sequencing</w:t>
      </w:r>
      <w:r>
        <w:rPr>
          <w:rFonts w:ascii="Times New Roman;sans-serif" w:hAnsi="Times New Roman;sans-serif"/>
          <w:b w:val="false"/>
          <w:color w:val="000000"/>
          <w:sz w:val="13"/>
          <w:shd w:fill="FFFFFF" w:val="clear"/>
        </w:rPr>
        <w:t>TM</w:t>
      </w:r>
      <w:r>
        <w:rPr>
          <w:color w:val="000000"/>
          <w:shd w:fill="FFFFFF" w:val="clear"/>
        </w:rPr>
        <w:t xml:space="preserve"> </w:t>
      </w:r>
      <w:r>
        <w:rPr>
          <w:rFonts w:ascii="Times New Roman;sans-serif" w:hAnsi="Times New Roman;sans-serif"/>
          <w:b w:val="false"/>
          <w:color w:val="000000"/>
          <w:sz w:val="20"/>
          <w:shd w:fill="FFFFFF" w:val="clear"/>
        </w:rPr>
        <w:t>(“NGPS”), to sequence proteins in a massively parallel fashion (rather than sequentially, one at a time), which can also be used for the study of nucleic acids. We believe that the ability to sequence proteins in a massively parallel fashion and offer a fast analysis time provides NGPS with the potential to unlock significant biological information through improved resolution and unbiased access to the proteome at a speed and scale that is not available today. Traditionally, proteomic workflows to sequence proteins required days or weeks to complete. Our platform includes our Platinum NGPS instrument, Platinum Analysis Software, and consumable kits for use with our Platinum line of instruments. In 2021, we introduced our Platinum early access program to sites with participation from leading academic centers and key industry partners. The early access program introduced the Platinum single-molecule sequencing system to key opinion leaders across the globe for both expansion and development of applications and workflows. We began a controlled launch of the Platinum instrument and started to take orders in December 2022, and subsequently began a controlled commercial launch of Platinum in January 2023, and then moved to a full commercial launch of Platinum beginning the second quarter of 2024.</w:t>
      </w:r>
      <w:r>
        <w:rPr>
          <w:color w:val="000000"/>
        </w:rPr>
        <w:t xml:space="preserve"> </w:t>
      </w:r>
      <w:r>
        <w:rPr>
          <w:rFonts w:ascii="Times New Roman;sans-serif" w:hAnsi="Times New Roman;sans-serif"/>
          <w:b w:val="false"/>
          <w:color w:val="000000"/>
          <w:sz w:val="20"/>
        </w:rPr>
        <w:t>In January 2025, we announced the launch of our Platinum Pro benchtop sequencer. First shipments of Platinum Pro occurred in March 2025.</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Going forward, we intend to follow a systematic, phased approach to continue to successfully launch updates and enhancements to our platform which can include improvements to our hardware, software and chemistry that works together to produce the overall platform.</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our platform offers a differentiated solution in a rapidly evolving proteomics tools market. Within our initial focus market of proteomics, our platform is designed to provide users a seamless opportunity to gain key insights into the immediate state of biological pathways and cell state. Our platform aims to address many of the key challenges and bottlenecks with legacy proteomic solutions, such as mass spectrometry (“MS”), which include high instrument costs both in terms of acquisition and ownership, and complexity with data analysis, which together limit broad adoption. We believe our platform, which is designed to streamline sequencing and data analysis at a lower instrument cost and with greater automation than legacy proteomic solutions, could allow our product to have wide utility across the study of the proteome. For example, our platform could be used for biomarker discovery and disease detection, pathway analysis, immune response, vaccine development, quality assurance and quality control, among other applications.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Restructuring</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In November 2024, we announced that we committed to an organizational restructuring program designed to streamline and focus our overall corporate resources, as well as align required resources to focus on future product development objectives, including our recently announced Proteus™ platform. As a result, we terminated approximately 23% of our 187 employee workforce. In connection with the restructurin</w:t>
      </w:r>
      <w:r>
        <w:rPr>
          <w:rFonts w:ascii="Times New Roman;sans-serif" w:hAnsi="Times New Roman;sans-serif"/>
          <w:b w:val="false"/>
          <w:color w:val="000000"/>
          <w:sz w:val="20"/>
        </w:rPr>
        <w:t>g, we recognized one-time cash charges related to severance and other benefits of approximately $2.3 million in the fourth quarter of 2024. We</w:t>
      </w:r>
      <w:r>
        <w:rPr>
          <w:color w:val="000000"/>
          <w:shd w:fill="FFFFFF" w:val="clear"/>
        </w:rPr>
        <w:t xml:space="preserve"> </w:t>
      </w:r>
      <w:r>
        <w:rPr>
          <w:rFonts w:ascii="Times New Roman;sans-serif" w:hAnsi="Times New Roman;sans-serif"/>
          <w:b w:val="false"/>
          <w:color w:val="000000"/>
          <w:sz w:val="20"/>
          <w:shd w:fill="FFFFFF" w:val="clear"/>
        </w:rPr>
        <w:t xml:space="preserve">may also incur additional costs not currently contemplated due to events that may occur as a result of, or that are associated with, the restructuring. </w:t>
      </w:r>
      <w:r>
        <w:rPr>
          <w:rFonts w:ascii="Times New Roman;sans-serif" w:hAnsi="Times New Roman;sans-serif"/>
          <w:b w:val="false"/>
          <w:color w:val="000000"/>
          <w:sz w:val="20"/>
        </w:rPr>
        <w:t xml:space="preserve">Our restructuring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rPr>
        <w:t xml:space="preserve">activities were complete as of December 31, 2024 and we do not expect to incur additional charges associated with these activities. </w:t>
      </w:r>
      <w:r>
        <w:rPr>
          <w:rFonts w:ascii="Times New Roman;sans-serif" w:hAnsi="Times New Roman;sans-serif"/>
          <w:b w:val="false"/>
          <w:color w:val="000000"/>
          <w:sz w:val="20"/>
          <w:shd w:fill="FFFFFF" w:val="clear"/>
        </w:rPr>
        <w:t xml:space="preserve">For further information regarding our restructuring activities, please refer to </w:t>
      </w:r>
      <w:hyperlink w:anchor="i4636a994e10c426c9213f0b844f89df1_70">
        <w:r>
          <w:rPr>
            <w:rStyle w:val="InternetLink"/>
            <w:rFonts w:ascii="Times New Roman;sans-serif" w:hAnsi="Times New Roman;sans-serif"/>
            <w:b w:val="false"/>
            <w:color w:val="0000FF"/>
            <w:sz w:val="20"/>
            <w:u w:val="single"/>
            <w:shd w:fill="FFFFFF" w:val="clear"/>
          </w:rPr>
          <w:t>Note 13. Restructuring</w:t>
        </w:r>
      </w:hyperlink>
      <w:r>
        <w:rPr>
          <w:rFonts w:ascii="Times New Roman;sans-serif" w:hAnsi="Times New Roman;sans-serif"/>
          <w:b w:val="false"/>
          <w:color w:val="000000"/>
          <w:sz w:val="20"/>
          <w:shd w:fill="FFFFFF" w:val="clear"/>
        </w:rPr>
        <w:t>.</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Equity Transaction</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On January 3, 2025, we entered into a securities purchase agreement with certain institutional investors pursuant to which we agreed to issue and sell, in a registered direct offering (the “Registered Direct Offering”) an aggregate of 15,625,000 shares of our Class A common stock at a price of $3.20 per share. The gross proceeds from the Registered Direct Offering were $50.0 million. After deducting estimated placement agents’ fees and other offering expenses payable by the Company, net proceeds recorded during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were approximately $46.8 million.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For further information regarding our equity transaction, please refer to the </w:t>
      </w:r>
      <w:hyperlink w:anchor="i4636a994e10c426c9213f0b844f89df1_121">
        <w:r>
          <w:rPr>
            <w:rStyle w:val="InternetLink"/>
            <w:rFonts w:ascii="Times New Roman;sans-serif" w:hAnsi="Times New Roman;sans-serif"/>
            <w:b w:val="false"/>
            <w:color w:val="0000FF"/>
            <w:sz w:val="20"/>
            <w:u w:val="single"/>
            <w:shd w:fill="FFFFFF" w:val="clear"/>
          </w:rPr>
          <w:t>Liquidity Outlook</w:t>
        </w:r>
      </w:hyperlink>
      <w:r>
        <w:rPr>
          <w:color w:val="000000"/>
          <w:shd w:fill="FFFFFF" w:val="clear"/>
        </w:rPr>
        <w:t xml:space="preserve"> </w:t>
      </w:r>
      <w:r>
        <w:rPr>
          <w:rFonts w:ascii="Times New Roman;sans-serif" w:hAnsi="Times New Roman;sans-serif"/>
          <w:b w:val="false"/>
          <w:color w:val="000000"/>
          <w:sz w:val="20"/>
          <w:shd w:fill="FFFFFF" w:val="clear"/>
        </w:rPr>
        <w:t>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shd w:fill="FFFFFF" w:val="clear"/>
        </w:rPr>
        <w:t xml:space="preserve">Results of Operations for the Three Months Ended </w:t>
      </w:r>
      <w:r>
        <w:rPr>
          <w:rFonts w:ascii="Times New Roman;sans-serif" w:hAnsi="Times New Roman;sans-serif"/>
          <w:b/>
          <w:color w:val="000000"/>
          <w:sz w:val="20"/>
        </w:rPr>
        <w:t>March 31, 2025</w:t>
      </w:r>
      <w:r>
        <w:rPr>
          <w:color w:val="000000"/>
          <w:shd w:fill="FFFFFF" w:val="clear"/>
        </w:rPr>
        <w:t xml:space="preserve"> </w:t>
      </w:r>
      <w:r>
        <w:rPr>
          <w:rFonts w:ascii="Times New Roman;sans-serif" w:hAnsi="Times New Roman;sans-serif"/>
          <w:b/>
          <w:color w:val="000000"/>
          <w:sz w:val="20"/>
          <w:shd w:fill="FFFFFF" w:val="clear"/>
        </w:rPr>
        <w:t xml:space="preserve">as Compared to the </w:t>
      </w:r>
      <w:r>
        <w:rPr>
          <w:rFonts w:ascii="Times New Roman;sans-serif" w:hAnsi="Times New Roman;sans-serif"/>
          <w:b/>
          <w:color w:val="000000"/>
          <w:sz w:val="20"/>
        </w:rPr>
        <w:t>Three</w:t>
      </w:r>
      <w:r>
        <w:rPr>
          <w:color w:val="000000"/>
          <w:shd w:fill="FFFFFF" w:val="clear"/>
        </w:rPr>
        <w:t xml:space="preserve"> </w:t>
      </w:r>
      <w:r>
        <w:rPr>
          <w:rFonts w:ascii="Times New Roman;sans-serif" w:hAnsi="Times New Roman;sans-serif"/>
          <w:b/>
          <w:color w:val="000000"/>
          <w:sz w:val="20"/>
          <w:shd w:fill="FFFFFF" w:val="clear"/>
        </w:rPr>
        <w:t xml:space="preserve">Months Ended </w:t>
      </w:r>
      <w:r>
        <w:rPr>
          <w:rFonts w:ascii="Times New Roman;sans-serif" w:hAnsi="Times New Roman;sans-serif"/>
          <w:b/>
          <w:color w:val="000000"/>
          <w:sz w:val="20"/>
        </w:rPr>
        <w:t>March 31, 2024</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following table presents the Condensed Consolidated Statements of Operations and Comprehensive Loss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(dollars in thousands):</w:t>
      </w:r>
    </w:p>
    <w:tbl>
      <w:tblPr>
        <w:tblW w:w="8792" w:type="dxa"/>
        <w:jc w:val="left"/>
        <w:tblInd w:w="0" w:type="dxa"/>
        <w:tblLayout w:type="fixed"/>
        <w:tblCellMar>
          <w:top w:w="28" w:type="dxa"/>
          <w:left w:w="28" w:type="dxa"/>
          <w:bottom w:w="28" w:type="dxa"/>
          <w:right w:w="28" w:type="dxa"/>
        </w:tblCellMar>
      </w:tblPr>
      <w:tblGrid>
        <w:gridCol w:w="1244"/>
        <w:gridCol w:w="1101"/>
        <w:gridCol w:w="1104"/>
        <w:gridCol w:w="211"/>
        <w:gridCol w:w="796"/>
        <w:gridCol w:w="109"/>
        <w:gridCol w:w="109"/>
        <w:gridCol w:w="109"/>
        <w:gridCol w:w="109"/>
        <w:gridCol w:w="211"/>
        <w:gridCol w:w="796"/>
        <w:gridCol w:w="109"/>
        <w:gridCol w:w="109"/>
        <w:gridCol w:w="109"/>
        <w:gridCol w:w="109"/>
        <w:gridCol w:w="241"/>
        <w:gridCol w:w="534"/>
        <w:gridCol w:w="126"/>
        <w:gridCol w:w="109"/>
        <w:gridCol w:w="109"/>
        <w:gridCol w:w="109"/>
        <w:gridCol w:w="306"/>
        <w:gridCol w:w="310"/>
        <w:gridCol w:w="613"/>
      </w:tblGrid>
      <w:tr>
        <w:trPr/>
        <w:tc>
          <w:tcPr>
            <w:tcW w:w="124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6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6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6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6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6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6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6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6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61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613"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61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and 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613"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966.1 </w:t>
            </w:r>
          </w:p>
        </w:tc>
        <w:tc>
          <w:tcPr>
            <w:tcW w:w="61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3"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61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right"/>
              <w:rPr/>
            </w:pPr>
            <w:r>
              <w:rPr>
                <w:rFonts w:ascii="Times New Roman;sans-serif" w:hAnsi="Times New Roman;sans-serif"/>
                <w:b w:val="false"/>
                <w:color w:val="000000"/>
                <w:sz w:val="20"/>
              </w:rPr>
              <w:t>nm</w:t>
            </w:r>
            <w:r>
              <w:rPr>
                <w:rFonts w:ascii="Times New Roman;sans-serif" w:hAnsi="Times New Roman;sans-serif"/>
                <w:b w:val="false"/>
                <w:color w:val="000000"/>
                <w:sz w:val="13"/>
              </w:rPr>
              <w:t>(1)</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6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pPr>
      <w:r>
        <w:rPr>
          <w:rFonts w:ascii="Times New Roman;sans-serif" w:hAnsi="Times New Roman;sans-serif"/>
          <w:b w:val="false"/>
          <w:color w:val="000000"/>
          <w:sz w:val="13"/>
        </w:rPr>
        <w:t xml:space="preserve">(1) </w:t>
      </w:r>
      <w:r>
        <w:rPr>
          <w:color w:val="000000"/>
        </w:rPr>
        <w:t>“</w:t>
      </w:r>
      <w:r>
        <w:rPr>
          <w:rFonts w:ascii="Times New Roman;sans-serif" w:hAnsi="Times New Roman;sans-serif"/>
          <w:b w:val="false"/>
          <w:color w:val="000000"/>
          <w:sz w:val="20"/>
        </w:rPr>
        <w:t>nm” indicates amount is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Revenue, Cost of Revenue and Gross Profit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Revenue is derived from sales of products and services. Product revenue is generated from the following sources: (i) sales of our Platinum line of instruments, (ii) consumables kits, including library preparation kits, sequencing kit (which includes sequencing reagents and semiconductor chips), and other related reagent kits, and (iii) freight revenue, which is 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upon shipment. Service revenue is generated from service maintenance contracts including Platinum Analysis Software access, and advanced training for instrument use.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 of revenue primarily consists of product and service costs including material costs, personnel costs and benefits, inbound and outbound freight, packaging, warranty replacement costs, royalty costs, facilities costs, depreciation and amortization expense, and inventory write-offs.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Revenue, Cost of revenue and Gross profit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are as follows (dollars in thousands):</w:t>
      </w:r>
    </w:p>
    <w:tbl>
      <w:tblPr>
        <w:tblW w:w="6732" w:type="dxa"/>
        <w:jc w:val="left"/>
        <w:tblInd w:w="0" w:type="dxa"/>
        <w:tblLayout w:type="fixed"/>
        <w:tblCellMar>
          <w:top w:w="28" w:type="dxa"/>
          <w:left w:w="28" w:type="dxa"/>
          <w:bottom w:w="28" w:type="dxa"/>
          <w:right w:w="28" w:type="dxa"/>
        </w:tblCellMar>
      </w:tblPr>
      <w:tblGrid>
        <w:gridCol w:w="660"/>
        <w:gridCol w:w="584"/>
        <w:gridCol w:w="585"/>
        <w:gridCol w:w="211"/>
        <w:gridCol w:w="466"/>
        <w:gridCol w:w="271"/>
        <w:gridCol w:w="109"/>
        <w:gridCol w:w="109"/>
        <w:gridCol w:w="109"/>
        <w:gridCol w:w="211"/>
        <w:gridCol w:w="466"/>
        <w:gridCol w:w="271"/>
        <w:gridCol w:w="109"/>
        <w:gridCol w:w="109"/>
        <w:gridCol w:w="109"/>
        <w:gridCol w:w="241"/>
        <w:gridCol w:w="534"/>
        <w:gridCol w:w="126"/>
        <w:gridCol w:w="109"/>
        <w:gridCol w:w="109"/>
        <w:gridCol w:w="109"/>
        <w:gridCol w:w="255"/>
        <w:gridCol w:w="256"/>
        <w:gridCol w:w="614"/>
      </w:tblGrid>
      <w:tr>
        <w:trPr/>
        <w:tc>
          <w:tcPr>
            <w:tcW w:w="66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Gross profit margin</w:t>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Total revenue for the sale of Platinum line of instruments, related reagent kits and service maintenance contracts increased </w:t>
      </w:r>
      <w:r>
        <w:rPr>
          <w:rFonts w:ascii="Times New Roman;sans-serif" w:hAnsi="Times New Roman;sans-serif"/>
          <w:b w:val="false"/>
          <w:color w:val="000000"/>
          <w:sz w:val="20"/>
        </w:rPr>
        <w:t>$0.4 million, or</w:t>
      </w:r>
      <w:r>
        <w:rPr>
          <w:color w:val="000000"/>
          <w:shd w:fill="FFFFFF" w:val="clear"/>
        </w:rPr>
        <w:t xml:space="preserve"> </w:t>
      </w:r>
      <w:r>
        <w:rPr>
          <w:rFonts w:ascii="Times New Roman;sans-serif" w:hAnsi="Times New Roman;sans-serif"/>
          <w:b w:val="false"/>
          <w:color w:val="000000"/>
          <w:sz w:val="20"/>
        </w:rPr>
        <w:t xml:space="preserve">84.2%,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 xml:space="preserve">March 31, 2025, </w:t>
      </w:r>
      <w:r>
        <w:rPr>
          <w:rFonts w:ascii="Times New Roman;sans-serif" w:hAnsi="Times New Roman;sans-serif"/>
          <w:b w:val="false"/>
          <w:color w:val="000000"/>
          <w:sz w:val="20"/>
          <w:shd w:fill="FFFFFF" w:val="clear"/>
        </w:rPr>
        <w:t xml:space="preserve">as compared to the same period in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The increase in revenue was due to higher sales volumes of instruments and consumables as we continue to improve our commercial sales execution.</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Total cost of revenue increased </w:t>
      </w:r>
      <w:r>
        <w:rPr>
          <w:rFonts w:ascii="Times New Roman;sans-serif" w:hAnsi="Times New Roman;sans-serif"/>
          <w:b w:val="false"/>
          <w:color w:val="000000"/>
          <w:sz w:val="20"/>
        </w:rPr>
        <w:t xml:space="preserve">$0.2 million, or 89.4%,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 xml:space="preserve">March 31, 2025, </w:t>
      </w:r>
      <w:r>
        <w:rPr>
          <w:rFonts w:ascii="Times New Roman;sans-serif" w:hAnsi="Times New Roman;sans-serif"/>
          <w:b w:val="false"/>
          <w:color w:val="000000"/>
          <w:sz w:val="20"/>
          <w:shd w:fill="FFFFFF" w:val="clear"/>
        </w:rPr>
        <w:t xml:space="preserve">as compared to the same period in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The increase in cost of revenue is in line with the increase in year-over-year revenue.</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Gross profit increased </w:t>
      </w:r>
      <w:r>
        <w:rPr>
          <w:rFonts w:ascii="Times New Roman;sans-serif" w:hAnsi="Times New Roman;sans-serif"/>
          <w:b w:val="false"/>
          <w:color w:val="000000"/>
          <w:sz w:val="20"/>
        </w:rPr>
        <w:t xml:space="preserve">$0.2 million, or 80.7%,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 as compared to the same period in 2024.</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Gross profit margin was </w:t>
      </w:r>
      <w:r>
        <w:rPr>
          <w:rFonts w:ascii="Times New Roman;sans-serif" w:hAnsi="Times New Roman;sans-serif"/>
          <w:b w:val="false"/>
          <w:color w:val="000000"/>
          <w:sz w:val="20"/>
        </w:rPr>
        <w:t>57.7%</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as compared to </w:t>
      </w:r>
      <w:r>
        <w:rPr>
          <w:rFonts w:ascii="Times New Roman;sans-serif" w:hAnsi="Times New Roman;sans-serif"/>
          <w:b w:val="false"/>
          <w:color w:val="000000"/>
          <w:sz w:val="20"/>
        </w:rPr>
        <w:t>58.9%</w:t>
      </w:r>
      <w:r>
        <w:rPr>
          <w:color w:val="000000"/>
          <w:shd w:fill="FFFFFF" w:val="clear"/>
        </w:rPr>
        <w:t xml:space="preserve"> </w:t>
      </w:r>
      <w:r>
        <w:rPr>
          <w:rFonts w:ascii="Times New Roman;sans-serif" w:hAnsi="Times New Roman;sans-serif"/>
          <w:b w:val="false"/>
          <w:color w:val="000000"/>
          <w:sz w:val="20"/>
          <w:shd w:fill="FFFFFF" w:val="clear"/>
        </w:rPr>
        <w:t xml:space="preserve">for the same period in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This change in margin was primarily based on the mix of products sold during each period and includes approximately a 7% and 10% benefit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respectively, for inventory utilized that was carried at low or no value that predates the commercial launch of our Platinum line of instruments. Our gross profit margin will continue to be impacted by this utilized inventory and has also been impacted and may continue to be impacted by inventory acquisition costs. We expect gross profit margin to be variable for the foreseeable future as we work through our continued commercialization efforts.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began a controlled launch of the Platinum instrument and started to take orders in December 2022, and subsequently began a controlled commercial launch of Platinum in January 2023, and then moved to a full commercial launch of Platinum beginning in the second quarter of 2024. In January 2025, we announced the launch of our Platinum Pro benchtop sequencer. First shipments of Platinum Pro occurred in March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Research and Development Expenses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Research and development expenses primarily consist of personnel costs and benefits, stock-based compensation, lab supplies, consulting and professional services, fabrication services, charges related to product without an alternative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use, facilities costs, software, and other outsourced expenses. Research and development expenses are recognized as incurred. Our research and development expenses are primarily related to developing new products and services.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Research and development expenses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are as follows (dollars in thousands):</w:t>
      </w:r>
    </w:p>
    <w:tbl>
      <w:tblPr>
        <w:tblW w:w="7432" w:type="dxa"/>
        <w:jc w:val="left"/>
        <w:tblInd w:w="0" w:type="dxa"/>
        <w:tblLayout w:type="fixed"/>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613"/>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Research and development expenses increased by </w:t>
      </w:r>
      <w:r>
        <w:rPr>
          <w:rFonts w:ascii="Times New Roman;sans-serif" w:hAnsi="Times New Roman;sans-serif"/>
          <w:b w:val="false"/>
          <w:color w:val="000000"/>
          <w:sz w:val="20"/>
        </w:rPr>
        <w:t>$1.6 million, or 13.4%,</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 when</w:t>
      </w:r>
      <w:r>
        <w:rPr>
          <w:color w:val="000000"/>
          <w:shd w:fill="FFFFFF" w:val="clear"/>
        </w:rPr>
        <w:t xml:space="preserve"> </w:t>
      </w:r>
      <w:r>
        <w:rPr>
          <w:rFonts w:ascii="Times New Roman;sans-serif" w:hAnsi="Times New Roman;sans-serif"/>
          <w:b w:val="false"/>
          <w:color w:val="000000"/>
          <w:sz w:val="20"/>
          <w:shd w:fill="FFFFFF" w:val="clear"/>
        </w:rPr>
        <w:t xml:space="preserve">compared to the same period in </w:t>
      </w:r>
      <w:r>
        <w:rPr>
          <w:rFonts w:ascii="Times New Roman;sans-serif" w:hAnsi="Times New Roman;sans-serif"/>
          <w:b w:val="false"/>
          <w:color w:val="000000"/>
          <w:sz w:val="20"/>
        </w:rPr>
        <w:t>2024. This increase was primarily due to a $1.7 million increase in fabrication and outsourced services, a $0.2 million increase in professional services and consulting fees and a $0.3 million net increase in other research and development expenses. These increases were partially offset by a $0.4 million decrease in payroll and payroll related costs and a $0.2 million decrease in laboratory supplies expense. In general, our research and development expenses have increased as we continue development on our recently announced Proteus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Selling, General and Administrative Expenses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Selling, general and administrative expenses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are as follows (dollars in thousands):</w:t>
      </w:r>
    </w:p>
    <w:tbl>
      <w:tblPr>
        <w:tblW w:w="7954" w:type="dxa"/>
        <w:jc w:val="left"/>
        <w:tblInd w:w="0" w:type="dxa"/>
        <w:tblLayout w:type="fixed"/>
        <w:tblCellMar>
          <w:top w:w="28" w:type="dxa"/>
          <w:left w:w="28" w:type="dxa"/>
          <w:bottom w:w="28" w:type="dxa"/>
          <w:right w:w="28" w:type="dxa"/>
        </w:tblCellMar>
      </w:tblPr>
      <w:tblGrid>
        <w:gridCol w:w="1071"/>
        <w:gridCol w:w="941"/>
        <w:gridCol w:w="943"/>
        <w:gridCol w:w="211"/>
        <w:gridCol w:w="721"/>
        <w:gridCol w:w="109"/>
        <w:gridCol w:w="109"/>
        <w:gridCol w:w="109"/>
        <w:gridCol w:w="109"/>
        <w:gridCol w:w="211"/>
        <w:gridCol w:w="721"/>
        <w:gridCol w:w="109"/>
        <w:gridCol w:w="109"/>
        <w:gridCol w:w="109"/>
        <w:gridCol w:w="109"/>
        <w:gridCol w:w="241"/>
        <w:gridCol w:w="534"/>
        <w:gridCol w:w="126"/>
        <w:gridCol w:w="109"/>
        <w:gridCol w:w="109"/>
        <w:gridCol w:w="109"/>
        <w:gridCol w:w="211"/>
        <w:gridCol w:w="211"/>
        <w:gridCol w:w="613"/>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$0.4 million, or 3.1%, for the three months ended March 31, 2025, when compared to the same period in 2024. This increase was primarily due to a $1.0 million increase in payroll and payroll related costs, which includes a $0.6 million increase in stock-based compensation expense. The remaining $0.4 million increase in payroll and payroll-related expenses includes a $0.6 million increase related to investments made in commercial operations offset by a $0.2 million reduction in general and administrative payroll and payroll related costs. These increases were partially offset by a $0.2 million decrease in legal fees, a $0.2 million decrease in depreciation and $0.3 million net decrease in other 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Dividend and Interest Income</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For the three 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dividend and interest income is derived primarily from fixed income securities and money market mutual funds.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Dividend and interest income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are as follows (dollars in thousands):</w:t>
      </w:r>
    </w:p>
    <w:tbl>
      <w:tblPr>
        <w:tblW w:w="7583" w:type="dxa"/>
        <w:jc w:val="left"/>
        <w:tblInd w:w="0" w:type="dxa"/>
        <w:tblLayout w:type="fixed"/>
        <w:tblCellMar>
          <w:top w:w="28" w:type="dxa"/>
          <w:left w:w="28" w:type="dxa"/>
          <w:bottom w:w="28" w:type="dxa"/>
          <w:right w:w="28" w:type="dxa"/>
        </w:tblCellMar>
      </w:tblPr>
      <w:tblGrid>
        <w:gridCol w:w="913"/>
        <w:gridCol w:w="802"/>
        <w:gridCol w:w="805"/>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93"/>
        <w:gridCol w:w="293"/>
        <w:gridCol w:w="613"/>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and 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Dividend and interest income decreased by </w:t>
      </w:r>
      <w:r>
        <w:rPr>
          <w:rFonts w:ascii="Times New Roman;sans-serif" w:hAnsi="Times New Roman;sans-serif"/>
          <w:b w:val="false"/>
          <w:color w:val="000000"/>
          <w:sz w:val="20"/>
        </w:rPr>
        <w:t>$1.0 million, or 28.7%</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 xml:space="preserve">March 31, 2025, </w:t>
      </w:r>
      <w:r>
        <w:rPr>
          <w:rFonts w:ascii="Times New Roman;sans-serif" w:hAnsi="Times New Roman;sans-serif"/>
          <w:b w:val="false"/>
          <w:color w:val="000000"/>
          <w:sz w:val="20"/>
          <w:shd w:fill="FFFFFF" w:val="clear"/>
        </w:rPr>
        <w:t xml:space="preserve">as compared to the same period in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This decrease was a result of lower market interest rates on invested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Change in Fair Value of Warrant Liabilities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Warrant liabilities were recorded at fair value as part of the Business Combination. Change in fair value of warrant liabilities primarily consists of the change in the fair value of our Public Warrants and Private Warrants.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Change in warrant liabilities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is as follows (dollars in thousands):</w:t>
      </w:r>
    </w:p>
    <w:tbl>
      <w:tblPr>
        <w:tblW w:w="8318" w:type="dxa"/>
        <w:jc w:val="left"/>
        <w:tblInd w:w="0" w:type="dxa"/>
        <w:tblLayout w:type="fixed"/>
        <w:tblCellMar>
          <w:top w:w="28" w:type="dxa"/>
          <w:left w:w="28" w:type="dxa"/>
          <w:bottom w:w="28" w:type="dxa"/>
          <w:right w:w="28" w:type="dxa"/>
        </w:tblCellMar>
      </w:tblPr>
      <w:tblGrid>
        <w:gridCol w:w="1248"/>
        <w:gridCol w:w="1099"/>
        <w:gridCol w:w="1103"/>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308"/>
        <w:gridCol w:w="308"/>
        <w:gridCol w:w="613"/>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8"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966.1 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we recognized $3.4 million of income from the decrease in the fair value of warrant liabilities as compared to $0.3 million of income from the decrease in the fair value of warrant liabilities for the same period in 2024, an increase of $3.1 million, or 966.1%. These decreases in warrant value were primarily driven by the change in the underlying trading price of our Class A common stock during the periods reported.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Other Expense, Net</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Other expense, net, typically consists of currency revaluations and income from credit card cash rewards programs. Other expense, net,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is as follows (dollars in thousands):</w:t>
      </w:r>
    </w:p>
    <w:tbl>
      <w:tblPr>
        <w:tblW w:w="6138" w:type="dxa"/>
        <w:jc w:val="left"/>
        <w:tblInd w:w="0" w:type="dxa"/>
        <w:tblLayout w:type="fixed"/>
        <w:tblCellMar>
          <w:top w:w="28" w:type="dxa"/>
          <w:left w:w="28" w:type="dxa"/>
          <w:bottom w:w="28" w:type="dxa"/>
          <w:right w:w="28" w:type="dxa"/>
        </w:tblCellMar>
      </w:tblPr>
      <w:tblGrid>
        <w:gridCol w:w="586"/>
        <w:gridCol w:w="516"/>
        <w:gridCol w:w="518"/>
        <w:gridCol w:w="211"/>
        <w:gridCol w:w="436"/>
        <w:gridCol w:w="109"/>
        <w:gridCol w:w="109"/>
        <w:gridCol w:w="109"/>
        <w:gridCol w:w="109"/>
        <w:gridCol w:w="211"/>
        <w:gridCol w:w="331"/>
        <w:gridCol w:w="109"/>
        <w:gridCol w:w="109"/>
        <w:gridCol w:w="109"/>
        <w:gridCol w:w="109"/>
        <w:gridCol w:w="321"/>
        <w:gridCol w:w="413"/>
        <w:gridCol w:w="167"/>
        <w:gridCol w:w="109"/>
        <w:gridCol w:w="109"/>
        <w:gridCol w:w="109"/>
        <w:gridCol w:w="308"/>
        <w:gridCol w:w="308"/>
        <w:gridCol w:w="613"/>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8"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Other expense, net, decreased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months end</w:t>
      </w:r>
      <w:r>
        <w:rPr>
          <w:rFonts w:ascii="Times New Roman;sans-serif" w:hAnsi="Times New Roman;sans-serif"/>
          <w:b w:val="false"/>
          <w:color w:val="000000"/>
          <w:sz w:val="20"/>
        </w:rPr>
        <w:t>ed March 31, 2025</w:t>
      </w:r>
      <w:r>
        <w:rPr>
          <w:color w:val="000000"/>
          <w:shd w:fill="FFFFFF" w:val="clear"/>
        </w:rPr>
        <w:t xml:space="preserve"> </w:t>
      </w:r>
      <w:r>
        <w:rPr>
          <w:rFonts w:ascii="Times New Roman;sans-serif" w:hAnsi="Times New Roman;sans-serif"/>
          <w:b w:val="false"/>
          <w:color w:val="000000"/>
          <w:sz w:val="20"/>
          <w:shd w:fill="FFFFFF" w:val="clear"/>
        </w:rPr>
        <w:t xml:space="preserve">as compared to the same period in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Liquidity and Capital Resources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 following table presents a summary of our condensed consolidated cash flows for operating, investing, and financing activities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(in thousands):</w:t>
      </w:r>
    </w:p>
    <w:tbl>
      <w:tblPr>
        <w:tblW w:w="7857" w:type="dxa"/>
        <w:jc w:val="left"/>
        <w:tblInd w:w="0" w:type="dxa"/>
        <w:tblLayout w:type="fixed"/>
        <w:tblCellMar>
          <w:top w:w="28" w:type="dxa"/>
          <w:left w:w="28" w:type="dxa"/>
          <w:bottom w:w="28" w:type="dxa"/>
          <w:right w:w="28" w:type="dxa"/>
        </w:tblCellMar>
      </w:tblPr>
      <w:tblGrid>
        <w:gridCol w:w="1840"/>
        <w:gridCol w:w="1620"/>
        <w:gridCol w:w="1625"/>
        <w:gridCol w:w="224"/>
        <w:gridCol w:w="848"/>
        <w:gridCol w:w="116"/>
        <w:gridCol w:w="116"/>
        <w:gridCol w:w="116"/>
        <w:gridCol w:w="116"/>
        <w:gridCol w:w="224"/>
        <w:gridCol w:w="848"/>
        <w:gridCol w:w="16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(57,428)</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(11,948)</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(80,697)</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Net cash used in operating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net cash used in operating activities of $26.2 million was primarily due to a net loss of $19.2 million resulting from continued spend on research and development and commercialization efforts, net changes in operating assets and liabilities of $6.1 million, a change in fair value of warrant liabilities of $3.4 million, primarily driven by the change in the underlying trading price of our Class A common stock, and accretion on marketable securities of $2.1 million partially offset by stock-based compensation of $2.4 million, depreciation and amortization of $0.9 million and write-downs of inventory of $0.7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net cash used in operating activities of $23.2 million was primarily due to a net loss of $19.5 million resulting from continued spend on research and development and commercialization efforts, net changes in operating assets and liabilities of $5.2 million and accretion on marketable securities of $2.1 million partially offset by stock-based compensation of $1.6 million and depreciation and amortization of $1.1 million.</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Net cash used in investing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net cash used in investing activities was $34.2 million compared to net cash used in investing activities of $57.4 million for the same period in 2024. This decrease in cash used was primarily due to a $64.3 million increase in cash provided by the sales and maturities of marketable securities partially offset by an increase in cash used to purchase marketable securities of $40.8 million. </w:t>
      </w:r>
    </w:p>
    <w:p>
      <w:pPr>
        <w:pStyle w:val="TextBody"/>
        <w:bidi w:val="0"/>
        <w:spacing w:lineRule="auto" w:line="288" w:before="240" w:after="283"/>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Net cash provided by (used in) financing activities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net cash provided by financing activities was $48.4 million compared to cash used of $0.1 million for the same period in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This increase in cash provided was due to $46.8 million of net proceeds from the Registered Direct Offering and $1.6 million of proceeds from the exercise of stock options. Further information regarding the Registered Direct Offering can be found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Liquidity Outlook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Since our inception, we have funded our operations primarily with proceeds from the issuance of equity to private investors, as well as with the proceeds received from the closing of the Business Combination. Additionally, we began to generate revenue during 2023 from commercial sales of our Platinum instrument. Our primary uses of liquidity have been operating expenses, capital expenditures and our acquisition of certain assets. Cash flows from operations have been historically negative as we continue to invest in the development of our technology in NGPS. Going forward, we anticipate debt or equity offerings will be the primary source of funds to support our operating needs and capital expenditures until we reach scale of our commercial operations. We expect to incur negative operating cash flows on an annual basis for the foreseeable future until such time that we can scale our revenue growth.</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our existing cash and cash equivalents and investments in marketable securities, together with revenue from the sale of our products and services, will be sufficient to meet our liquidity, capital expenditure, and anticipated working capital requirements and fund our operations for at least the next 12 months. We expect to use our cash and cash equivalents and investments in marketable securities and funds from revenue generated to invest in our continued commercialization efforts, to further invest in research and development, for other operating expenses, business acquisitions and for working capital and general corporate purposes.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we had cash and cash equivalents and investments in marketable securities tot</w:t>
      </w:r>
      <w:r>
        <w:rPr>
          <w:rFonts w:ascii="Times New Roman;sans-serif" w:hAnsi="Times New Roman;sans-serif"/>
          <w:b w:val="false"/>
          <w:color w:val="000000"/>
          <w:sz w:val="20"/>
        </w:rPr>
        <w:t xml:space="preserve">aling $232.6 million. </w:t>
      </w:r>
      <w:r>
        <w:rPr>
          <w:rFonts w:ascii="Times New Roman;sans-serif" w:hAnsi="Times New Roman;sans-serif"/>
          <w:b w:val="false"/>
          <w:color w:val="000000"/>
          <w:sz w:val="20"/>
          <w:shd w:fill="FFFFFF" w:val="clear"/>
        </w:rPr>
        <w:t>Our future capital requirements may vary from those currently planned and will depend on various factors including the pace and success of product commercialization.</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ongoing commercialization of our Platinum line of instruments as well as our continuing research and development efforts to enhance our instruments may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manufacturing for commercialization, (iii) changes we may make in our business or commercialization strategy, (iv) costs of running a public company, (v) other items affecting our forecasted level of expenditures and use of cash resources, including potential acquisitions, and (vi) increased product and service costs.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11, 2023, we filed a universal shelf registration statement on Form S-3 (the “Shelf Registration Statement”), which became effective on August 22, 2023, covering the offering of Class A common stock, preferred stock, debt securities, warrants, rights and units.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December 11, 2024, we entered into an Equity Distribution Agreement (the “Sales Agreement”) with Canaccord Genuity LLC (“Canaccord”) to sell shares of our Class A common stock, par value $0.0001, having an aggregate offering price of up to $75.0 million, from time to time through an “at-the-market” offering program under which Canaccord will act as sales agent. We have no obligation to sell any shares under the Sales Agreement and may at any time suspend solicitation and offers under the EDA. The ATM Offering is being made pursuant to our shelf registration and a prospectus supplement related to the ATM Offering dated December 11, 2024. During the year ended December 31, 2024, we sold and issued 23,425,650 shares of our Class A common stock under the ATM Offering, resulting in gross proceeds of $36.2 million. Net proceeds were $34.8 million after commissions and issuance costs of $1.4 million. We sold no shares of our Class A common stock under the ATM Offering for the three months ended March 31, 2025.</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January 3, 2025, we entered into a securities purchase agreement with certain institutional investors pursuant to which we agreed to issue and sell, in a registered direct offering (the “Registered Direct Offering”) an aggregate of 15,625,000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shares of our Class A common stock at a price of $3.20 per Share. The gross proceeds from the Registered Direct Offering were $50.0 million. After deducting estimated placement agents’ fees and other offering expenses payable by the Company, net proceeds recorded during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were approximately $46.8 million. </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Capital Expenditures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forecast capital expenditures in order to execute on our business plan and maintain growth; however, the actual amount and timing of such capital expenditures will ultimately be determined by the volume of business. We anticipate our future capital expenditures will be at approximately the same level as compared to the year ended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We have funded and plan to continue funding these capital expenditures with cash and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Contractual Obligations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lease certain facilities and equipment under noncancellable lease agreements that expire at various dates through 2032. 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future lease payments, before adjustments for tenant incentives, were approximately </w:t>
      </w:r>
      <w:r>
        <w:rPr>
          <w:rFonts w:ascii="Times New Roman;sans-serif" w:hAnsi="Times New Roman;sans-serif"/>
          <w:b w:val="false"/>
          <w:color w:val="000000"/>
          <w:sz w:val="20"/>
        </w:rPr>
        <w:t>$25.6 million</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Licenses related to certain intellectual property</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We license certain intellectual property, some of which may be utilized in our current or future product offerings. To </w:t>
      </w:r>
      <w:r>
        <w:rPr>
          <w:rFonts w:ascii="Times New Roman;sans-serif" w:hAnsi="Times New Roman;sans-serif"/>
          <w:b w:val="false"/>
          <w:color w:val="000000"/>
          <w:sz w:val="20"/>
        </w:rPr>
        <w:t>preserve the right to use such intellectual property, we are required to make annual minimum fixed payments totaling approximately $0.2 million as we</w:t>
      </w:r>
      <w:r>
        <w:rPr>
          <w:rFonts w:ascii="Times New Roman;sans-serif" w:hAnsi="Times New Roman;sans-serif"/>
          <w:b w:val="false"/>
          <w:color w:val="000000"/>
          <w:sz w:val="20"/>
          <w:shd w:fill="FFFFFF" w:val="clear"/>
        </w:rPr>
        <w:t>ll as royalties based on net sales if the royalties exceed annual minimum fixed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 and Significant Judgments and Estimates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expenses incurred during the reporting periods. Our estimates are based on historical experience and various other factors we believe to be reasonable under the circumstances, the results of which form the basis for making judgments about items not readily apparent from other sources. Actual results may differ from these estimates under different assumptions or conditions. Please refer to our critical accounting policies as disclosed in our Annual Report on Form 10-K for the year ended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w:t>
      </w:r>
      <w:hyperlink w:anchor="i4636a994e10c426c9213f0b844f89df1_37">
        <w:r>
          <w:rPr>
            <w:rStyle w:val="InternetLink"/>
            <w:rFonts w:ascii="Times New Roman;sans-serif" w:hAnsi="Times New Roman;sans-serif"/>
            <w:b w:val="false"/>
            <w:color w:val="0000FF"/>
            <w:sz w:val="20"/>
            <w:u w:val="single"/>
            <w:shd w:fill="FFFFFF" w:val="clear"/>
          </w:rPr>
          <w:t>Note 2. Summary of Significant Accounting Policies</w:t>
        </w:r>
      </w:hyperlink>
      <w:r>
        <w:rPr>
          <w:rFonts w:ascii="Times New Roman;sans-serif" w:hAnsi="Times New Roman;sans-serif"/>
          <w:b w:val="false"/>
          <w:color w:val="000000"/>
          <w:sz w:val="20"/>
          <w:shd w:fill="FFFFFF" w:val="clear"/>
        </w:rPr>
        <w:t>, in the accompanying notes to the Condensed Consolidated Financial Statements for a complete description of our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Recently Issued Accounting Pronouncements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Please refer to </w:t>
      </w:r>
      <w:hyperlink w:anchor="i4636a994e10c426c9213f0b844f89df1_37">
        <w:r>
          <w:rPr>
            <w:rStyle w:val="InternetLink"/>
            <w:rFonts w:ascii="Times New Roman;sans-serif" w:hAnsi="Times New Roman;sans-serif"/>
            <w:b w:val="false"/>
            <w:color w:val="0000FF"/>
            <w:sz w:val="20"/>
            <w:u w:val="single"/>
            <w:shd w:fill="FFFFFF" w:val="clear"/>
          </w:rPr>
          <w:t>Note 2. Summary of Significant Accounting Policies</w:t>
        </w:r>
      </w:hyperlink>
      <w:r>
        <w:rPr>
          <w:rFonts w:ascii="Times New Roman;sans-serif" w:hAnsi="Times New Roman;sans-serif"/>
          <w:b w:val="false"/>
          <w:color w:val="000000"/>
          <w:sz w:val="20"/>
          <w:shd w:fill="FFFFFF" w:val="clear"/>
        </w:rPr>
        <w:t>, in the accompanying notes to the Condensed Consolidated Financial Statements included elsewhere in this Quarterly Report on Form 10-Q for a description of recently issued accounting pronouncements that may potentially impact our financial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Inflation risk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inflation can and has had an impact on the underlying cost of our supplies and manufacturing components related to our business. To the extent our costs are impacted by general inflationary pressures, we may not be able to fully offset such higher costs through price increases or manufacturing efficiencies. Our inability or failure to do so could harm our business, financial condition, results of operations or cash flows.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rate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our marketable securities are comprised primarily of investments in money market funds backed by U.S. government issued securities, U.S. Treasury bills, and high-quality corporate commercial paper. The primary objective of our investments is the preservation of capital to fulfill liquidity needs. We do not enter into investments for trading or speculative purposes. Based on the short-term nature of our holdings, future interest rate changes are not expected to have a material impact on our marketable securities.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Foreign Currency Risk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Presently, we operate our business primarily within the United States, with limited sales outside the United States. To date, we have executed the majority of our transactions in U.S. dollars. In the future, we anticipate expanding into Europe and other locations outside the United States. This expansion may include transacting business in currencies other than the U.S. Dollar. Despite this, we anticipate conducting limited activity outside the U.S. Dollar in the near term, and therefore foreign currency translation risk is not expected to have a material impact on our Condensed Consolidated Financial Statements. However, the growth of our operations, scope of transactions outside the United States, and the use of currencies other than the U.S. Dollar may grow in the future, at which point it is possible foreign currency translation will have a material effect on our operations. To date, we have not entered into any hedging arrangements with respect to foreign currency risk. As our international operations grow, we will continue to reassess our approach to managing our risk relating to fluctuations in currency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Evaluation of Disclosure Controls and Procedures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Disclosure controls and procedures are controls and other procedures designed to ensure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our disclosure controls and procedures were effective 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Changes in Internal Control over Financial Reporting</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There were no changes in our internal control over financial reporting during the quarter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 xml:space="preserve">From time to time, the Company is engaged in legal proceedings in the ordinary course of business. For further information on the Company’s legal proceedings, please refer to </w:t>
      </w:r>
      <w:hyperlink w:anchor="i4636a994e10c426c9213f0b844f89df1_79">
        <w:r>
          <w:rPr>
            <w:rStyle w:val="InternetLink"/>
            <w:rFonts w:ascii="Times New Roman;sans-serif" w:hAnsi="Times New Roman;sans-serif"/>
            <w:b w:val="false"/>
            <w:color w:val="0000FF"/>
            <w:sz w:val="20"/>
            <w:u w:val="single"/>
            <w:shd w:fill="FFFFFF" w:val="clear"/>
          </w:rPr>
          <w:t>Note 17. Commitments and Contingencies</w:t>
        </w:r>
      </w:hyperlink>
      <w:r>
        <w:rPr>
          <w:rFonts w:ascii="Times New Roman;sans-serif" w:hAnsi="Times New Roman;sans-serif"/>
          <w:b w:val="false"/>
          <w:color w:val="000000"/>
          <w:sz w:val="20"/>
          <w:shd w:fill="FFFFFF" w:val="clear"/>
        </w:rPr>
        <w:t>, in the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results of operations, financial condition and cash flows are subject to various risks and uncertainties including the risk factors described under the caption “Risk Factors” in our Annual Report on Form 10-K for the year ended December 31, 2024, as filed with the SEC on March 3, 2025, and the risk factor described below.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use of artificial intelligence and machine learning is subject to evolving laws and regulations and risks associated with unauthorized use, and may not result in the competitive advantages desired, all of which could expose us to competitive risk and legal liability.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use artificial intelligence, machine learning and automated decision-making technologies (“AI”) to assist in the performance, efficiency, and speed of various functions at the Company, including, but not limited to, general and administrative activities and research and development.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regulatory framework for AI is rapidly evolving as many federal, state and foreign government bodies and agencies have introduced or are currently considering additional laws and regulations for areas including but not limited to consumer protection and transparency, bias and discrimination, intellectual property, employment and use in regulated healthcare devices. Additionally, existing laws and regulations may be interpreted in ways that would affect the operation of AI at the Company.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Further, the unauthorized use of AI tools can result in the exposure of sensitive data, including our intellectual property or trade secrets or the personal information of our employees, customers, or other business partners to unauthorized persons or to the public.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can be no assurance that we will realize the desired or anticipated benefits from AI, or any at all. Our use of AI could result in additional compliance costs, regulatory investigations and actions, and lawsuits; and If as a result, we are unable to use AI, it could make our business less efficient, result in competitive disadvantages, and our business, financial condition, results of operations and cash flows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Unregistered Sales of Equity Securities and Use of Proceeds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Issuer Purchases of Equity Securities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10b5-1 Trading Arrangements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quarter ended March 31, 2025, no officers or directors, as defined in Rule 16a-1(f), adopted, modified or terminated a “Rule 10b5-1 trading arrangement” or a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exhibits are filed as part of, or incorporated by reference into, this Quarterly Report on Form 10-Q.</w:t>
      </w:r>
    </w:p>
    <w:tbl>
      <w:tblPr>
        <w:tblW w:w="10205" w:type="dxa"/>
        <w:jc w:val="center"/>
        <w:tblInd w:w="0" w:type="dxa"/>
        <w:tblLayout w:type="fixed"/>
        <w:tblCellMar>
          <w:top w:w="28" w:type="dxa"/>
          <w:left w:w="28" w:type="dxa"/>
          <w:bottom w:w="28" w:type="dxa"/>
          <w:right w:w="28" w:type="dxa"/>
        </w:tblCellMar>
      </w:tblPr>
      <w:tblGrid>
        <w:gridCol w:w="299"/>
        <w:gridCol w:w="263"/>
        <w:gridCol w:w="264"/>
        <w:gridCol w:w="109"/>
        <w:gridCol w:w="109"/>
        <w:gridCol w:w="109"/>
        <w:gridCol w:w="1786"/>
        <w:gridCol w:w="1569"/>
        <w:gridCol w:w="1574"/>
        <w:gridCol w:w="109"/>
        <w:gridCol w:w="109"/>
        <w:gridCol w:w="109"/>
        <w:gridCol w:w="339"/>
        <w:gridCol w:w="339"/>
        <w:gridCol w:w="340"/>
        <w:gridCol w:w="109"/>
        <w:gridCol w:w="109"/>
        <w:gridCol w:w="109"/>
        <w:gridCol w:w="445"/>
        <w:gridCol w:w="445"/>
        <w:gridCol w:w="447"/>
        <w:gridCol w:w="109"/>
        <w:gridCol w:w="109"/>
        <w:gridCol w:w="109"/>
        <w:gridCol w:w="228"/>
        <w:gridCol w:w="228"/>
        <w:gridCol w:w="331"/>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w:t>
              <w:br/>
              <w:t xml:space="preserve">Reference Herein </w:t>
              <w:br/>
              <w:t>from</w:t>
              <w:br/>
              <w:t>Form or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Certificate of Incorporation of Quantum-Si Incorporated, as amended.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10-Q</w:t>
              <w:br/>
              <w:t>(Exhibit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8/7/2024</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80"/>
                  <w:sz w:val="20"/>
                  <w:u w:val="single"/>
                </w:rPr>
                <w:t>3.</w:t>
              </w:r>
            </w:hyperlink>
            <w:hyperlink r:id="rId4">
              <w:r>
                <w:rPr>
                  <w:rStyle w:val="InternetLink"/>
                  <w:rFonts w:ascii="Times New Roman;sans-serif" w:hAnsi="Times New Roman;sans-serif"/>
                  <w:b w:val="false"/>
                  <w:color w:val="000080"/>
                  <w:sz w:val="20"/>
                  <w:u w:val="single"/>
                </w:rPr>
                <w:t>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of Quantum-Si Incorporated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10-K</w:t>
              <w:br/>
              <w:t>(Exhibit 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3/1/2021</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si3312025ex311.htm">
              <w:r>
                <w:rPr>
                  <w:rStyle w:val="InternetLink"/>
                  <w:rFonts w:ascii="Times New Roman;sans-serif" w:hAnsi="Times New Roman;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Principal Executive Officer pursuant to Section 302 of the Sarbanes-Oxley Act of 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si3312025ex312.htm">
              <w:r>
                <w:rPr>
                  <w:rStyle w:val="InternetLink"/>
                  <w:rFonts w:ascii="Times New Roman;sans-serif" w:hAnsi="Times New Roman;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Principal Financial Officer pursuant to Section 302 of the Sarbanes-Oxley Act of 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si3312025ex321.htm">
              <w:r>
                <w:rPr>
                  <w:rStyle w:val="InternetLink"/>
                  <w:rFonts w:ascii="Times New Roman;sans-serif" w:hAnsi="Times New Roman;sans-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Principal Executive Officer pursuant to Section 906 of the Sarbanes-Oxley Act of 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si3312025ex322.htm">
              <w:r>
                <w:rPr>
                  <w:rStyle w:val="InternetLink"/>
                  <w:rFonts w:ascii="Times New Roman;sans-serif" w:hAnsi="Times New Roman;sans-serif"/>
                  <w:b w:val="false"/>
                  <w:color w:val="0000FF"/>
                  <w:sz w:val="20"/>
                  <w:u w:val="single"/>
                </w:rPr>
                <w:t>32.2*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the Principal Financial Officer pursuant to Section 906 of the Sarbanes-Oxley Act of 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 32.1 and 32.2 that accompany this Quarterly Report on Form 10-Q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00" w:after="200"/>
        <w:jc w:val="left"/>
        <w:rPr/>
      </w:pPr>
      <w:hyperlink w:anchor="i4636a994e10c426c9213f0b844f89df1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6759" w:type="dxa"/>
        <w:jc w:val="left"/>
        <w:tblInd w:w="0" w:type="dxa"/>
        <w:tblLayout w:type="fixed"/>
        <w:tblCellMar>
          <w:top w:w="28" w:type="dxa"/>
          <w:left w:w="28" w:type="dxa"/>
          <w:bottom w:w="28" w:type="dxa"/>
          <w:right w:w="28" w:type="dxa"/>
        </w:tblCellMar>
      </w:tblPr>
      <w:tblGrid>
        <w:gridCol w:w="629"/>
        <w:gridCol w:w="554"/>
        <w:gridCol w:w="557"/>
        <w:gridCol w:w="494"/>
        <w:gridCol w:w="494"/>
        <w:gridCol w:w="494"/>
        <w:gridCol w:w="1054"/>
        <w:gridCol w:w="1054"/>
        <w:gridCol w:w="105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QUANTUM-SI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2025</w:t>
            </w:r>
          </w:p>
        </w:tc>
        <w:tc>
          <w:tcPr>
            <w:tcW w:w="14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5"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Jeffrey Hawkins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Hawkins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2025</w:t>
            </w:r>
          </w:p>
        </w:tc>
        <w:tc>
          <w:tcPr>
            <w:tcW w:w="14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5"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Jeffry Keyes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Jeffry Keyes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 UNDER SECTION 302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Jeffrey Hawkins,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Quantum-Si Incorporated;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15, 2025</w:t>
      </w:r>
    </w:p>
    <w:tbl>
      <w:tblPr>
        <w:tblW w:w="3224" w:type="dxa"/>
        <w:jc w:val="left"/>
        <w:tblInd w:w="0" w:type="dxa"/>
        <w:tblLayout w:type="fixed"/>
        <w:tblCellMar>
          <w:top w:w="28" w:type="dxa"/>
          <w:left w:w="28" w:type="dxa"/>
          <w:bottom w:w="28" w:type="dxa"/>
          <w:right w:w="28" w:type="dxa"/>
        </w:tblCellMar>
      </w:tblPr>
      <w:tblGrid>
        <w:gridCol w:w="1033"/>
        <w:gridCol w:w="907"/>
        <w:gridCol w:w="1284"/>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Jeffrey Hawkins</w:t>
            </w:r>
          </w:p>
        </w:tc>
      </w:tr>
      <w:tr>
        <w:trPr/>
        <w:tc>
          <w:tcPr>
            <w:tcW w:w="322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Hawkins</w:t>
            </w:r>
          </w:p>
        </w:tc>
      </w:tr>
      <w:tr>
        <w:trPr/>
        <w:tc>
          <w:tcPr>
            <w:tcW w:w="3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 UNDER SECTION 302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Jeffry Keyes,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Quantum-Si Incorporated;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2025</w:t>
      </w:r>
    </w:p>
    <w:tbl>
      <w:tblPr>
        <w:tblW w:w="3164" w:type="dxa"/>
        <w:jc w:val="left"/>
        <w:tblInd w:w="0" w:type="dxa"/>
        <w:tblLayout w:type="fixed"/>
        <w:tblCellMar>
          <w:top w:w="28" w:type="dxa"/>
          <w:left w:w="28" w:type="dxa"/>
          <w:bottom w:w="28" w:type="dxa"/>
          <w:right w:w="28" w:type="dxa"/>
        </w:tblCellMar>
      </w:tblPr>
      <w:tblGrid>
        <w:gridCol w:w="1008"/>
        <w:gridCol w:w="887"/>
        <w:gridCol w:w="1269"/>
      </w:tblGrid>
      <w:tr>
        <w:trPr/>
        <w:tc>
          <w:tcPr>
            <w:tcW w:w="100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/s/</w:t>
            </w:r>
            <w:r>
              <w:rPr>
                <w:color w:val="000000"/>
              </w:rPr>
              <w:t xml:space="preserve"> </w:t>
            </w:r>
            <w:r>
              <w:rPr>
                <w:rFonts w:ascii="Times New Roman;sans-serif" w:hAnsi="Times New Roman;sans-serif"/>
                <w:b w:val="false"/>
                <w:i/>
                <w:color w:val="000000"/>
                <w:sz w:val="20"/>
              </w:rPr>
              <w:t>Jeffry Keyes</w:t>
            </w:r>
          </w:p>
        </w:tc>
      </w:tr>
      <w:tr>
        <w:trPr/>
        <w:tc>
          <w:tcPr>
            <w:tcW w:w="316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Jeffry Keyes</w:t>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 UNDER SECTION 906</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(subsections (a) and (b) of section 1350, chapter 63 of title 18, United States Code), the undersigned officer of Quantum-Si Incorporated, a Delaware corporation (the “Company”), does hereby certify, to such officer’s knowledge, that: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Quarterly Report for the quarter ended March 31,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tbl>
      <w:tblPr>
        <w:tblW w:w="5054" w:type="dxa"/>
        <w:jc w:val="left"/>
        <w:tblInd w:w="0" w:type="dxa"/>
        <w:tblLayout w:type="fixed"/>
        <w:tblCellMar>
          <w:top w:w="28" w:type="dxa"/>
          <w:left w:w="28" w:type="dxa"/>
          <w:bottom w:w="28" w:type="dxa"/>
          <w:right w:w="28" w:type="dxa"/>
        </w:tblCellMar>
      </w:tblPr>
      <w:tblGrid>
        <w:gridCol w:w="667"/>
        <w:gridCol w:w="586"/>
        <w:gridCol w:w="592"/>
        <w:gridCol w:w="937"/>
        <w:gridCol w:w="937"/>
        <w:gridCol w:w="1335"/>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15, 2025</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Jeffrey Hawkins</w:t>
            </w:r>
          </w:p>
        </w:tc>
      </w:tr>
      <w:tr>
        <w:trPr/>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Hawkins</w:t>
            </w:r>
          </w:p>
        </w:tc>
      </w:tr>
      <w:tr>
        <w:trPr/>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 UNDER SECTION 906</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(subsections (a) and (b) of section 1350, chapter 63 of title 18, United States Code), the undersigned officer of Quantum-Si Incorporated, a Delaware corporation (the “Company”), does hereby certify, to such officer’s knowledge, that: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Quarterly Report for the quarter ended March 31,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tbl>
      <w:tblPr>
        <w:tblW w:w="4994" w:type="dxa"/>
        <w:jc w:val="left"/>
        <w:tblInd w:w="0" w:type="dxa"/>
        <w:tblLayout w:type="fixed"/>
        <w:tblCellMar>
          <w:top w:w="28" w:type="dxa"/>
          <w:left w:w="28" w:type="dxa"/>
          <w:bottom w:w="28" w:type="dxa"/>
          <w:right w:w="28" w:type="dxa"/>
        </w:tblCellMar>
      </w:tblPr>
      <w:tblGrid>
        <w:gridCol w:w="667"/>
        <w:gridCol w:w="586"/>
        <w:gridCol w:w="592"/>
        <w:gridCol w:w="918"/>
        <w:gridCol w:w="918"/>
        <w:gridCol w:w="1313"/>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15, 2025</w:t>
            </w:r>
          </w:p>
        </w:tc>
        <w:tc>
          <w:tcPr>
            <w:tcW w:w="314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Jeffry Keyes</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Jeffry Keyes</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6431/000162828024035626/qsiex31.htm" TargetMode="External"/><Relationship Id="rId3" Type="http://schemas.openxmlformats.org/officeDocument/2006/relationships/hyperlink" Target="https://www.sec.gov/Archives/edgar/data/1816431/000114036122007334/brhc10034564_ex3-2.htm" TargetMode="External"/><Relationship Id="rId4" Type="http://schemas.openxmlformats.org/officeDocument/2006/relationships/hyperlink" Target="https://www.sec.gov/Archives/edgar/data/1816431/000114036122007334/brhc10034564_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17301</Words>
  <Characters>96294</Characters>
  <CharactersWithSpaces>112423</CharactersWithSpaces>
  <Paragraphs>1956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