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960" w:hanging="3912"/>
        <w:spacing w:after="0" w:line="493"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694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85-1388175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3"/>
              </w:rPr>
              <w:t>530 Old Whitfield Street</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Guilford, Connecticut</w:t>
            </w:r>
          </w:p>
        </w:tc>
        <w:tc>
          <w:tcPr>
            <w:tcW w:w="376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06437</w:t>
            </w:r>
          </w:p>
        </w:tc>
      </w:tr>
      <w:tr>
        <w:trPr>
          <w:trHeight w:val="230"/>
        </w:trPr>
        <w:tc>
          <w:tcPr>
            <w:tcW w:w="542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(866) 688-7374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Symbols(s)</w:t>
            </w:r>
          </w:p>
        </w:tc>
        <w:tc>
          <w:tcPr>
            <w:tcW w:w="4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9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17"/>
                <w:szCs w:val="17"/>
                <w:color w:val="auto"/>
              </w:rPr>
            </w:pPr>
          </w:p>
        </w:tc>
        <w:tc>
          <w:tcPr>
            <w:tcW w:w="1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QSI</w:t>
            </w:r>
          </w:p>
        </w:tc>
        <w:tc>
          <w:tcPr>
            <w:tcW w:w="120" w:type="dxa"/>
            <w:vAlign w:val="bottom"/>
          </w:tcPr>
          <w:p>
            <w:pPr>
              <w:spacing w:after="0"/>
              <w:rPr>
                <w:sz w:val="17"/>
                <w:szCs w:val="17"/>
                <w:color w:val="auto"/>
              </w:rPr>
            </w:pPr>
          </w:p>
        </w:tc>
        <w:tc>
          <w:tcPr>
            <w:tcW w:w="44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Redeemable warrants, each whole warrant exercisable for one share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QSIAW</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Class A common stock, each at an exercise price of $11.50 per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2"/>
        </w:trPr>
        <w:tc>
          <w:tcPr>
            <w:tcW w:w="9540" w:type="dxa"/>
            <w:vAlign w:val="bottom"/>
            <w:gridSpan w:val="5"/>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7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54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6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522" w:right="339" w:bottom="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50"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registrant’s voting and non-voting equity held by non-affiliates of the registrant (without admitting that any person whose securities are not included in such calculation is an affiliate) computed by reference to the price at which the Class A common stock was last sold as of June 30, 2022, the last business day of the registrant’s most recently completed second fiscal quarter, was approximately $232.1 million.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10, 2023, the registrant had 120,006,757 shares of Class A common stock outstanding and 19,937,500 shares of Class B common stock outstanding.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(or parts thereof) are incorporated by reference into the following parts of this Form 10-K: Certain information required in Part</w:t>
      </w:r>
    </w:p>
    <w:p>
      <w:pPr>
        <w:spacing w:after="0" w:line="46" w:lineRule="exact"/>
        <w:rPr>
          <w:sz w:val="20"/>
          <w:szCs w:val="20"/>
          <w:color w:val="auto"/>
        </w:rPr>
      </w:pPr>
    </w:p>
    <w:p>
      <w:pPr>
        <w:ind w:firstLine="8"/>
        <w:spacing w:after="0" w:line="260"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this Annual Report on Form 10-K is incorporated by reference from the Registrant’s Proxy Statement for the 2023 Annual Meeting of Stockholders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20" w:type="dxa"/>
            <w:vAlign w:val="bottom"/>
            <w:gridSpan w:val="11"/>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9"/>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176"/>
        </w:trPr>
        <w:tc>
          <w:tcPr>
            <w:tcW w:w="12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b w:val="1"/>
                <w:bCs w:val="1"/>
                <w:color w:val="0000EE"/>
              </w:rPr>
              <w:t>Part I</w:t>
            </w:r>
          </w:p>
        </w:tc>
        <w:tc>
          <w:tcPr>
            <w:tcW w:w="1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Business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1A.</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Risk Factors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Properties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4.</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1240" w:type="dxa"/>
            <w:vAlign w:val="bottom"/>
            <w:gridSpan w:val="4"/>
          </w:tcPr>
          <w:p>
            <w:pPr>
              <w:spacing w:after="0" w:line="176" w:lineRule="exact"/>
              <w:rPr>
                <w:sz w:val="20"/>
                <w:szCs w:val="20"/>
                <w:color w:val="auto"/>
              </w:rPr>
            </w:pPr>
            <w:r>
              <w:rPr>
                <w:rFonts w:ascii="Arial" w:cs="Arial" w:eastAsia="Arial" w:hAnsi="Arial"/>
                <w:sz w:val="18"/>
                <w:szCs w:val="18"/>
                <w:color w:val="0000EE"/>
              </w:rPr>
              <w:t>Part II</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6.</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[Reserved]</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62</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7A.</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Quantitative and Qualitative Disclosures About Mark Risk</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1"/>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9.</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9B.</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Other Information</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9C.</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Part III</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1"/>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10.</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Executive Compensation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12.</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14.</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Principal Accountant Fees and Services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1240" w:type="dxa"/>
            <w:vAlign w:val="bottom"/>
            <w:gridSpan w:val="4"/>
          </w:tcPr>
          <w:p>
            <w:pPr>
              <w:spacing w:after="0" w:line="176" w:lineRule="exact"/>
              <w:rPr>
                <w:sz w:val="20"/>
                <w:szCs w:val="20"/>
                <w:color w:val="auto"/>
              </w:rPr>
            </w:pPr>
            <w:r>
              <w:rPr>
                <w:rFonts w:ascii="Arial" w:cs="Arial" w:eastAsia="Arial" w:hAnsi="Arial"/>
                <w:sz w:val="18"/>
                <w:szCs w:val="18"/>
                <w:color w:val="0000EE"/>
              </w:rPr>
              <w:t>Part IV</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77</w:t>
            </w: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77</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auto"/>
              </w:rPr>
              <w:t>Item 16.</w:t>
            </w:r>
          </w:p>
        </w:tc>
        <w:tc>
          <w:tcPr>
            <w:tcW w:w="9100" w:type="dxa"/>
            <w:vAlign w:val="bottom"/>
            <w:gridSpan w:val="25"/>
          </w:tcPr>
          <w:p>
            <w:pPr>
              <w:ind w:left="140"/>
              <w:spacing w:after="0" w:line="176" w:lineRule="exact"/>
              <w:rPr>
                <w:sz w:val="20"/>
                <w:szCs w:val="20"/>
                <w:color w:val="auto"/>
              </w:rPr>
            </w:pPr>
            <w:r>
              <w:rPr>
                <w:rFonts w:ascii="Arial" w:cs="Arial" w:eastAsia="Arial" w:hAnsi="Arial"/>
                <w:sz w:val="18"/>
                <w:szCs w:val="18"/>
                <w:color w:val="0000EE"/>
              </w:rPr>
              <w:t>Form 10-K Summary</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80</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100" w:type="dxa"/>
            <w:vAlign w:val="bottom"/>
            <w:gridSpan w:val="25"/>
            <w:shd w:val="clear" w:color="auto" w:fill="CCEEFF"/>
          </w:tcPr>
          <w:p>
            <w:pPr>
              <w:ind w:left="140"/>
              <w:spacing w:after="0" w:line="176" w:lineRule="exact"/>
              <w:rPr>
                <w:sz w:val="20"/>
                <w:szCs w:val="20"/>
                <w:color w:val="auto"/>
              </w:rPr>
            </w:pPr>
            <w:r>
              <w:rPr>
                <w:rFonts w:ascii="Arial" w:cs="Arial" w:eastAsia="Arial" w:hAnsi="Arial"/>
                <w:sz w:val="18"/>
                <w:szCs w:val="18"/>
                <w:color w:val="0000EE"/>
              </w:rPr>
              <w:t>Signatures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81</w:t>
            </w:r>
          </w:p>
        </w:tc>
      </w:tr>
      <w:tr>
        <w:trPr>
          <w:trHeight w:val="555"/>
        </w:trPr>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120" w:type="dxa"/>
            <w:vAlign w:val="bottom"/>
            <w:tcBorders>
              <w:top w:val="single" w:sz="8" w:color="CCEEFF"/>
            </w:tcBorders>
            <w:gridSpan w:val="15"/>
          </w:tcPr>
          <w:p>
            <w:pPr>
              <w:jc w:val="right"/>
              <w:ind w:right="600"/>
              <w:spacing w:after="0"/>
              <w:rPr>
                <w:sz w:val="20"/>
                <w:szCs w:val="20"/>
                <w:color w:val="auto"/>
              </w:rPr>
            </w:pPr>
            <w:r>
              <w:rPr>
                <w:rFonts w:ascii="Arial" w:cs="Arial" w:eastAsia="Arial" w:hAnsi="Arial"/>
                <w:sz w:val="14"/>
                <w:szCs w:val="14"/>
                <w:color w:val="auto"/>
              </w:rPr>
              <w:t>2</w:t>
            </w:r>
          </w:p>
        </w:tc>
        <w:tc>
          <w:tcPr>
            <w:tcW w:w="5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r>
      <w:tr>
        <w:trPr>
          <w:trHeight w:val="46"/>
        </w:trPr>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on Form 10-K include, but are not limited to, statements about:</w:t>
      </w:r>
    </w:p>
    <w:p>
      <w:pPr>
        <w:spacing w:after="0" w:line="172"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recognize the benefits of the Business Combination (as defined below), which may be affected by, among other things, competition and our ability to grow and manage growth profitably and retain our key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660" w:right="20" w:hanging="328"/>
        <w:spacing w:after="0" w:line="19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attributes and benefits of our commercialized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protein sequencing instrument and our other products once commercialized;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ongoing leadership transition;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 summary below to “we”, “us”, “our” the “Company” and “Quantum-Si” refer to Quantum-Si and its subsidiaries.</w:t>
      </w:r>
    </w:p>
    <w:p>
      <w:pPr>
        <w:spacing w:after="0" w:line="22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jc w:val="both"/>
        <w:ind w:left="660" w:hanging="328"/>
        <w:spacing w:after="0" w:line="250"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recently commercially launched our first product, but we may not be able to successfully commercially launch our products as planned.</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we are a “controlled company” within the meaning of the Nasdaq rules, our stockholders may not have certain corporate governance protections that are available to stockholders of companies that are not controlled companies.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Jonathan M. Rothberg, Ph.D., our Chairman of the board of directors and Founder, which will limit an investor’s ability to influence the outcome of important transactions, including a change in control.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broad scientific and market acceptance of our products, which we may fail to achieve.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the markets for our products may be smaller than estimated, and new market opportunities may not develop as quickly as we expect, or at all, limiting our ability to successfully sell our products.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global economic conditions could adversely affect our business, financial condition or results of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sustain or successfully manage our anticipated growth, our business and prospects will be harmed.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undertaking internal restructuring activities that could result in disruptions to our business or otherwise materially harm our results of operations or financial condition.</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currently undergoing a leadership transition and internal restructuring, and we depend on our key personnel and other highly qualified personnel, and if we are unable to recruit, train and retain our personnel in the future, we may not achieve our goals.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be dependent upon revenue generated from the sales of our initial products from the time they are commercialized through the foreseeable future.</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 small number of contract manufacturers to manufacture and supply our products. If these manufacturers should fail or not perform satisfactorily, our ability to commercialize and supply our products would be adversely affected.</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successfully develop and deploy our Quantum-Si Cloud™ software service, our commercialization efforts and therefore business and results of operations could suffer.</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life sciences technology market is highly competitive. If we fail to compete effectively, our business and results of operations will suffer.</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elect to label and promote any of our products as clinical diagnostics or medical devices, we would be required to obtain prior marketing authorization from the U.S. Food and Drug Administration (“FDA”), which would take significant time and expense and could fail to result in FDA marketing authorization of the device for the intended use or uses we believe are commercially attractive.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if used for the diagnosis of disease, could be subject to government regulation, and the regulatory approval and maintenance process for such products may be expensive, time-consuming, and uncertain both in timing and in outcome.</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research use only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June 10, 2021, we were a blank check company incorporated as a Delaware corporation and formed for the purpose of effecting a merger, capital stock exchange, asset acquisition, stock purchase, reorganization or similar business combination with one or more businesses. On June 10, 2021, we completed a business combination (the “Business Combination”) pursuant to the terms of the Business Combination Agreement dated February 18, 2021 (the “Business Combination Agreement”), by and among HighCape Capital Acquisition LLC (“HighCape”), Tenet Merger Sub, Inc., a Delaware corporation (“Merger Sub”), and Quantum-Si Incorporated, a Delaware corporation (“Legacy Quantum-Si”). Immediately upon the consummation of the Business Combination and the other transactions contemplated by the Business Combination Agreement (the “Closing”), Merger Sub merged with and into Legacy Quantum-Si, with Legacy Quantum-Si surviving the Business Combination as a wholly owned subsidiary of HighCape. In connection with the Closing, HighCape changed its name to “Quantum-Si Incorporated” and Legacy Quantum-Si changed its name to “Q-SI Operations Inc.”</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an innovative life sciences company with the mission of transforming biomarker discovery and clinical research by providing researchers and clinicians unique access to the proteome, the set of proteins expressed within a cell. We have developed a proprietary protein detection platform that leverages semiconductor technology and protein engineering technology to launch a completely novel and differenced product to enable Next Generation Protein Sequencing (“NGPS”), the ability to sequence proteins in a massively parallel fashion (rather than sequentially, one at a time). Current proteomic workflows to sequence proteins require days or weeks to complete and the data analysis requires specialized staff such as bioinformatics scientists. Our platform is designed to offer a rapid workflow including both sample preparation and protein sequencing. Our platform is comprised of the Carbon™ automated sample preparation instrument, the Platinum™ NGPS instrument, the Quantum-Si Cloud™ software and reagent kits for use with our instruments. In December 2022, we launched Platinum™, the world’s first next-generation single-molecule protein sequencing platform, for research use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only (“RUO”). We are currently selling Platinum™ and began commercial shipments of Platinum™ in January 2023. We plan to launch Carbon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 2023. We believe we are the first company to successfully enable NGPS, which allows for the identification and characterization of proteins and unlock new knowledge and research in cancer and immunology.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an immense opportunity to better characterize and understand the full complexity of the proteome through improved understanding of proteoforms (different versions of proteins) and post-translational modifications that impact a protein’s location and function within a cell. In general, the proteome has been relatively unexplored because of a lack of tools. We believe that our Platinum™ with provide a broader, unbiased view of the proteome, which is foundational for accelerating biological insights and has vast utility in a number of end markets, including basic research and discovery, translational research, diagnostics and medical applications.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our platform offers a differentiated end-to-end workflow solution in a rapidly evolving proteomics tools market. Within our initial focus market of proteomics we will focus on applications such as protein/proteoform identification as our workflow is designed to provide users a seamless opportunity to gain key insights into the immediate state of biological pathways and cell state. Our platform aims to address many of the key challenges and bottlenecks of legacy proteomic solutions, such as mass spectrometry (“MS”), which are complicated and often limited by complex manual sample preparation workflows, and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for wide utility across the study of the proteome. For example, our platform could be used for biomarker discovery and disease detection, pathway analysis, immune response, and vaccine development, among other applications.</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According to SVB Leerink Research, proteomics represented a $75 billion market opportunity spanning from life science research through diagnostics in 2021. Within this, proteomics research represented $20 billion, while proteomic diagnostics represented the remaining $55 billion. Based on this, we believe that the current total addressable market (“TAM”) for our research use only platform is at least $20 billion.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team has decades of cumulative experience in developing, commercializing and scaling tools in the life sciences industry. Our management team has employed a similar approach at other companies previously to launch other disruptive technologies, including market leading single molecule proteomics and genomics technology including next generation DNA sequencing technologies. We believe this experience will allow us to introduce our platform in a structured manner to demonstrate its use, value and practicality, while working directly with our key customers, to help ensure a positive experience.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founded in 2013 by Dr. Jonathan Rothberg, a serial entrepreneur who received the Presidential Medal of Technology &amp; Innovation in 2016 for inventing next generation DNA sequencing. Dr. Rothberg has founded more than 10 healthcare technology companies, including 454 Life Sciences, Ion Torrent and Butterfly Network. We received net proceeds of $512.8 million from the Closing of the Business Combination in 2021 to help support our platform development.</w:t>
      </w:r>
    </w:p>
    <w:p>
      <w:pPr>
        <w:spacing w:after="0" w:line="177" w:lineRule="exact"/>
        <w:rPr>
          <w:sz w:val="20"/>
          <w:szCs w:val="20"/>
          <w:color w:val="auto"/>
        </w:rPr>
      </w:pPr>
    </w:p>
    <w:p>
      <w:pPr>
        <w:jc w:val="both"/>
        <w:ind w:right="20"/>
        <w:spacing w:after="0" w:line="202" w:lineRule="auto"/>
        <w:rPr>
          <w:sz w:val="20"/>
          <w:szCs w:val="20"/>
          <w:color w:val="auto"/>
        </w:rPr>
      </w:pPr>
      <w:r>
        <w:rPr>
          <w:rFonts w:ascii="Arial" w:cs="Arial" w:eastAsia="Arial" w:hAnsi="Arial"/>
          <w:sz w:val="18"/>
          <w:szCs w:val="18"/>
          <w:color w:val="auto"/>
        </w:rPr>
        <w:t>We launched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 December 2022 and we expect to generate revenue in the first quarter of 2023. We incurred net losses of $132.4 million, $95.0 million and $36.6 million for the fiscal years ended December 31, 2022, 2021 and 2020,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Key Challenges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2003, the first draft of the human genome was completed, igniting a desire for new ways to study genomes at scale. The creation of NGS transitioned the genomics market from analog arrays to digital sequences. The ability to sequence DNA in a massively parallel fashion provided an unbiased view of the genome, leading to an expansion of our understanding of biology. Sequencing the human genome also resulted in the categorization of the genes and their products, the proteins and led to a new field of study called proteomics. We believe that proteomics is positioned to follow a rapid expansion path similar to that of the genomics market. We believe our low-cost benchtop platform will play a critical role in driving this expansion.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Importance of Proteomics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Dogma of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17145</wp:posOffset>
            </wp:positionV>
            <wp:extent cx="4020185" cy="141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2018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central dogma of biology describes the flow of information within a cell, first originating with information encoded as DNA; subsequent transcription to RNA; and ultimate translation to proteins. While our genomes contain approximately 20,000 genes, current estimates are that these genes ultimately code for more than 1,000,000 different protein variants called proteoforms. Thus, the majority of diversity that exists in our cells comes from proteins. Proteins are organic compounds made up of amino acids. Aside from water, proteins make up the majority of the molecules in our bodies. They are found throughout the body, including cells, blood, urine, spinal fluid, feces, amniotic fluids, saliva and pleural fluid. Proteins play a central role in the body’s biological processes, from the immune system response and signalizing pathways to transporting oxygen molecules and providing our cells with structure. Proteins or a group of interacting proteins are responsible for virtually every biological function within a living organism. Unlike the genome, the proteome is in constant flux depending on the state of the cell. However, even with the knowledge of the proteome’s influence, the proteome remains largely unexplored relative to the genome. Over the past decades, genomics has ushered in a greater understanding of human biology and disease through the decoding of the human genome, providing a greater understanding of the genes that lay out the instructions for the function, development and reproduction of organisms. While genomics has allowed the interrogation of genetic variation, protein variants hold information yet to be explored or connected to the network of genomic knowledge to better understand cellular function and disease. The protein’s elaborate structure, complicated composition, and vast number of variants, provide a dynamic look into the functions they provide. For example, proteins function as antibodies that bind to specific particles like viruses to protect the body; they act as enzymes to carry out chemical reactions in cells; they act as messengers like hormones to transmit signals; they exist as structural components; and form the basis for storage to carry additional molecules throughout the body.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Proteomic discovery provides insight into what is immediately happening biologically. This insight may be based on both genetic as well as environmental factors that influence protein structure and function. Proteins, while they are complex structures, given their dynamic nature are an excellent indicator that we believe can be used to track therapeutic response, disease progression and person’s overall health. In a sense, DNA tells us “what could happen,” and proteins tell us “what is happening.”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Proteomics tools have been broadly used across a wide range of applications,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Personalized medicine: </w:t>
      </w:r>
      <w:r>
        <w:rPr>
          <w:rFonts w:ascii="Arial" w:cs="Arial" w:eastAsia="Arial" w:hAnsi="Arial"/>
          <w:sz w:val="18"/>
          <w:szCs w:val="18"/>
          <w:color w:val="auto"/>
        </w:rPr>
        <w:t>tailoring of disease treatment based real-time proteomic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Biomarker discovery: </w:t>
      </w:r>
      <w:r>
        <w:rPr>
          <w:rFonts w:ascii="Arial" w:cs="Arial" w:eastAsia="Arial" w:hAnsi="Arial"/>
          <w:sz w:val="18"/>
          <w:szCs w:val="18"/>
          <w:color w:val="auto"/>
        </w:rPr>
        <w:t>identification of protein markers for disease identification;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Drug discovery and development: </w:t>
      </w:r>
      <w:r>
        <w:rPr>
          <w:rFonts w:ascii="Arial" w:cs="Arial" w:eastAsia="Arial" w:hAnsi="Arial"/>
          <w:sz w:val="18"/>
          <w:szCs w:val="18"/>
          <w:color w:val="auto"/>
        </w:rPr>
        <w:t>identification of potential drug candidates and aid in the development of the drug;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Systems biology: </w:t>
      </w:r>
      <w:r>
        <w:rPr>
          <w:rFonts w:ascii="Arial" w:cs="Arial" w:eastAsia="Arial" w:hAnsi="Arial"/>
          <w:sz w:val="17"/>
          <w:szCs w:val="17"/>
          <w:color w:val="auto"/>
        </w:rPr>
        <w:t>system-wide investigations of disease pathways to identify biomarkers, drug action, toxicity, efficacy and resistance;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Industry / agriculture: </w:t>
      </w:r>
      <w:r>
        <w:rPr>
          <w:rFonts w:ascii="Arial" w:cs="Arial" w:eastAsia="Arial" w:hAnsi="Arial"/>
          <w:sz w:val="18"/>
          <w:szCs w:val="18"/>
          <w:color w:val="auto"/>
        </w:rPr>
        <w:t>bioproduction and study of plant-pathogen interaction (e.g. crop engineering for drought resistance);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Food science: </w:t>
      </w:r>
      <w:r>
        <w:rPr>
          <w:rFonts w:ascii="Arial" w:cs="Arial" w:eastAsia="Arial" w:hAnsi="Arial"/>
          <w:sz w:val="18"/>
          <w:szCs w:val="18"/>
          <w:color w:val="auto"/>
        </w:rPr>
        <w:t>identification of allergies, understanding an improvement of nutritional values and food quality and safety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Proteomic Technologies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a much higher diversity and level of complexity related to proteins than genes. Depending on the combination of genes, specific proteins are built to perform specialized functions in the body. A single gene can encode multiple proteoforms depending on the role the protein will ultimately play in the cell. Protein synthesis happens in two stages. First is transcription, where DNA is converted into messenger RNA. Second is translation, where a cell’s ribosomes read the RNA instructions to assemble the protein. An increase in the complexity of the proteome is facilitated by post translational modifications (PTMs) where pieces of the protein are modified to either activate or inactivate the protein as part of a signaling pathway to localize the protein to a certain cellular compartment. Legacy proteomic techniques can be grouped into various lower-plex and higher-plex methods to better analyze complex proteins:</w:t>
      </w:r>
    </w:p>
    <w:p>
      <w:pPr>
        <w:spacing w:after="0" w:line="191" w:lineRule="exact"/>
        <w:rPr>
          <w:sz w:val="20"/>
          <w:szCs w:val="20"/>
          <w:color w:val="auto"/>
        </w:rPr>
      </w:pPr>
    </w:p>
    <w:p>
      <w:pPr>
        <w:jc w:val="both"/>
        <w:ind w:left="66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Lower-plex methods. </w:t>
      </w:r>
      <w:r>
        <w:rPr>
          <w:rFonts w:ascii="Arial" w:cs="Arial" w:eastAsia="Arial" w:hAnsi="Arial"/>
          <w:sz w:val="17"/>
          <w:szCs w:val="17"/>
          <w:color w:val="auto"/>
        </w:rPr>
        <w:t>Lower-plex proteomic analysis methods include immunoassay, Gel, and chromatography-based methods. Immunoassay</w:t>
      </w:r>
      <w:r>
        <w:rPr>
          <w:rFonts w:ascii="Arial" w:cs="Arial" w:eastAsia="Arial" w:hAnsi="Arial"/>
          <w:sz w:val="17"/>
          <w:szCs w:val="17"/>
          <w:b w:val="1"/>
          <w:bCs w:val="1"/>
          <w:color w:val="auto"/>
        </w:rPr>
        <w:t xml:space="preserve"> </w:t>
      </w:r>
      <w:r>
        <w:rPr>
          <w:rFonts w:ascii="Arial" w:cs="Arial" w:eastAsia="Arial" w:hAnsi="Arial"/>
          <w:sz w:val="17"/>
          <w:szCs w:val="17"/>
          <w:color w:val="auto"/>
        </w:rPr>
        <w:t>based methods rely on the availability of antibodies targeting specific proteins or epitopes as a way to identify and quantify protein expression levels. Changes or modifications to the protein may prevent the antibody from binding, resulting in missed identification. Gel based methods like Western blots were the first proteomic technique developed. They utilize an electric current to separate proteins in a gel based on their size and charge, prior to further analysis by a MS instrument. Chromatography based methods use ion-exchange chromatography to separate and purify proteins from complex biological mixtures. The purified proteins can then be analyzed using a MS.</w:t>
      </w:r>
    </w:p>
    <w:p>
      <w:pPr>
        <w:spacing w:after="0" w:line="173"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Higher-plex methods. </w:t>
      </w:r>
      <w:r>
        <w:rPr>
          <w:rFonts w:ascii="Arial" w:cs="Arial" w:eastAsia="Arial" w:hAnsi="Arial"/>
          <w:sz w:val="16"/>
          <w:szCs w:val="16"/>
          <w:color w:val="auto"/>
        </w:rPr>
        <w:t>Higher-plex proteomic analysis methods include protein microarrays and MS instruments. Existing high-plex proteomic</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however, often have tradeoffs between sensitivity and dynamic range — current technologies that are able to analyze the proteome at higher plex, often do so with lower sensitivity and resolution. Specificity is also a key consideration when multiplexing (analyzing multiple proteins in the same sample). Protein microarrays apply small amounts of sample to a “glass chip” where specific antibodies are used to capture target proteins to measure the expression levels and binding affinities of proteins. The most common way researchers currently analyze proteins is through the use of MS. MS is a method for the mass determination and characterization of proteins, and its direct applications include protein identification and post-translational modifications, elucidation of protein complexes, their subunits and functional interactions, as well as global measurement of proteins in proteomics. Some newer technologies have addressed certain limitations of these methods, yet still require separate peptide drying or are reliant on existing MS instruments. With an estimated 16,000 MS instruments installed worldwide specifically for proteomics analysis, we believe the cost of $250,000 to $1,000,000 or more per new instrument, according to research by DeciBio, LLC, limits access to proteomics research and we believe currently limits the size and growth of the overall proteomics industry.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Legacy Proteomic Techniques</w:t>
      </w:r>
    </w:p>
    <w:p>
      <w:pPr>
        <w:spacing w:after="0" w:line="221" w:lineRule="exact"/>
        <w:rPr>
          <w:sz w:val="20"/>
          <w:szCs w:val="20"/>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Limitations of biased approaches. </w:t>
      </w:r>
      <w:r>
        <w:rPr>
          <w:rFonts w:ascii="Arial" w:cs="Arial" w:eastAsia="Arial" w:hAnsi="Arial"/>
          <w:sz w:val="18"/>
          <w:szCs w:val="18"/>
          <w:color w:val="auto"/>
        </w:rPr>
        <w:t>Typical workflows rely on analyte-specific reagents (ASRs) for protein detection. ASRs comprise a variety</w:t>
      </w:r>
      <w:r>
        <w:rPr>
          <w:rFonts w:ascii="Arial" w:cs="Arial" w:eastAsia="Arial" w:hAnsi="Arial"/>
          <w:sz w:val="18"/>
          <w:szCs w:val="18"/>
          <w:b w:val="1"/>
          <w:bCs w:val="1"/>
          <w:color w:val="auto"/>
        </w:rPr>
        <w:t xml:space="preserve"> </w:t>
      </w:r>
      <w:r>
        <w:rPr>
          <w:rFonts w:ascii="Arial" w:cs="Arial" w:eastAsia="Arial" w:hAnsi="Arial"/>
          <w:sz w:val="18"/>
          <w:szCs w:val="18"/>
          <w:color w:val="auto"/>
        </w:rPr>
        <w:t>of molecules, such as antibodies or aptamers, which bind to specific regions, rather than individual amino acids, and therefore may not detect the presence of a known protein variants. For instance, the average binding site of an ASR is an epitope with a length of five (5) to eight (8) amino acids, whereas the average length of a human protein is approximately 470 amino acids. While ASRs are prevalent and readily available, inherent limitations in how these molecules interact with proteins for various detection platforms limit their use for resolving protein sequences at single amino acid resolution.</w:t>
      </w:r>
    </w:p>
    <w:p>
      <w:pPr>
        <w:spacing w:after="0" w:line="187"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Mass spectrometry tools have a high cost of purchase and ownership. </w:t>
      </w:r>
      <w:r>
        <w:rPr>
          <w:rFonts w:ascii="Arial" w:cs="Arial" w:eastAsia="Arial" w:hAnsi="Arial"/>
          <w:sz w:val="18"/>
          <w:szCs w:val="18"/>
          <w:color w:val="auto"/>
        </w:rPr>
        <w:t>For more than a decade, MS has been the dominant tool for an unbiased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protein analysis. Shotgun proteomics, or studying pieces of proteins that have been broken apart, typically utilizes MS and MS workflows, allowing for the interrogation of individual peptides and protein sequences. However, these techniques are generally complex, lengthy, expensive, laborious and require extensive data analysis. Taken together, these factors limit the scalability of this approach and broad adoption of the technology in the market. Comparatively, targeted or biased methods like protein arrays are scalable but only enable interrogation of a fixed number of targeted proteins per sample. Biased approaches lack the capabilities necessary to catalog new protein variants. Users are therefore forced to choose between breadth with MS or scalability with other biased technologies, or limited alternatives that can address both needs.</w:t>
      </w:r>
    </w:p>
    <w:p>
      <w:pPr>
        <w:spacing w:after="0" w:line="191"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Low levels of resolution and sensitivity. </w:t>
      </w:r>
      <w:r>
        <w:rPr>
          <w:rFonts w:ascii="Arial" w:cs="Arial" w:eastAsia="Arial" w:hAnsi="Arial"/>
          <w:sz w:val="18"/>
          <w:szCs w:val="18"/>
          <w:color w:val="auto"/>
        </w:rPr>
        <w:t>We believe successful technologies for use in broad proteomic and clinical testing generally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high levels of specificity and sensitivity as well as the ability to scale to reliably meet volume demand. Current sensitivity and dynamic range restrictions make legacy technologies, such as MS, difficult to use with liquid samples and restrict the ability to analyze at single molecule resolution.</w:t>
      </w:r>
    </w:p>
    <w:p>
      <w:pPr>
        <w:spacing w:after="0" w:line="17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There is no end-to-end platform to enable a true sample-to-answer assays. </w:t>
      </w:r>
      <w:r>
        <w:rPr>
          <w:rFonts w:ascii="Arial" w:cs="Arial" w:eastAsia="Arial" w:hAnsi="Arial"/>
          <w:sz w:val="17"/>
          <w:szCs w:val="17"/>
          <w:color w:val="auto"/>
        </w:rPr>
        <w:t>While there have been some improvements to proteomic</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there remain numerous key limitations in typical proteomic analysis. Experiments often require input and oversight from highly trained MS scientists, which often requires specialty training for both MS instrument operation and data analysis. Further, these workflows can be tedious and require extensive hands-on-time to perform, inherently limiting sample throughput.</w:t>
      </w:r>
    </w:p>
    <w:p>
      <w:pPr>
        <w:spacing w:after="0" w:line="164"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Costly and complex data analysis. </w:t>
      </w:r>
      <w:r>
        <w:rPr>
          <w:rFonts w:ascii="Arial" w:cs="Arial" w:eastAsia="Arial" w:hAnsi="Arial"/>
          <w:sz w:val="18"/>
          <w:szCs w:val="18"/>
          <w:color w:val="auto"/>
        </w:rPr>
        <w:t>We believe the critical unmet needs remaining in proteomic analysis relate to cost, accessibility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simplicity. Given the complex and dynamic aspects of proteins, proteomic analysis can generate vast amounts of data that can be difficult to analyze to arrive at a biologically relevant answer. Currently, the complexity of the analysis is also costly, due to the data processing and analysis infrastructure that is often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proteomic market is dynamic and includes legacy solutions and new entrants all aiming to become market leaders. The proteomics market is less concentrated, with no single technology dominating the majority of the market.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Proteomics is an emerging research area and highly fragmented with numerous technologies that address a variety of points along a typical protein analysis workflow, such as sample preparation, analysis, target number, dynamic range and sample throughput. There are limited commercial product options available that have the power to address the entire workflow from sample to answer. We believe that our platform will enable an end-to-end workflow solution, driven in part by our proprietary chip, to enable next-generation single-molecule protein sequencing. Moreover, aspects of our platform are designed to operate with other sample workflows. For example, our Carbon sample preparation instrument is designed to be used with various reagents to prepare digest peptides, which could then be analyzed either with our Platinum instrument or with legacy MS instruments. The figure below illustrates the end-to-end workflow solution we aim to provide as compared to select companies that offer point solutions within an overall proteomic analysis workflow.</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Proteomics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370332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0332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According to SVB Leerink Research, proteomics represented a $75 billion market opportunity spanning from life science research through diagnostics in 2021. Within this, proteomics research represented $20 billion, while proteomic diagnostics represented the remaining $55 billion. Based on this, we believe that the current TAM for our RUO platform is at least $20 billion. Our protein sequencing platform is currently intended for RUO applications, and any potential future use of our products for clinical use would require regulatory authorization. Many technologies across these segments are decades old with limitations that have prevented broad spread adoption of proteomics research. We believe our products and technologies have the potential to provide users across life sciences research market access to the proteome in a simple, cost effective, unbiased, and scalable manner.</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Today, legacy proteomics users generally rely on MS for high throughput protein characterization. Typical MS workflows are disaggregated, expensive, and require significant training to perform, which ultimately limits access to specialty facilities or core MS labs. A primary mission of our technology platform is to provide broad access to proteomics tools across academic research labs, core labs, and biopharma R&amp;D labs. Our expected price point, simplicity of workflow and end-to-end solution are designed to attract users who seek to replace a legacy technology or are entering the proteomics market as new customers. Some of our potential customers may have an existing MS system but may choose our products to supplement their system. Some users may wish to add proteomics analysis capacity, particularly for low throughput needs. We believe these customers value the speed, data driven analytical insights, affordability, and simplicity we expect our platform to provide to them. Additionally, we believe our platform will appeal to traditional customers of large MS cores. Rather than wait potentially weeks for core labs to analyze samples, our platform aims to provide an affordable and accessible alternative.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believe that our proteomics platform may appeal to existing users of DNA sequencing technologies to directly augment their research and discovery of biomarkers and further deepen their understanding of biology. We believe our benchtop proteomics instruments will allow genomics users the ability to pursue multi-omic approaches to tackle basic and applied research questions.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we expect users within the analyte testing segment to adopt our technologies for a variety of clinical research and translational applications. The analyte testing market comprises multiple technologies ranging from basic ELISA tests for interrogating a small number of targets to more complex, high throughput protein analyzers. Successful technologies for use in broad clinical testing generally require specificity and sensitivity as well as the ability to scale to reliably meet volume demand. Developed to be a true single molecule detection platform, our products are designed to achieve the highest level of resolution for sensitivity by sequencing information at the individual amino acid level, and therefore the specificity to meet fidelity requirements of clinical testing, if our products are ultimately authorized for such use. In addition, because our technology utilizes semiconductor chip technology and is positioned to make use of the supply chain and fabrication of the semiconductor industry, our platform has the potential to scale to meet demand ultimately on a global scale.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designed and developed a hardware, consumable and software solution to provide a full end-to-end solution.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Collectively, we believe our products provide a comprehensive and flexible platform. Each piece of our system is designed to address specific bottlenecks in common proteomic workflows, which we believe will appeal to a broad audience of end users. We believe that our universal unbiased single molecule detection platform will enable a proteomics solution at an affordable cost and provide users the opportunity to perform proteomics studies. Our launch product consists of Platinum™, Quantum-Si Cloud™ and consumables. We believe we are the first company to successfully enable NGPS, thus digitizing a substantial proteomics opportunity, for a scalable and massively parallel solution at the ultimate level of sensitivity — single molecule.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Launch Platform Consists of Carbon, Platinum, and Quantum-Si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154305</wp:posOffset>
            </wp:positionV>
            <wp:extent cx="3420110" cy="1594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011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System (left), Platinum Protein Sequencer (middle) Cloud Analytics (right)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 Sample Prep Instrument (under development)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Carbon instrument is a universal automated sample preparation instrument. Carbon is designed to help automate the workflow by addressing a process that is traditionally complicated and manual. Carbon is designed to enable a wide range of applications through a simple single-use fluidics cartridge. Specific features include the ability to:</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 and meter out small volumes of reagents/samples between reservoirs;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 chemical or enzymatic incubations with or without temperature control;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Purify target analyte;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Automate sample prep through to library creation.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protein sequencing, Carbon is designed to automate the processes of loading the Chips and protein digestion, capping, conjugation and clean-up with walk-away operation.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Platinum — Single Molecule Detection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Instrument and Time-Domain Sequencing™ Chip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17145</wp:posOffset>
            </wp:positionV>
            <wp:extent cx="3686175" cy="1379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617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flagship sequencing instrument, Platinum, is designed to make the power of single-molecule detection and NGPS broadly accessible. While traditional instruments like mass spectrometers may cost anywhere from $250,000 to over $1,000,000 per new instrument, our Platinum device retails for approximately $70,000. Platinum is designed to provide a streamlined rapid workflow compared to legacy MS workflows. Platinum uses our proprietary semiconductor chip that leverages Time-Domain Sequencing™ with an initial focus on NGPS for an unbiased view of the proteome. We believe the digital nature of the sequencing readout could enable users to answer three key questions:</w:t>
      </w:r>
    </w:p>
    <w:p>
      <w:pPr>
        <w:spacing w:after="0" w:line="184" w:lineRule="exact"/>
        <w:rPr>
          <w:sz w:val="20"/>
          <w:szCs w:val="20"/>
          <w:color w:val="auto"/>
        </w:rPr>
      </w:pPr>
    </w:p>
    <w:p>
      <w:pPr>
        <w:ind w:left="660" w:hanging="328"/>
        <w:spacing w:after="0" w:line="31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What protein is present? </w:t>
      </w:r>
      <w:r>
        <w:rPr>
          <w:rFonts w:ascii="Arial" w:cs="Arial" w:eastAsia="Arial" w:hAnsi="Arial"/>
          <w:sz w:val="17"/>
          <w:szCs w:val="17"/>
          <w:color w:val="auto"/>
        </w:rPr>
        <w:t>Amino acid resolution can provide insight into more than just whether a protein is present or absent. The sequence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could also indicate what version of the protein is present and how it has been changed from the normal version.</w:t>
      </w:r>
    </w:p>
    <w:p>
      <w:pPr>
        <w:spacing w:after="0" w:line="139"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How much of the protein is present? </w:t>
      </w:r>
      <w:r>
        <w:rPr>
          <w:rFonts w:ascii="Arial" w:cs="Arial" w:eastAsia="Arial" w:hAnsi="Arial"/>
          <w:sz w:val="18"/>
          <w:szCs w:val="18"/>
          <w:color w:val="auto"/>
        </w:rPr>
        <w:t>A digital quantification provides precise protein abundance, not an analog theoretical abundance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a colorimetric or mass abundance readout.</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How has the protein been modified? </w:t>
      </w:r>
      <w:r>
        <w:rPr>
          <w:rFonts w:ascii="Arial" w:cs="Arial" w:eastAsia="Arial" w:hAnsi="Arial"/>
          <w:sz w:val="18"/>
          <w:szCs w:val="18"/>
          <w:color w:val="auto"/>
        </w:rPr>
        <w:t>Single-molecule sensitivity could show how the protein has been post-translationally modified thus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greater insights to its role in the context of biological processes within the cell.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semiconductor chip is the core of our technology. By leveraging developments in the semiconductor industry, we are developing our scalable single-molecule next generation protein sequencer. Similar to the camera in a mobile phone, our chip is produced in standard semiconductor foundries and has been designed to provide insight into biology. The power of our approach is that rather than analyzing proteins one at a time, our chip is designed to enable parallel sequencing across millions of independent chambers, and the number of parallel sequencing reactions to scale rapidly. Each independent sequencing reaction takes place at the ultimate level of sensitivity and specificity, single molecules, which is critical to protein detection because there is no way to amplify protein, preventing existing amplification-based technologies to enable protein sequencing.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Wafer of Quantum-Si Time-Domain™ Sequencing Chip (left) and Individual Chip Mounted to a Printed Circuit Board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154305</wp:posOffset>
            </wp:positionV>
            <wp:extent cx="3282950" cy="1517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295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team has considerable experience in the fabrication processes for semiconductor chips, which is a complex process, and has successfully used chips to advance NGS previously at other companies. We have developed and optimized processes with the third-party foundry that supplies our chips, which allows us to make integrated chips using standard foundry processes with sufficient performance for our commercial needs and to scale to meet our customer demand. We believe that our proprietary chip is a core component in our ability to scale. Ultimately, we will need to utilize larger and more powerful chips capable of processing more complex biological samples.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we acquired Majelac Technologies LLC (“Majelac”), a semiconductor packaging company based in Garnet Valley, Pennsylvania. The acquisition brought our semiconductor chip assembly and packaging capabilities in-house in order to secure our supply chain and support our commercialization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Consumables for Use in Carbon and Platinum</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we expect to begin to derive recurring revenue from the sale of consumables. These consumables will be required for users to run samples through the Carbon and Platinum instruments. Consumables consist of our reagent kits and chips and are designed for use only with our instruments.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Quantum-Si Cloud™ — Faster, Simpler, Data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Quantum-Si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154305</wp:posOffset>
            </wp:positionV>
            <wp:extent cx="3471545" cy="199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154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platform is designed to integrate a cloud-based solution into the instrument to stream data in real-time to the cloud where analytical workflows can then interpret the data. For example, while we expect that sequencing data will be stored on the Platinum instrument itself, our cloud-based solution is designed to map peptide sequences to proteins and facilitate the required counting for protein identification and quantitation in the cloud.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are also developing our cloud-based solution to include the following features: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User management for secured data access;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Light-weight library information management system for data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Multi-tenancy to enable data sharing and collaborations; and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have designed our cloud solution to address the key needs of researchers today, including to address potential bottlenecks that we believe might otherwise limit customer satisfaction and routine use of our instruments, while providing the data governance and security required for clinical use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Time-Domain Sequencing™ and Next Generation Protein Sequencing (NGPS)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With proteins, there are 20 amino acids, therefore technologies that use color alone, would not be able to scale to that number of characters. Our proprietary chip is designed to use time, instead of color, to detect amino acids, and we combine time with intensity and single-molecule kinetics to capture three dimensions of data. We expect that three dimensions of data will ultimately enable us to cover all 20 amino acids.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core of our proprietary detection method, which we refer to as Time-Domain Sequencing™, is based on the fluorescence lifetime of dyes. Fluorescence lifetime is a measure of the time a fluorophore dye spends in the excited state before returning to the ground state by emitting a photon of light. Different dyes emit photons of light at different rates that follow a known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Photon Emission Distribution of a Dye After Excitation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154305</wp:posOffset>
            </wp:positionV>
            <wp:extent cx="1894205" cy="1251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420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Platinum instrument includes a proprietary mode-locked laser, which provides the excitation light pulse, and our semiconductor chip allows us to reject the laser light and then rapidly collect, bin and measure the arrival time of emitted photons of a fluorescently labeled molecule. By binning and measuring the arrival times of photons we can then calculate the fluorescence lifetime, which can be used as a surrogate for the wavelength/color measurements. By using time instead of color to analyze proteins, we can leverage semiconductors’ ability to measure time.</w:t>
      </w:r>
    </w:p>
    <w:p>
      <w:pPr>
        <w:sectPr>
          <w:pgSz w:w="11900" w:h="16838" w:orient="portrait"/>
          <w:cols w:equalWidth="0" w:num="1">
            <w:col w:w="11240"/>
          </w:cols>
          <w:pgMar w:left="320" w:top="122"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NGPS, we fluorescently label recognizer molecules, which are designed to bind to the terminal end of a peptide (piece of a protein) that has been immobilized to the bottom of the reaction chamber. A single recognizer is capable of uniquely identifying more than one amino acid. By leveraging the fluorescent lifetime and intensity of the dye, our technology is designed to accurately determine the recognizer. By measuring the on and off rate (kinetic information) of a recognizer as it interacts with the terminal amino acid tens to hundreds of times, we believe our technology can accurately identify the amino acid.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removing the terminal amino acid, the recognition process repeats until the full peptide chain is sequenced. While traditional single-molecule platforms rely on single measurement for the detection of an event, the advantage of our approach is that our technology can actually obtain tens to hundreds of data points for each amino acid. Cumulatively, we expect the multiple measurements to deliver high amino acid call accuracy.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Protein Sequencing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46370" cy="1200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637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221" w:lineRule="exact"/>
        <w:rPr>
          <w:sz w:val="20"/>
          <w:szCs w:val="20"/>
          <w:color w:val="auto"/>
        </w:rPr>
      </w:pPr>
    </w:p>
    <w:p>
      <w:pPr>
        <w:jc w:val="both"/>
        <w:ind w:left="660" w:hanging="328"/>
        <w:spacing w:after="0" w:line="31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single molecule detection providing the ultimate level of protein sensitivity and specificity. </w:t>
      </w:r>
      <w:r>
        <w:rPr>
          <w:rFonts w:ascii="Arial" w:cs="Arial" w:eastAsia="Arial" w:hAnsi="Arial"/>
          <w:sz w:val="16"/>
          <w:szCs w:val="16"/>
          <w:color w:val="auto"/>
        </w:rPr>
        <w:t>Our platform is based on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semiconductor chip designed to enable measurements at the ultimate level of sensitivity and specificity, single molecules. By enabling single molecule detection, we are not reliant on ensemble measurements, which can often vary from sample to sample and even run to run.</w:t>
      </w:r>
    </w:p>
    <w:p>
      <w:pPr>
        <w:spacing w:after="0" w:line="141" w:lineRule="exact"/>
        <w:rPr>
          <w:rFonts w:ascii="Arial" w:cs="Arial" w:eastAsia="Arial" w:hAnsi="Arial"/>
          <w:sz w:val="16"/>
          <w:szCs w:val="16"/>
          <w:color w:val="auto"/>
        </w:rPr>
      </w:pPr>
    </w:p>
    <w:p>
      <w:pPr>
        <w:jc w:val="both"/>
        <w:ind w:left="660" w:hanging="328"/>
        <w:spacing w:after="0" w:line="31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Amino acid resolution and Post-Translational Modification (PTM) detection. </w:t>
      </w:r>
      <w:r>
        <w:rPr>
          <w:rFonts w:ascii="Arial" w:cs="Arial" w:eastAsia="Arial" w:hAnsi="Arial"/>
          <w:sz w:val="16"/>
          <w:szCs w:val="16"/>
          <w:color w:val="auto"/>
        </w:rPr>
        <w:t>Moving beyond simple confirmatory information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affinity-based platforms, our platform delivers amino acid resolution shifting the output from analog to digital. The ability to also identify PTMs could provide novel insights into how pathways are turned on/off to improve our understanding of the estimated 1 million + proteoforms.</w:t>
      </w:r>
    </w:p>
    <w:p>
      <w:pPr>
        <w:spacing w:after="0" w:line="141"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Real-time data processing and Cloud platform provides fast, simple data analysis. </w:t>
      </w:r>
      <w:r>
        <w:rPr>
          <w:rFonts w:ascii="Arial" w:cs="Arial" w:eastAsia="Arial" w:hAnsi="Arial"/>
          <w:sz w:val="18"/>
          <w:szCs w:val="18"/>
          <w:color w:val="auto"/>
        </w:rPr>
        <w:t>During sequencing our Platinum instrument is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stream data to the cloud in real-time, which could allow for faster time to results. In addition, we have developed our cloud-based platform to provide key tools needed to streamline use of the platform such as secure access, data management, and an open platform where developers can create new analytical workflows to run in our cloud and share them easily with other users.</w:t>
      </w:r>
    </w:p>
    <w:p>
      <w:pPr>
        <w:spacing w:after="0" w:line="179"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Innovative proprietary end-to-end proteomic platform offering differentiated full suite of protein sequencing solutions. </w:t>
      </w:r>
      <w:r>
        <w:rPr>
          <w:rFonts w:ascii="Arial" w:cs="Arial" w:eastAsia="Arial" w:hAnsi="Arial"/>
          <w:sz w:val="16"/>
          <w:szCs w:val="16"/>
          <w:color w:val="auto"/>
        </w:rPr>
        <w:t>We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our platform will enable full end-to-end proteomics workflow solution spanning sample preparation through protein sequencing and analysis, allowing our customers a seamless opportunity to perform proteomic studies at scale. We also believe that we are the first company to successfully enable NGPS. We believe the digital nature of our readout provides an accurate and repeatable quantification of proteins in the sample and could scale to enable millions of data points working at the ultimate level of sensitivity — single molecule resolution.</w:t>
      </w:r>
    </w:p>
    <w:p>
      <w:pPr>
        <w:spacing w:after="0" w:line="153"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Platform to enable democratized access to proteomics tools. </w:t>
      </w:r>
      <w:r>
        <w:rPr>
          <w:rFonts w:ascii="Arial" w:cs="Arial" w:eastAsia="Arial" w:hAnsi="Arial"/>
          <w:sz w:val="17"/>
          <w:szCs w:val="17"/>
          <w:color w:val="auto"/>
        </w:rPr>
        <w:t>Our platform is designed to provide an easy-to-use workflow with the potential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users the ability to better characterize and understand the full complexity of the proteome in an unbiased fashion. Current workflows are typically disaggregated, expensive, require significant training to operate, and are often performed in a separate specialty laboratory. We aim for our technology platform to be broadly available across pharmaceutical and academic research centers, basic research labs, and other healthcare centers and clinical laboratories (for RUO until appropriate regulatory authorization is secured to allow clinical or diagnostic uses) at a price point that is a significant discount to most legacy technologies. The reduction in both cost and complexity could allow for rapid adoption, whether a user is replacing a legacy technology or buying a new instrument. In addition to appealing to users of existing proteomics tools, we believe that our proteomics platform will appeal to users of DNA sequencing technologies who seek to augment their research and discovery of biomarkers and further deepen their understanding of biology.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ind w:left="66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Business model that leverages growing installed base of instruments. </w:t>
      </w:r>
      <w:r>
        <w:rPr>
          <w:rFonts w:ascii="Arial" w:cs="Arial" w:eastAsia="Arial" w:hAnsi="Arial"/>
          <w:sz w:val="18"/>
          <w:szCs w:val="18"/>
          <w:color w:val="auto"/>
        </w:rPr>
        <w:t>In December 2022, we launched Platinum™ for RUO. As part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efforts, we aim to grow our installed base, optimize workflows, and expand our applications, which we expect will then generate substantial, recurring revenues from our consumables.</w:t>
      </w:r>
    </w:p>
    <w:p>
      <w:pPr>
        <w:spacing w:after="0" w:line="17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Robust patent protection. </w:t>
      </w:r>
      <w:r>
        <w:rPr>
          <w:rFonts w:ascii="Arial" w:cs="Arial" w:eastAsia="Arial" w:hAnsi="Arial"/>
          <w:sz w:val="18"/>
          <w:szCs w:val="18"/>
          <w:color w:val="auto"/>
        </w:rPr>
        <w:t>We have a strong intellectual property strategy in which we have 214 issued patents and 797 pending applications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2022. Many from our management team worked directly with our Founder, Dr. Jonathan Rothberg, as he revolutionized the creation of next generation DNA sequencing while founding Ion Torrent, which was acquired by Life Technologies in 2010. Our team has similarly devoted its efforts to revolutionizing unbiased proteomic analysis using a similar scientific and technical validation approach since our founding in 2013.</w:t>
      </w:r>
    </w:p>
    <w:p>
      <w:pPr>
        <w:spacing w:after="0" w:line="18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Experienced Life Science Management team combined with a visionary founder and experienced financial partners with deep experience in healthcare. </w:t>
      </w:r>
      <w:r>
        <w:rPr>
          <w:rFonts w:ascii="Arial" w:cs="Arial" w:eastAsia="Arial" w:hAnsi="Arial"/>
          <w:sz w:val="17"/>
          <w:szCs w:val="17"/>
          <w:color w:val="auto"/>
        </w:rPr>
        <w:t>We have a world-class management team, including our executive officers and other senior management, with decades of</w:t>
      </w:r>
      <w:r>
        <w:rPr>
          <w:rFonts w:ascii="Arial" w:cs="Arial" w:eastAsia="Arial" w:hAnsi="Arial"/>
          <w:sz w:val="17"/>
          <w:szCs w:val="17"/>
          <w:b w:val="1"/>
          <w:bCs w:val="1"/>
          <w:color w:val="auto"/>
        </w:rPr>
        <w:t xml:space="preserve"> </w:t>
      </w:r>
      <w:r>
        <w:rPr>
          <w:rFonts w:ascii="Arial" w:cs="Arial" w:eastAsia="Arial" w:hAnsi="Arial"/>
          <w:sz w:val="17"/>
          <w:szCs w:val="17"/>
          <w:color w:val="auto"/>
        </w:rPr>
        <w:t>cumulative experience in the healthcare and life sciences end-markets. Many members of the team worked directly with our Founder and Chairman, Dr. Jonathan Rothberg to successfully commercialize previous DNA sequencing technologies. Dr. Rothberg has dedicated his career to developing breakthrough technologies to revolutionize healthcare. He has founded more than 10 healthcare technology companies and has received numerous awards, including the Presidential Medal of Technology &amp; Innovation in 2016. Dr. Rothberg previously founded 454 Life Sciences, a high throughput DNA sequencing platform which was later sold to Roche, as well as founded Ion Torrent, a next generation sequencing platform which was later sold to Life Technologies. We believe this leadership team positions us as a potentially disruptive force in creating a new market of next generation protein sequencing.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strategies include the following:</w:t>
      </w:r>
    </w:p>
    <w:p>
      <w:pPr>
        <w:spacing w:after="0" w:line="221" w:lineRule="exact"/>
        <w:rPr>
          <w:sz w:val="20"/>
          <w:szCs w:val="20"/>
          <w:color w:val="auto"/>
        </w:rPr>
      </w:pPr>
    </w:p>
    <w:p>
      <w:pPr>
        <w:jc w:val="both"/>
        <w:ind w:left="66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Systematic and phased approach to broad commercialization and adoption. </w:t>
      </w:r>
      <w:r>
        <w:rPr>
          <w:rFonts w:ascii="Arial" w:cs="Arial" w:eastAsia="Arial" w:hAnsi="Arial"/>
          <w:sz w:val="17"/>
          <w:szCs w:val="17"/>
          <w:color w:val="auto"/>
        </w:rPr>
        <w:t>In December 2022, we launched Platinum™ for RUO.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of our team have previously utilized a systematic approach designed to drive early adoption to successfully launch other disruptive sequencing technologies, including the roll out of Ion Torrent’s next generation DNA sequencing technology. We believe this approach will allow us to introduce our platform in a structured manner to demonstrate its use and practicality, while working directly with our key potential customers and industry thought leaders to help ensure a positive experience. Our core leadership team has decades of cumulative experience working directly in the life sciences industry with many of the companies and research centers that have the potential to become key customers and that we will seek to build into our prospective customer pipeline.</w:t>
      </w:r>
    </w:p>
    <w:p>
      <w:pPr>
        <w:spacing w:after="0" w:line="171" w:lineRule="exact"/>
        <w:rPr>
          <w:rFonts w:ascii="Arial" w:cs="Arial" w:eastAsia="Arial" w:hAnsi="Arial"/>
          <w:sz w:val="17"/>
          <w:szCs w:val="17"/>
          <w:color w:val="auto"/>
        </w:rPr>
      </w:pPr>
    </w:p>
    <w:p>
      <w:pPr>
        <w:jc w:val="both"/>
        <w:ind w:left="660" w:hanging="328"/>
        <w:spacing w:after="0" w:line="27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w:t>
      </w:r>
      <w:r>
        <w:rPr>
          <w:rFonts w:ascii="Arial" w:cs="Arial" w:eastAsia="Arial" w:hAnsi="Arial"/>
          <w:sz w:val="17"/>
          <w:szCs w:val="17"/>
          <w:b w:val="1"/>
          <w:bCs w:val="1"/>
          <w:color w:val="auto"/>
        </w:rPr>
        <w:t>uild our commercial infrastructure to help ensure successful initial commercial launch in the U.S.</w:t>
      </w:r>
      <w:r>
        <w:rPr>
          <w:rFonts w:ascii="Arial" w:cs="Arial" w:eastAsia="Arial" w:hAnsi="Arial"/>
          <w:sz w:val="17"/>
          <w:szCs w:val="17"/>
          <w:color w:val="auto"/>
        </w:rPr>
        <w:t xml:space="preserve"> We expect to build out our commercial and operational infrastructure to sell and support our platform as we commercialize our technology and gain traction. Our investments will be aligned with our initial traction in the Market. We also have manufacturing partnerships that we believe will allow us to rapidly expand our capacity, with the ability to create new manufacturing lines to meet potential customer demand. In November 2021, we acquired Majelac, a semiconductor packaging company based in Garnet Valley, Pennsylvania. The acquisition brings our semiconductor chip assembly and packaging capabilities in-house in order to secure our supply chain and support our commercialization efforts.</w:t>
      </w:r>
    </w:p>
    <w:p>
      <w:pPr>
        <w:spacing w:after="0" w:line="173" w:lineRule="exact"/>
        <w:rPr>
          <w:rFonts w:ascii="Arial" w:cs="Arial" w:eastAsia="Arial" w:hAnsi="Arial"/>
          <w:sz w:val="17"/>
          <w:szCs w:val="17"/>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Invest in market development activities to increase awareness of the importance of the proteome and the strengths of our platform.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our platform has the capability to enable users to generate significant amounts of proteomic information at speed, scale, and simplicity through a solution that until our launch, was not available. We believe the utility of our platform will span basic and discovery applications and translational research in which there is a strong market need for proteomic analysis for novel discoveries and better insights into the complexity of disease. We plan to invest in market development activities and partnerships to increase awareness of the importance and utility of proteomics to expand and accelerate demand for our products.</w:t>
      </w:r>
    </w:p>
    <w:p>
      <w:pPr>
        <w:spacing w:after="0" w:line="187"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Continued technical innovation to drive product enhancements, new products, and additional applications. </w:t>
      </w:r>
      <w:r>
        <w:rPr>
          <w:rFonts w:ascii="Arial" w:cs="Arial" w:eastAsia="Arial" w:hAnsi="Arial"/>
          <w:sz w:val="18"/>
          <w:szCs w:val="18"/>
          <w:color w:val="auto"/>
        </w:rPr>
        <w:t>Our leadership team has deep</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in scientific and technological development and commercialization. After we commercialize our initial products, we aim to continually innovate and develop new products, product enhancements, applications, workflows, and other tools to enable our customers to generate unbiased proteomic information at scale on a benchtop platform.</w:t>
      </w:r>
    </w:p>
    <w:p>
      <w:pPr>
        <w:spacing w:after="0" w:line="17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Accessibility and Enablement: Enable broad adoption of protein sequencing. </w:t>
      </w:r>
      <w:r>
        <w:rPr>
          <w:rFonts w:ascii="Arial" w:cs="Arial" w:eastAsia="Arial" w:hAnsi="Arial"/>
          <w:sz w:val="17"/>
          <w:szCs w:val="17"/>
          <w:color w:val="auto"/>
        </w:rPr>
        <w:t>Our mission is to democratize single molecule proteomic</w:t>
      </w:r>
      <w:r>
        <w:rPr>
          <w:rFonts w:ascii="Arial" w:cs="Arial" w:eastAsia="Arial" w:hAnsi="Arial"/>
          <w:sz w:val="17"/>
          <w:szCs w:val="17"/>
          <w:b w:val="1"/>
          <w:bCs w:val="1"/>
          <w:color w:val="auto"/>
        </w:rPr>
        <w:t xml:space="preserve"> </w:t>
      </w:r>
      <w:r>
        <w:rPr>
          <w:rFonts w:ascii="Arial" w:cs="Arial" w:eastAsia="Arial" w:hAnsi="Arial"/>
          <w:sz w:val="17"/>
          <w:szCs w:val="17"/>
          <w:color w:val="auto"/>
        </w:rPr>
        <w:t>analysis by providing a full workflow of solutions at an affordable cost. We believe that our platform will directly address many of the key bottlenecks that exist within legacy proteomic technologies, namely low sensitivity, lack of dynamic range, complex workflow, complex analysis, and high cost. We believe our platform offers the potential for a more practical, affordable, and intuitive end-to-end workflow solution relative to many legacy proteomic technologies. We have specifically developed our platform to be adopted and integrated into any existing lab. We believe that our platform will have wide utility across the study of proteins, including basic and discovery research and, subject to regulatory authorization, clinical diagnostics, and potentially industrial applications like bioproduction. Our ability to develop our platform such that it will be offered at a significant discount to many legacy instruments and other proteomic technologies, may allow proteomic analysis to reach new markets and new users, potentially enabling and accelerating innovative discoveries.</w:t>
      </w:r>
    </w:p>
    <w:p>
      <w:pPr>
        <w:spacing w:after="0" w:line="173" w:lineRule="exact"/>
        <w:rPr>
          <w:rFonts w:ascii="Arial" w:cs="Arial" w:eastAsia="Arial" w:hAnsi="Arial"/>
          <w:sz w:val="17"/>
          <w:szCs w:val="17"/>
          <w:color w:val="auto"/>
        </w:rPr>
      </w:pPr>
    </w:p>
    <w:p>
      <w:pPr>
        <w:jc w:val="both"/>
        <w:ind w:left="660" w:hanging="328"/>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Continue to strengthen our intellectual property portfolio for existing and new technologies. </w:t>
      </w:r>
      <w:r>
        <w:rPr>
          <w:rFonts w:ascii="Arial" w:cs="Arial" w:eastAsia="Arial" w:hAnsi="Arial"/>
          <w:sz w:val="16"/>
          <w:szCs w:val="16"/>
          <w:color w:val="auto"/>
        </w:rPr>
        <w:t>We have a broad and deep patent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which includes 214 issued patents and over 797 pending applications as of December 31, 2022. Protection of our intellectual property is a strategic priority for the business. We have taken, and will continue to take, steps to protect our current and future intellectual property and proprietary technology. We believe our broad patent portfolio and continued rigorous patent protection strategy will help to allow us to focus on our key priorities of commercializing our platform, continuing to innovate with new technologies, and preventing fast-followers.</w:t>
      </w:r>
    </w:p>
    <w:p>
      <w:pPr>
        <w:spacing w:after="0" w:line="153" w:lineRule="exact"/>
        <w:rPr>
          <w:rFonts w:ascii="Arial" w:cs="Arial" w:eastAsia="Arial" w:hAnsi="Arial"/>
          <w:sz w:val="16"/>
          <w:szCs w:val="16"/>
          <w:color w:val="auto"/>
        </w:rPr>
      </w:pPr>
    </w:p>
    <w:p>
      <w:pPr>
        <w:jc w:val="both"/>
        <w:ind w:left="660" w:hanging="328"/>
        <w:spacing w:after="0" w:line="27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Foster extraordinary talent inspired and unified by our mission. </w:t>
      </w:r>
      <w:r>
        <w:rPr>
          <w:rFonts w:ascii="Arial" w:cs="Arial" w:eastAsia="Arial" w:hAnsi="Arial"/>
          <w:sz w:val="17"/>
          <w:szCs w:val="17"/>
          <w:color w:val="auto"/>
        </w:rPr>
        <w:t>With decades of cumulative experience in the healthcare and life sciences</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among our executive officers and other senior management, our world-class management team is unified by our mission to democratize single molecule proteomic analysis by making protein sequencing accessible globally. We seek to execute at scale the vision of our Founder and Chairman, Dr. Jonathan Rothberg. He has dedicated his career to enabling breakthrough technologies to revolutionize healthcare by bringing together talented, innovative people. We plan to continue to add talented and experienced members to our team and maintain our commitment to our mission of democratizing proteomic analysis by making protein sequencing accessible globally.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Strategy and Launch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proprietary platform has been specifically designed to provide full, rapid insight into the proteome at various scales. Our end-to-end workflow solution, at launch, will be comprised of instruments, consumables, and software and has been designed at a favorable price point relative to legacy technologies to promote easy adoption, while simplifying and automating the single molecule proteomics workflow. Our commercial strategy is designed to place our instruments initially with a wide variety of customer types, and ultimately to improve our products by increasing throughput and developing additional applications to expand our users and increase the consumable utilization by our installed base. In December 2022, we launched Platinum™ for RUO. We expect to start our Carbon beta testing program in 2023 as well. As our instruments are placed with research customers and we build the installed base, we expect to derive recurring revenue from the sale of consumables.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continue to commercialize our platform, we plan to build out our commercial operations infrastructure necessary to sell and support our platform, across a growing number of market segments and geographies. We are focusing our direct sales and marketing efforts primarily on principal investigators, directors, and other core personnel at academic research and biopharma labs that are critical to their organization’s buying decisions. In addition, we have manufacturing partnerships that we believe will allow us to rapidly expand our capacity, with the ability to create new manufacturing lines to meet potential customer demand. We will expand into other geographies through a combination of our own direct sales force as well as the use of third-party channel partners.</w:t>
      </w:r>
    </w:p>
    <w:p>
      <w:pPr>
        <w:spacing w:after="0" w:line="192" w:lineRule="exact"/>
        <w:rPr>
          <w:sz w:val="20"/>
          <w:szCs w:val="20"/>
          <w:color w:val="auto"/>
        </w:rPr>
      </w:pPr>
    </w:p>
    <w:p>
      <w:pPr>
        <w:jc w:val="both"/>
        <w:ind w:firstLine="65"/>
        <w:spacing w:after="0" w:line="301" w:lineRule="auto"/>
        <w:rPr>
          <w:sz w:val="20"/>
          <w:szCs w:val="20"/>
          <w:color w:val="auto"/>
        </w:rPr>
      </w:pPr>
      <w:r>
        <w:rPr>
          <w:rFonts w:ascii="Arial" w:cs="Arial" w:eastAsia="Arial" w:hAnsi="Arial"/>
          <w:sz w:val="16"/>
          <w:szCs w:val="16"/>
          <w:color w:val="auto"/>
        </w:rPr>
        <w:t>Members of our team have previously successfully utilized this approach to launch other disruptive technologies at other companies. We believe this approach will allow us to introduce our platform in a structured manner to demonstrate its use and practicality, while working directly with key potential customers to help ensure a positive experience. Our core leadership team has decades of experience working directly in the life sciences industry with many of the companies and research centers that have the potential to become key customers and we expect to build into our prospective customer pipeline.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commercial launch plan is comprised of the following phases following beta testing in product development:</w:t>
      </w:r>
    </w:p>
    <w:p>
      <w:pPr>
        <w:spacing w:after="0" w:line="225" w:lineRule="exact"/>
        <w:rPr>
          <w:sz w:val="20"/>
          <w:szCs w:val="20"/>
          <w:color w:val="auto"/>
        </w:rPr>
      </w:pPr>
    </w:p>
    <w:p>
      <w:pPr>
        <w:jc w:val="both"/>
        <w:ind w:left="66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Metered Launch: </w:t>
      </w:r>
      <w:r>
        <w:rPr>
          <w:rFonts w:ascii="Arial" w:cs="Arial" w:eastAsia="Arial" w:hAnsi="Arial"/>
          <w:sz w:val="17"/>
          <w:szCs w:val="17"/>
          <w:color w:val="auto"/>
        </w:rPr>
        <w:t>In December 2022, we launched Platinum™ for RUO. In our initial launch, we are targeting established academic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centers and pharmaceutical companies in the United States and Europe. During our initial launch phase, we are focusing on driving our technology into research centers. Our platform is currently intended for RUO applications, and it will continue to be marketed as RUO until regulatory authorizations allowing for clinical or diagnostic uses are obtained. We are targeting customers that will directly benefit from the value of our platform across a number of applications, including basic and discovery research and translational research. We anticipate these customers may already have existing proteomic capabilities through legacy instruments such as a MS, and so will understand the importance of single molecule, unbiased proteomic analysis. During this phase, we expect to continue to strengthen our commercial organization and broaden our commercial footprint to support an increasing number of customers.</w:t>
      </w:r>
    </w:p>
    <w:p>
      <w:pPr>
        <w:spacing w:after="0" w:line="178"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Product Updates: </w:t>
      </w:r>
      <w:r>
        <w:rPr>
          <w:rFonts w:ascii="Arial" w:cs="Arial" w:eastAsia="Arial" w:hAnsi="Arial"/>
          <w:sz w:val="17"/>
          <w:szCs w:val="17"/>
          <w:color w:val="auto"/>
        </w:rPr>
        <w:t>As we continue commercialization in 2023 and beyond, we expect to focus on building our installed base and expanding global</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our platform. We expect to make product enhancements to our initial platform and to make them available to our new and then existing customers. Potential improvements could include an increase in the capacity of our semiconductor chips or chemistry enhancements to our instruments, which may improve accuracy, coverage, speed and data output.</w:t>
      </w:r>
    </w:p>
    <w:p>
      <w:pPr>
        <w:spacing w:after="0" w:line="171"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Portfolio Expansion: </w:t>
      </w:r>
      <w:r>
        <w:rPr>
          <w:rFonts w:ascii="Arial" w:cs="Arial" w:eastAsia="Arial" w:hAnsi="Arial"/>
          <w:sz w:val="17"/>
          <w:szCs w:val="17"/>
          <w:color w:val="auto"/>
        </w:rPr>
        <w:t>Ultimately, we plan to advance and develop new products and key applications designed to “scale up” our Platinum</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to provide higher throughput and enable greater levels of data output and broader coverage of the proteome. We also plan to “scale down” by eventually launching our Atto instrument, which will be a low cost, low throughput instrument, potentially creating a pathway to point of care testing. We may also seek regulatory authorization for clinical or diagnostic use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Roadmap</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roadmap is designed to position us as a potential leader in the proteomic analysis market. We believe we are the first company to successfully enable NGPS on a semiconductor chip. Following our expected commercial launch, we plan to continue to improve our platform through product improvements and to eventually offer lower-throughput instruments at a lower price point.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commercial launch, we are focused on building our installed base and expanding global access to our platform. We expect to make product enhancements to our initial platform and to make them available to our new and then existing customers. Potential improvements could include an increase in the capacity of our semiconductor chips or chemistry enhancements to our instruments, which may improve accuracy, coverage, and speed. In the future, we may seek to expand our product line, such as by increasing, or decreasing, the throughput of our Platinum instrument to offer specialized products to address key markets and applications.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potential future advancements in hardware, we plan to expand our computational capabilities by developing firmware and data analytics tools. We believe that our software solutions could be a key differentiating advantage relative to legacy systems. We believe the integration of our cloud system solution directly into the platform can ensure seamless real time data streaming real time to the cloud where analytical workflows can help simplify data interpretation.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product roadmap, we have the potential to become a leader in the proteomic analysis market, with the mission of transforming single molecule analysis and democratizing its use by directly enabling researchers and clinicians access to the proteome. We believe we are the first company to successfully enable NGPS on a semiconductor chip, thus digitizing a substantial proteomics opportunity, which allows for a massively parallel solution at the ultimate level of sensitivity — single molecule detection.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products are built using both custom-made and off-the-shelf components supplied by outside manufacturers and vendors located in Asia, Europe, and the United States. One key custom-made component is the disposable semiconductor chip. Others include the proprietary mode-locked laser and enzymes, and buffers used for protein sequencing. The majority of other components for the instruments are off-the-shelf.</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some of our components and materials used in manufacturing, including the semiconductor chip, from single source suppliers. We believe that alternatives would be available; however, it may take time to identify and validate replacement components, which could negatively affect our ability to supply our products on a timely basis. To mitigate this future risk, we and our third-party contractors will typically carry a significant inventory of our critical components and develop a second source strategy.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our instruments are co-manufactured tested, and supported by our manufacturer partner with which we have long-standing relationships, including our key manufacturing partners for the manufacture of instruments and chips which we have worked with for the past four-to-five years. We believe that our manufacturing strategy is efficient and conserves capital. However, we do not have long-term supply or manufacturing commitments from our suppliers or manufacturers, as our products and components are currently supplied on a purchase order basis. In addition, we will need to increase the supply and manufacturing of our products as we continue to commercialize our platform. In the event it becomes necessary to utilize a different contract manufacturer for our products, we may experience additional costs, delays and difficulties in doing so, and our business could be harmed. We are continually evaluating our supply chain to help ensure our manufacturing and supply chain footprint will meet our business objectives.</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2021, we acquired Majelac, a semiconductor packaging company based in Garnet Valley, Pennsylvania. The acquisition brought our semiconductor chip assembly and packaging capabilities in-house to secure our supply chain and support our commercialization efforts.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people are the reason for our success, and we have structured our organization to maximize productivity and performance. Our future success largely depends upon our continued ability to attract and retain highly skilled employees. As of December 31, 2022, we employed 196 full-time employees in the United States and 6 full-time employees internationally with the majority of our employees engaged directly in research and development, and are actively building our commercial organization as demand increases; 43% of whom hold PhDs. None of our employees are covered by collective bargaining agreements. We understand that our success depends on our highly talented employees, and our human capital management practices focus on attracting and retaining a diverse and engaged workforce.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Mission and Core Values</w:t>
      </w:r>
      <w:r>
        <w:rPr>
          <w:rFonts w:ascii="Arial" w:cs="Arial" w:eastAsia="Arial" w:hAnsi="Arial"/>
          <w:sz w:val="18"/>
          <w:szCs w:val="18"/>
          <w:color w:val="auto"/>
        </w:rPr>
        <w:t>. Our mission is to make proteomics available to researchers around the world by using our proprietary technology.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providing an unbiased view of all the molecules of life through improved scale, resolution and sensitivity leading to better understanding of disease and improved general health. Employees are made aware of our values - Team, Accountability, Passion, Excellence, Transparency, Competitive and Diversity. These values are the basis of our actions and decisions.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Diversity, Equity and Inclusion</w:t>
      </w:r>
      <w:r>
        <w:rPr>
          <w:rFonts w:ascii="Arial" w:cs="Arial" w:eastAsia="Arial" w:hAnsi="Arial"/>
          <w:sz w:val="18"/>
          <w:szCs w:val="18"/>
          <w:color w:val="auto"/>
        </w:rPr>
        <w:t>. Much of our success is rooted in the diversity of our teams and our commitment to inclusion. We value diversity at all</w:t>
      </w:r>
      <w:r>
        <w:rPr>
          <w:rFonts w:ascii="Arial" w:cs="Arial" w:eastAsia="Arial" w:hAnsi="Arial"/>
          <w:sz w:val="18"/>
          <w:szCs w:val="18"/>
          <w:i w:val="1"/>
          <w:iCs w:val="1"/>
          <w:color w:val="auto"/>
        </w:rPr>
        <w:t xml:space="preserve"> </w:t>
      </w:r>
      <w:r>
        <w:rPr>
          <w:rFonts w:ascii="Arial" w:cs="Arial" w:eastAsia="Arial" w:hAnsi="Arial"/>
          <w:sz w:val="18"/>
          <w:szCs w:val="18"/>
          <w:color w:val="auto"/>
        </w:rPr>
        <w:t>levels. We believe that our business benefits from the different perspectives a diverse workforce brings, and we strive to maintain a strong, inclusive and positive culture based on our shared mission and values.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in attracting, developing, and retaining diverse talent that is inclusive of every age, gender, gender identity, race, sexual orientation, physical capability, ethnicity, belief and perspective. Each individual, regardless of their role makes a difference and impacts our progress. We continue to focus on seeking diverse candidates for all open opportunities.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Employee Engagement</w:t>
      </w:r>
      <w:r>
        <w:rPr>
          <w:rFonts w:ascii="Arial" w:cs="Arial" w:eastAsia="Arial" w:hAnsi="Arial"/>
          <w:sz w:val="17"/>
          <w:szCs w:val="17"/>
          <w:color w:val="auto"/>
        </w:rPr>
        <w:t>. We have established an annual employee survey process to gather feedback from our employees. The feedback received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grow stronger as a company and allows us to create an environment where employee contributions matter and employees feel valued.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Training and Development</w:t>
      </w:r>
      <w:r>
        <w:rPr>
          <w:rFonts w:ascii="Arial" w:cs="Arial" w:eastAsia="Arial" w:hAnsi="Arial"/>
          <w:sz w:val="18"/>
          <w:szCs w:val="18"/>
          <w:color w:val="auto"/>
        </w:rPr>
        <w:t>. We listen to our employees to understand their training needs. Employees are encouraged to take advantage of our Learning</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System which has a plethora of online learning courses. We conduct monthly seminars to update employees on what is happening throughout our Company.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Healthcare technology companies, both large and small compete for a limited number of qualified applicants to fill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To attract qualified applicants and retain employees, we offer a total rewards package consisting of base salary, cash bonus, and equity compensation. Bonus opportunity and equity compensation increase as a percentage of total compensation based on level of responsibility. The actual bonus payout is based on performance. In addition, we also provide a comprehensive benefits package inclusive of medical, dental, and vision healthcare coverage including a paid reimbursement account, life insurance and disability coverage, 401(k) investment plans, tax advantaged savings account, generous paid time off and leaves of absence, employee assistance programs, and wellness programs.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We have training programs for general, chemical and biological safety. We are continuously evaluating the guidance from</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and local authorities and have created strict policies and guidelines that put our employees’ health and safety first.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were our executive officers and directors as of March 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0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4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auto"/>
            </w:tcBorders>
            <w:shd w:val="clear" w:color="auto" w:fill="CCEEFF"/>
          </w:tcPr>
          <w:p>
            <w:pPr>
              <w:spacing w:after="0"/>
              <w:rPr>
                <w:sz w:val="18"/>
                <w:szCs w:val="18"/>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Jeffrey Hawkins</w:t>
            </w:r>
          </w:p>
        </w:tc>
        <w:tc>
          <w:tcPr>
            <w:tcW w:w="70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Claudia Drayton</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Patrick Schneider, Ph.D.</w:t>
            </w:r>
          </w:p>
        </w:tc>
        <w:tc>
          <w:tcPr>
            <w:tcW w:w="70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Grace Johnston, Ph.D.</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Michael P. McKenna, Ph.D.</w:t>
            </w:r>
          </w:p>
        </w:tc>
        <w:tc>
          <w:tcPr>
            <w:tcW w:w="7040" w:type="dxa"/>
            <w:vAlign w:val="bottom"/>
          </w:tcPr>
          <w:p>
            <w:pPr>
              <w:spacing w:after="0"/>
              <w:rPr>
                <w:sz w:val="20"/>
                <w:szCs w:val="20"/>
                <w:color w:val="auto"/>
              </w:rPr>
            </w:pPr>
            <w:r>
              <w:rPr>
                <w:rFonts w:ascii="Arial" w:cs="Arial" w:eastAsia="Arial" w:hAnsi="Arial"/>
                <w:sz w:val="18"/>
                <w:szCs w:val="18"/>
                <w:color w:val="auto"/>
              </w:rPr>
              <w:t>Executive Vice President, Product Development and Operations</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Christian LaPointe, Ph.D.</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w:t>
            </w:r>
          </w:p>
        </w:tc>
        <w:tc>
          <w:tcPr>
            <w:tcW w:w="70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Jonathan M. Rothberg, Ph.D.</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Vikram Bajaj, Ph.D.</w:t>
            </w:r>
          </w:p>
        </w:tc>
        <w:tc>
          <w:tcPr>
            <w:tcW w:w="7040" w:type="dxa"/>
            <w:vAlign w:val="bottom"/>
          </w:tcPr>
          <w:p>
            <w:pPr>
              <w:spacing w:after="0"/>
              <w:rPr>
                <w:sz w:val="20"/>
                <w:szCs w:val="20"/>
                <w:color w:val="auto"/>
              </w:rPr>
            </w:pPr>
            <w:r>
              <w:rPr>
                <w:rFonts w:ascii="Arial" w:cs="Arial" w:eastAsia="Arial" w:hAnsi="Arial"/>
                <w:sz w:val="18"/>
                <w:szCs w:val="18"/>
                <w:color w:val="auto"/>
              </w:rPr>
              <w:t>Managing Director, Foresite Capital Management, LLC</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Marijn Dekkers, Ph.D.</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Founder and Chairman, Novalis LifeSciences LLC</w:t>
            </w:r>
          </w:p>
        </w:tc>
      </w:tr>
      <w:tr>
        <w:trPr>
          <w:trHeight w:val="202"/>
        </w:trPr>
        <w:tc>
          <w:tcPr>
            <w:tcW w:w="3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40" w:type="dxa"/>
            <w:vAlign w:val="bottom"/>
          </w:tcPr>
          <w:p>
            <w:pPr>
              <w:spacing w:after="0" w:line="201" w:lineRule="exact"/>
              <w:rPr>
                <w:sz w:val="20"/>
                <w:szCs w:val="20"/>
                <w:color w:val="auto"/>
              </w:rPr>
            </w:pPr>
            <w:r>
              <w:rPr>
                <w:rFonts w:ascii="Arial" w:cs="Arial" w:eastAsia="Arial" w:hAnsi="Arial"/>
                <w:sz w:val="18"/>
                <w:szCs w:val="18"/>
                <w:color w:val="auto"/>
              </w:rPr>
              <w:t>Managing Partner, Pecksland Partners</w:t>
            </w: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Ruth Fattori</w:t>
            </w:r>
          </w:p>
        </w:tc>
        <w:tc>
          <w:tcPr>
            <w:tcW w:w="7040" w:type="dxa"/>
            <w:vAlign w:val="bottom"/>
          </w:tcPr>
          <w:p>
            <w:pPr>
              <w:spacing w:after="0"/>
              <w:rPr>
                <w:sz w:val="20"/>
                <w:szCs w:val="20"/>
                <w:color w:val="auto"/>
              </w:rPr>
            </w:pPr>
            <w:r>
              <w:rPr>
                <w:rFonts w:ascii="Arial" w:cs="Arial" w:eastAsia="Arial" w:hAnsi="Arial"/>
                <w:sz w:val="18"/>
                <w:szCs w:val="18"/>
                <w:color w:val="auto"/>
              </w:rPr>
              <w:t>Senior Advisor, Boston Consulting Group</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Brigid A. Makes</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Independent Consultant</w:t>
            </w: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Michael Mina, M.D., Ph.D.</w:t>
            </w:r>
          </w:p>
        </w:tc>
        <w:tc>
          <w:tcPr>
            <w:tcW w:w="7040" w:type="dxa"/>
            <w:vAlign w:val="bottom"/>
          </w:tcPr>
          <w:p>
            <w:pPr>
              <w:spacing w:after="0"/>
              <w:rPr>
                <w:sz w:val="20"/>
                <w:szCs w:val="20"/>
                <w:color w:val="auto"/>
              </w:rPr>
            </w:pPr>
            <w:r>
              <w:rPr>
                <w:rFonts w:ascii="Arial" w:cs="Arial" w:eastAsia="Arial" w:hAnsi="Arial"/>
                <w:sz w:val="18"/>
                <w:szCs w:val="18"/>
                <w:color w:val="auto"/>
              </w:rPr>
              <w:t>Chief Science Officer, eMed</w:t>
            </w: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Kevin Rakin</w:t>
            </w: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Co-Founder and Partner, HighCape Capital</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Competition</w:t>
            </w:r>
          </w:p>
        </w:tc>
        <w:tc>
          <w:tcPr>
            <w:tcW w:w="70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KGaA (and its subsidiary MilliporeSigma) and Thermo Fisher Scientific.</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may compete with a number of emerging growth companies that have developed, or are developing, proteomic products and solutions, such as Nautilus Biotechnology, Olink Proteomics, Quanterix, Seer and SomaLogic.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there are currently no commercially available NGPS platforms. The legacy proteomics market today is largely served by companies that offer a variety of analytical instruments, such as MS and microarray instruments and associated reagents and consumables. There are also a number of companies that provide proteomic analysis services and have developed or are developing novel proteomic technologies. Additional competing products may emerge from various sources, including life sciences tools, diagnostics, pharmaceutical and biotechnology companies, third-party service providers, academic research institutions, governmental agencies and/or public and private research institutions, among others. Many of the companies with which we compete have substantially greater resources than we have.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life science instrumentation industry is highly competitive and expected to grow more competitive with the increasing knowledge gained from ongoing research and development. Given the potential market opportunity and scientific importance of proteomic analysis, we expect increased competition and competitor technologies to emerge in the future. We believe the principal competitive factors in our target markets include:</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resolution and sensitivity;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efficiency and speed of workflows;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scale required to address the complexity and dynamic range of the proteome;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throughput to meet lab testing volume;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 among customers and key thought leaders;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accuracy and reproducibility of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 of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operational and manufacturing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support infrastructure;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leadership and commercial team with extensive execution and scientific background.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there are currently no other commercially available products that provide the same level of end-to-end NGPS analysis at the same scale and sensitivity that we expect our platform will provide. Following our commercial launch for RUO, we aim to enhance our position through our ongoing product development, commercial strategy, potential new products and ongoing collaborations and partnerships with key thought leaders.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Protection of our intellectual property is a strategic priority for our business. We rely on a combination of patents, trademark, copyright, trade secret and other intellectual property rights protection and contractual restrictions to protect our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Patented Technologies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patents owned and in-licensed by us provide comprehensive coverage of our sample preparation, peptide sequencing and nucleic acid sequencing devices and are directed to aspects including sample preparation, instrument and laser light source architecture, pixel design, waveguide architecture, lifetime discrimination methods, machine learning, and surface chemistry. We have developed a portfolio of issued patents and pending patent applications directed to commercial products and technologies for potential development. We believe that our intellectual property is a core strength of our business, and our strategy includes the continued development of our patent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owned 214 issued patents and 797 pending patent applications. Of our 214 issued patents, 61 were issued U.S. utility patents. Of our 797 pending patent applications, 124 were pending U.S. utility patent applications, 4 of which were allowed. In addition, we owned 153 issued patents in foreign jurisdictions, including Australia, Europe, Japan, China, Brazil, Hong Kong, Mexico, Taiwan, Korea, and India, and 673 pending patent applications in foreign jurisdictions, including Australia, Canada, Europe, Japan, China, Brazil, Hong Kong, Mexico, Taiwan, Korea, India, Malaysia, Singapore, and Thailand, 16 of which were allowed. In total, we owned 115 patent families generally directed to our sample preparation, peptide sequencing and nucleic acid sequencing devices. These issued patents and pending patent applications (if they were to issue as patents) have expected expiration dates ranging between 2025 and 2042.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Portfolio</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protect important marks through trademark registrations. As of December 31, 2022, we owned 43 trademark registrations and 56 trademark applications, of which 14 are U.S. trademark applications. 12 of the U.S. trademark applications have been allowed.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patents, we also rely on trade secrets, technical know-how and continuing innovation to develop and maintain our competitive position. We seek to protect our proprietary information and other intellectual property by generally requiring our employees, consultants, contractors, suppliers, outside scientific collaborators and other advisors to execute non-disclosure and assignment of invention agreements on commencement of their employment or engagement. Agreements with our employees also forbid them from using or incorporating the proprietary rights of third parties during their engagement with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also generally require confidentiality or material transfer agreements from third parties that receive our confidential data or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exclusive and non-exclusive licenses in the ordinary course of business relating to our technologies or other intellectual property rights or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Sciences Research Use Only Technologies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protein sequencing products are currently intended for RUO applications, although the systems may provide data to customers and other third parties that are themselves engaged in the research and development of potential diagnostic and therapeutic products and services for which they may later pursue clearance, authorization or approval from regulatory authorities, such as the U.S. Food and Drug Administration (“FDA”). All our products will be labeled “For Research Use Only,” and, will be sold to academic and research life sciences institutions that conduct basic and translational research, and biopharmaceutical and biotechnology companies for non-diagnostic and non-clinical purposes.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 long-standing FDA regulation, products that are intended for RUO and are labeled as RUO are not regulated by the FDA as IVD devices and are not subject to the regulatory requirements discussed below for clinical diagnostic products. RUO products may therefore be used or distributed for research use without first obtaining FDA clearance, authorization, or approval. Such products must bear the statement: “For Research Use Only. Not for Use in Diagnostic Procedures.” RUO products also cannot make any claims related to safety, effectiveness or diagnostic utility, and they cannot be intended for human clinical diagnostic use.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a product labeled RUO but intended or promoted for clinical diagnostic use may be viewed by the FDA as adulterated and misbranded under the Federal Food, Drug, and Cosmetic Act (“FDCA”) and subject to FDA enforcement action. The FDA will consider the totality of the circumstances surrounding distribution and use of an RUO product, including how the product is marketed and to whom, when determining its intended use. If the FDA disagrees with a company’s RUO status for its product, the company may be subject to FDA enforcement activities, including, without limitation, requiring the company to seek clearance, authorization or approval for the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Diagnostics in the 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medical devices are subject to extensive regulation by the FDA under the FDCA and its implementing regulations, and other federal and state statutes and regulations. The laws and regulations govern, among other things, medical device design and development, pre-clinical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Federal Trade Commission (“FTC”) also oversees the advertising and promotion of our current and future products pursuant to its broad authority to police deceptive advertising for goods or services within the United States. Under the Federal Trade Commission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In addition, with respect to any of our future products that are marketed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FDCA.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When our products are marketed for clinical or diagnostic uses, they will be regulated by the FDA as IVD medical devices. The FDCA and FDA’s implementing regulations define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IVDs are a type of medical device and include reagents and instruments used in the diagnosis or detection of diseases, conditions or infections, including, without limitation, the presence of certain chemicals, genetic information or other biomarkers. Predictive, prognostic, and screening tests can also be IVDs. Medical devices, including IVD products, must undergo pre-market review by and receive clearance, authorization, or approval from the FDA prior to commercialization, unless the device is of a type exempted from such review by statute, regulation, or an FDA exercise of enforcement discretion. The FDA classifies medical devices into three classes based on risk. Regulatory control increases from Class I (lowest risk) to Class III (highest risk). The FDA generally must clear or approve the commercial sale of most new medical devices that fall within product categories designated as Class II and III. Commercial sales of most Class II and III medical devices within the United States must be preceded either by pre-market notification and FDA clearance pursuant to Section 510(k) of the FDCA (Class II) or by the granting of a pre-market approval (“PMA”) (Class III), after a pre-market application is submitted. Both 510(k) notifications and PMA applications must be submitted to FDA with significant user fees, although reduced fees for small businesses are available. Class I devices are generally exempt from pre-market review and notification, as are some moderate-risk Class II devices. Manufacturers of all classes of devices must comply with FDA’s Quality System Regulation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may be exempted by regulation from the requirement of compliance with substantially all of the QSR.</w:t>
      </w:r>
    </w:p>
    <w:p>
      <w:pPr>
        <w:spacing w:after="0" w:line="3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Moreover,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device manufacturers are responsible for identifying cybersecurity risks and hazards associated with their products. In recent years, the FDA has increased its scrutiny of this issue as part of the review and marketing authorization process for new medical devices; the agency also monitors reports of cybersecurity risks as part of its post-marketing device surveillance activities. In addition, as part of the Consolidated Appropriations Act for 2023, signed into law on December 29, 2022 (P.L. 117-328), Congress created new pre-market requirements for developers of “cyber devices,” defined as medical devices that include software, connect to the Internet, and contain any technological features that could be vulnerable to cybersecurity threats.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Pathway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510(k) pre-market notification must contain information sufficient to demonstrate that the new device is substantially equivalent to a device commercially distributed prior to May 28, 1976 or to a device that has been determined by the FDA to be substantially equivalent to such a so-called “pre-amendments” device. To obtain 510(k) clearance for a non-exempt Class II device, the product developer must submit a pre-market notification to the FDA demonstrating that its product is substantially equivalent to such a predicate device. The FDA’s 510(k) clearance process generally takes from three to twelve months from the date the application is submitted, but it may take significantly longer if FDA has significant questions or needs more information about the new device or its manufacturing or quality controls.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510(k) notification process for Class II devices that have an existing classification regulation available for purposes of the regulatory filing, the FDA may require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3"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extensive nonclinical tests and/or animal studies, performed in accordance with the FDA’s Good Laboratory Practice (“GLP”) regulations, as well as any performance standards or other testing requirements established by the FDA through regulations or device-specific guidance.</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Comprehensive review of one or more predicate devices and development of data supporting the new product’s substantial equivalence to such predicate devices.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Assuming successful completion of all required testing, a detailed 510(k) notification is submitted to the FDA requesting clearance to market the product. This pre-market notification includes all relevant data from pertinent nonclinical studies and clinical trials (if applicable), together with detailed information relating to the product’s manufacturing controls and proposed labeling, and other relevant documentation. The FDA evaluates all 510(k) submissions prior to filing for substantive review based on specific acceptance criteria and may issue a refuse-to-accept notification if the submission is deficient with respect to any of the established criteria. If the FDA determines that the applicant’s device is substantially equivalent to the identified predicate device(s), the agency will issue a 510(k) clearance letter that authorizes commercial marketing of the device for one or more specific indications for use. If the FDA determines that the applicant’s device is not substantially equivalent to the predicate device(s), the agency will issue a not-substantially-equivalent letter stating that the new device may not be commercially distributed.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The FDA requires each manufacturer to make the determination of whether a device modification requires a new 510(k) notification or PMA in the first instance, but the FDA may review any such decision. If the FDA disagrees with a manufacturer’s decision not to seek a new 510(k) clearance or PMA for a particular change, the FDA may retroactively require the manufacturer to submit a 510(k) pre-market notification or a PMA. The FDA may also require the manufacturer to cease U.S. marketing and/or recall the modified device until 510(k) clearance or PMA approval for the modification is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previously unclassified new medical device does not qualify for the 510(k) pre-market notification process because no predicate device to which it is substantially equivalent can be identified, the device is automatically classified into Class III. However, if such a device would be considered low or moderate risk (in other words, it does not rise to the level of requiring the approval of a PMA),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PMA requirements. If the manufacturer seeks reclassification into Class II, the classification request must include a draft proposal for special controls that are necessary to provide a reasonable assurance of the safety and effectiveness of the medical device.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FDCA, the FDA is required to classify a device within 120 days following receipt of the De Novo classification request from an applicant; however, the most recent FDA performance review goals state that in fiscal year 2023, the FDA will attempt to issue a decision within 150 days of receipt on 70% of all De Novo classification requests received during the year. De Novo classification requests are subject to user fees, unless a specific exemption applies (over $132,000 in fiscal year 2023).</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with the 510(k) pre-market notification process described above, any modification to a device authorized through the De Novo process that could significantly affect the safety or effectiveness of such device, or that would constitute a major change in its intended use, requires a new 510(k) clearance or could require the submission of a PMA.</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an alternative to the De Novo classification process, a company could also file a reclassification petition seeking to change the automatic Class III designation of a novel post-amendment device under Section 513(f)(3) of the FDCA. The FDA can also initiate reclassification of an existing device type on its own initiative. To reclassify a device under Section 513(e) of the FDCA, the FDA must first publish a proposed reclassification order that includes a summary of the valid scientific evidence that supports the reclassification; convene a device classification panel meeting; and consider comments to the public docket before it then publishes a final reclassification order in the Federal Register.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Pathway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Products classified by the FDA as Class III generally require marketing approval via a PMA. A PMA application must be supported by valid scientific evidence, which typically requires extensive data, including technical, nonclinical, clinical, manufacturing and labeling data, to demonstrate to the FDA’s satisfaction the safety and efficacy of the device for its intended use(s).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it is considered “filed” and the FDA begins an in-depth review of the submitted information. During this substantive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the QSR, which requires manufacturers to implement and follow design, testing, control, documentation and other quality assurance procedures.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FDA review of a PMA application is required to be completed within 180 days of the application’s filing date although the process generally takes between one and three years, but may take significantly longer. The current user fee agreement between the FDA and the medical device industry sets as a target for PMA reviews to be completed in under one year. The FDA can delay, limit or deny approval of a PMA application for many reasons, including:</w:t>
      </w:r>
    </w:p>
    <w:p>
      <w:pPr>
        <w:spacing w:after="0" w:line="14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may not be safe or effective for its intended use(s) to the FDA’s satisfaction;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from the applicant’s nonclinical studies and clinical trials may be insufficient to support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manufacturing process or facilities that the applicant uses may not meet applicable requirements;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 to demonstrate the safety or effectiveness of the device.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FDA evaluation of a PMA application or manufacturing facilities is favorable, the FDA will either issue an approval letter, or approvable letter, which usually contains a number of conditions which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FDA may also determine that additional trials are necessary, in which case the PMA approval may be delayed for several months or years while the trials are conducted and data is submitted in an amendment to the PMA. The PMA process can be expensive, uncertain and lengthy. PMA approval may also be granted with post-approval requirements such as the need for additional patient follow-up for an indefinite period of time.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PMA applications or PMA supplements may be required for modifications to the manufacturing process, labeling, device specifications, materials or design of a device that is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clinical data or the convening of an advisory panel.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Investigations Using Devices in Development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Clinical trials are almost always required to support a PMA application and are sometimes required for a De Novo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Institutional Review Board (“IRB”) approval of the proposed investigation. In addition, if the clinical study involves a “significant risk” (as defined by the FDA) to human health, the company sponsoring the investigation (referred to as the “sponsor”) must also submit and obtain FDA approval of an Investigational Device Exemption (“IDE”) application. An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study participants,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 duly-appointed IRB for each clinical trial site. Most clinical studies of IVDs are exempt from the IDE requirements, if certain requirements are met.</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FDA’s IDE regulations govern investigational device labeling, prohibit promotion, and specify an array of Good Clinical Practice, or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Appropriations Act for 2023 also recently amended the FDCA to require sponsors of most clinical studies of investigational medical devices intended to support marketing authorization to develop and submit a diversity action plan for such clinical trial. The action plan must include the sponsor’s diversity goals for enrollment, as well as a rationale for the goals and a description of how the sponsor will meet them. Depending on the type of medical device investigation, such diversity action plans would be submitted with the sponsor’s IDE application or with the device’s pre-market submission (in the case of human studies that may be IDE exempt). It is unknown at this time how the diversity action plan may affect the planning and timing of medical device investigations or what specific information FDA will expect in such plans, but if FDA objects to a sponsor’s diversity action plan, it may delay trial initiation or review of the pre-market submission.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commencement or completion of any clinical trials may be delayed or halted, or be inadequate to support approval of a PMA application (or FDA’s grant of a De Novo classification request or clearance of a 510(k) notification, as applicable), for numerous reasons, including, but not limited to, the following:</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the IRB(s), or other regulatory authorities do not approve a clinical trial protocol or a clinical trial, or place a clinical trial on hold;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participants do not enroll in clinical trials at the expected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participants do not comply with trial protocols;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 follow-up is not at the expected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participants experience adverse side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participants die during a clinical trial, even though their death may not be related to the investigational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sponsor’s anticipated schedule or consistent with the clinical trial protocol, GCPs or other FDA requirements;</w:t>
      </w: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sponsor or third-party organizations do not perform data collection, monitoring and analysis in a timely or accurate manner or consistent with the clinical trial protocol or investigational or statistical plans;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the sponsor or the study that the FDA deems to make the study results unreliable, or the sponsor or investigators fail to disclose such interests;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regulatory inspections of the sponsor’s clinical trial sites or manufacturing facilities, which may, among other things, require the sponsor to undertake corrective action or suspend or terminate the sponsor’s clinical trials;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 applicable to the sponsor’s trial protocols;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effectiveness;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concludes that the results from the sponsor’s trial and/or trial design are inadequate to demonstrate safety and effectiveness of the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Post-Market Regulatory Requirements and FDA Enforcement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a medical device is authorized for marketing and placed in commercial distribution (or, for 510(k)-exempt products, placed into commerce without first obtaining FDA clearance or approval), numerous regulatory requirements apply. These general controls that must be met for all device classes include:</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QSR, which requires manufacturers, including third-party manufacturers, to follow design, testing, control, storage, supplier/contractor selection, complaint handling, documentation and other quality assurance procedures;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labeling regulations, which govern the mandatory elements of the device labels and packaging (including Unique Device Identifier markings for certain categories of products);</w:t>
      </w: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FDA’s prohibitions against the promotion of products for uncleared, unapproved or “off-label” uses and other requirements related to promotional activities;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MDR regulations, which require that manufacturers report to the FDA if a device may have caused or contributed to a death or serious injury or malfunctioned in a way that would likely cause or contribute to a death or serious injury if it were to recur;</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voluntary and mandatory device recalls addressing problems when a device is defective and/or could be a risk to health;</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correction and removal reporting regulations, which require that manufacturers report to the FDA field corrections and product recalls or removals if undertaken to reduce a risk to health posed by the device or to remedy a violation of the FDCA that may present a risk to health; and</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post-market surveillance regulations, which apply to certain Class II or III devices when necessary to protect the public health or to provide additional safety and effectiveness data for the device.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ensure compliance with regulatory requirements, medical device manufacturers are subject to market surveillance and periodic, pre-scheduled and unannounced inspections by the FDA and certain state authorities. Failure to comply with applicable regulatory requirements can result in enforcement action by the FDA, which may lead to any of the following sanctions:</w:t>
      </w:r>
    </w:p>
    <w:p>
      <w:pPr>
        <w:spacing w:after="0" w:line="18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approving/clearing or refusal to approve/clear any of our future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our products for sale in other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FDA approval or clearance (as may be applicable);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consent decrees;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civil or criminal prosecution.</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any contract manufacturers, and some suppliers of components or device accessories would also be required to manufacture medical device products in compliance with current Good Manufacturing Practice requirements set forth in the QSR, unless explicitly exempted by regulation, should we develop and seek regulatory authorization for one or more diagnostic intended uses for our products. The QSR requires a quality system for the design, manufacture, packaging, labeling, storage, installation and servicing of marketed devices, and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pre-scheduled or unannounced inspections that may include registered manufacturing facilities. Following such inspections, FDA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which are notices of intended enforcement actions against the manufacturer. For less serious violations that may not rise to the level of regulatory significance, FDA may issue Untitled Letters. The FDA may take more significant administrative or legal action if a manufacturer continues to be in substantial noncompliance with applicable regulations.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example, if the FDA believes a medical device developer or any of its contract manufacturers or regulated suppliers are not in compliance with these requirements and patients are being subjected to serious risks, the agency can shut down manufacturing operations, require recalls of medical device products, refuse to approve new marketing applications for future products, initiate legal proceedings to detain or seize products, enjoin future violations, or assess civil and criminal penalties against a manufacturer or its officers or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Fraud and Abuse Laws and Other Compliance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Successfully commercializing a medical device or technology depends not on only FDA authorization, but also on broad health insurance or third party payor coverage. Government and private payors institute coverage criteria to ensure the appropriate utilization of products and services and to control costs. Limited third party payor coverage for a technology or procedure may limit adoption and commercial viability, while broader coverage supports optimal market uptake. Favorable coverage decisions by government payors like Medicare or Medicaid is critical because private payors typically follow the government’s lead regarding reimbursement. However, manufacturers whose technology is reimbursed by government payors are subject to various U.S. federal and state laws pertaining to healthcare fraud and abuse. These laws can be implicated by inappropriate sales and marketing arrangements with healthcare providers. Many commonly accepted commercial practices are illegal in the healthcare industry and violations of these laws are punishable by criminal and civil sanctions, including, in some instances, exclusion from participation in U.S. federal and state healthcare programs, including Medicare and Medicaid.</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Anti-kickback Laws. </w:t>
      </w:r>
      <w:r>
        <w:rPr>
          <w:rFonts w:ascii="Arial" w:cs="Arial" w:eastAsia="Arial" w:hAnsi="Arial"/>
          <w:sz w:val="17"/>
          <w:szCs w:val="17"/>
          <w:color w:val="auto"/>
        </w:rPr>
        <w:t>The federal Anti-Kickback Statute (AKS) prohibits persons from knowingly and willfully soliciting, receiving, offering or paying</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directly or indirectly to induce either the referral of an individual, or the furnishing, recommending, or arranging of a good or service, for which payment may be made under a federal healthcare program such as Medicare and Medicaid. A person or entity does not need to have actual knowledge of the AKS or specific intent to violate it to have committed a violation. Certain arrangements are protected from enforcement through AKS safe harbors and exceptions, but an arrangement must meet every element of the applicable safe harbor or exception in order to obtain this protection. The fact that an arrangement does not meet the requirements of a safe harbor or exception does not mean that it violates the AKS; such arrangements would be subject to a facts and circumstances analysis to determine compliance with the AKS or lack thereof. The definition of “remuneration” has been broadly interpreted to include anything of value, including such items as gifts, discounts, the furnishing of supplies or equipment, credit arrangements, waiver of payments, and providing anything at less than its fair market value. The AKS is broadly interpreted and aggressively enforced with the result that beneficial commercial arrangements can be criminalized in the health care industry because of the AKS. The penalties for violating the federal AKS can be severe, include fines and imprisonment for up to ten years, as well as possible exclusion from federal healthcare programs such as Medicare and Medicaid. Additionally, a claim including items or services resulting from a violation of the AKS constitutes a false or fraudulent claim for purposes of the False Claims Act.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Federal False Claims Act. </w:t>
      </w:r>
      <w:r>
        <w:rPr>
          <w:rFonts w:ascii="Arial" w:cs="Arial" w:eastAsia="Arial" w:hAnsi="Arial"/>
          <w:sz w:val="18"/>
          <w:szCs w:val="18"/>
          <w:color w:val="auto"/>
        </w:rPr>
        <w:t>The federal False Claims Act (FCA) prohibits knowingly presenting or causing to be presented a false claim or the knowing use</w:t>
      </w:r>
      <w:r>
        <w:rPr>
          <w:rFonts w:ascii="Arial" w:cs="Arial" w:eastAsia="Arial" w:hAnsi="Arial"/>
          <w:sz w:val="18"/>
          <w:szCs w:val="18"/>
          <w:i w:val="1"/>
          <w:iCs w:val="1"/>
          <w:color w:val="auto"/>
        </w:rPr>
        <w:t xml:space="preserve"> </w:t>
      </w:r>
      <w:r>
        <w:rPr>
          <w:rFonts w:ascii="Arial" w:cs="Arial" w:eastAsia="Arial" w:hAnsi="Arial"/>
          <w:sz w:val="18"/>
          <w:szCs w:val="18"/>
          <w:color w:val="auto"/>
        </w:rPr>
        <w:t>of false statements or records to obtain payment from the federal government. The FCA also prohibits the knowing retention of overpayments (sometimes referred to as “reverse false claims”). When an entity is determined to have violated the FCA, it must pay three times the actual damages sustained by the government, plus mandatory and substantial civil penalties for each separate false claim. The entity also faces the possibility of exclusion from federal health care programs. Suits filed under the False Claims Act, known as “qui tam” actions, can be brought by any individual on behalf of the government and such individuals (known as “relators” or, more commonly, as “whistleblowers”) may share in any amounts paid by the entity to the government in fines or settlement.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Civil Monetary Penalties Law</w:t>
      </w:r>
      <w:r>
        <w:rPr>
          <w:rFonts w:ascii="Arial" w:cs="Arial" w:eastAsia="Arial" w:hAnsi="Arial"/>
          <w:sz w:val="17"/>
          <w:szCs w:val="17"/>
          <w:color w:val="auto"/>
        </w:rPr>
        <w:t>. The Civil Monetary Penalties Law (CMPL) authorizes the imposition of substantial civil money penalties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possibility of exclusion against an entity that engages in certain prohibited activities including but not limited to violations of the Stark Law or Anti-Kickback Statute, knowing submission of a false or fraudulent claim, employment of an excluded individual, and the provision or offer of anything of value to a Medicare or Medicaid beneficiary that the transferring party knows or should know is likely to influence beneficiary selection of a particular provider for which payment may be made in whole or part by a federal health care program, commonly known as the Beneficiary Inducement CMP.</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State Analogs of Federal Fraud and Abuse Laws</w:t>
      </w:r>
      <w:r>
        <w:rPr>
          <w:rFonts w:ascii="Arial" w:cs="Arial" w:eastAsia="Arial" w:hAnsi="Arial"/>
          <w:sz w:val="18"/>
          <w:szCs w:val="18"/>
          <w:color w:val="auto"/>
        </w:rPr>
        <w:t>. Many U.S. states have their own laws intended to protect against fraud and abuse in the health care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and more broadly. In some cases, these laws prohibit or regulate additional conduct beyond what federal law affects. Penalties for violating these laws can range from fines to criminal sanctions.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Health Insurance Portability and Accountability Act of 1996, as amended by the American Recovery and Reinvestment Act of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regulations (“HIPAA”),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FCPA and Other Anti-Bribery and Anti-Corruption Laws. </w:t>
      </w:r>
      <w:r>
        <w:rPr>
          <w:rFonts w:ascii="Arial" w:cs="Arial" w:eastAsia="Arial" w:hAnsi="Arial"/>
          <w:sz w:val="18"/>
          <w:szCs w:val="18"/>
          <w:color w:val="auto"/>
        </w:rPr>
        <w:t>The U.S. Foreign Corrupt Practices Act (“FCPA”) prohibits U.S. corporations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or organizations in many countries. Our present and future business has been and will continue to be subject to various other U.S. and foreign laws, rules and/or regulations.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Physician Payment Sunshine Act. </w:t>
      </w:r>
      <w:r>
        <w:rPr>
          <w:rFonts w:ascii="Arial" w:cs="Arial" w:eastAsia="Arial" w:hAnsi="Arial"/>
          <w:sz w:val="17"/>
          <w:szCs w:val="17"/>
          <w:color w:val="auto"/>
        </w:rPr>
        <w:t>Manufacturers of U.S. FDA-regulated devices reimbursable by federal healthcare programs are subject to the Physician</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Sunshine Act, which requires manufacturers to track and annually report certain payments and other transfers of value made to U.S.-licensed physicians, certain advanced non-physician healthcare practitioners, or U.S. teaching hospitals. Manufacturers are also required to report certain ownership interests held by physicians and their immediate family members. The law carries penalties of up to $1.15 million per year for violations, depending on the circumstances, and payments reported also have the potential to draw scrutiny on payments to and relationships with physicians, which may have implications under the Anti-Kickback Statute, Stark Law and other healthcare laws.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there has been a recent trend of increased federal and state regulation of payments and other transfers of value provided to healthcare professionals and entities. Similar to the federal law, certain states also have adopted marketing and/or transparency laws relevant to device manufacturers, some of which are broader in scope. Certain states also mandate that device manufacturers implement compliance programs. Other states impose restrictions on device manufacturer marketing practices and require tracking and reporting of gifts, compensation, and other remuneration to healthcare professionals and entities. The need to build and maintain a robust compliance program with different compliance and/or reporting requirements increases the possibility that a healthcare company may violate one or more of the requirements, resulting in fines and penalties.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European Data Security and Data Privacy Laws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HIPAA, as well as a number of other federal and state privacy-related laws, extensively regulate the use and disclosure of individually identifiable health information, known as “protected health information” or “PHI”.</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HIPAA applies to health plans, healthcare providers who engage in certain standard healthcare transactions electronically, such as electronic billing, and healthcare clearinghouses, all of which are referred to as “covered entities” under HIPAA. State imposed health information privacy and security laws typically apply based on licensure, for example, licensed providers or licensed entities are limited in their ability to use and share health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all states have enacted legislation protecting the privacy and security of “personal information” such as identifiable financial or health information, social security number and credit card information. These laws overlap and apply simultaneously with federal privacy and security requirements and regulated entities must comply with all of them. The California Consumer Privacy Act (“CCPA”) that went into effect January 1, 2020, is one of the most restrictive state privacy laws, protecting a wide variety of personal information and granting significant rights to California residents with respect to their personal information. Regulations under CCPA have been modified several times. Additionally, a new privacy law, the California Privacy Rights Act, (“CPRA”) was approved by California voters in the election of November 3, 2020 and went into effect in January of 2023 modifying CCPA significantly, potentially resulting in further uncertainty, additional costs and expenses stemming from efforts to comply, and additional potential for harm and liability for failure to comply. Among other things, the CPRA established a new regulatory authority, the California Privacy Protection Agency, which will be enacting new regulations and will have expanded enforcement authority. Other states in the U.S. are considering privacy laws similar to CCPA. In February 2021, Virginia and Colorado enacted similar data protection laws and other U.S. states have proposals under consideration, increasing the regulatory compliance risk. In dealing with health information for the development of our technology or for commercial purposes, we will be indirectly affected by HIPAA and state-imposed health information privacy and security laws because these laws regulate the ability of our potential customers and research collaborators to share health information with us. Additionally, we must identify and comply with all applicable state laws for the protection of personal information with respect to employee information or other personal information that we collect.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European Union, increasingly stringent data protection and privacy rules that have and will continue to have substantial impact on the use of personal and patient data across the healthcare industry became stronger in May 2018. The EU General Data Protection Regulation (“GDPR”) applies across the European Union and includes, among other things, a requirement for prompt notice of data breaches to data subjects and supervisory authorities in certain circumstances and significant fines for non-compliance. The GDPR fine framework can be up to 20 million euros, or up to 4% of the company’s total global turnover of the preceding fiscal year, whichever is higher. The GDPR sets out a number of requirements that must be complied with when handling the personal data of such European Union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the new mandatory data breach regime. In particular, medical or health data, genetic data and biometric data where the latter is used to uniquely identify an individual are all classified as “special category” data under the GDPR and are afforded greater protection and require additional compliance obligations. Noncompliance could result in the imposition of fines, penalties, or orders to stop noncompliant activities. We may be subject to GDPR if we undertake operations in the EU, offer products or services to individuals in the EU or monitor the behavior of individuals within the EU.</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could also be subject to evolving European Union laws on data export, for transfers of data outside the European Union to us, group companies or third parties. The GDPR only permits exports of data outside the European Union to jurisdictions that ensure an adequate level of data protection. The United States has not been deemed to offer an adequate level of protection, so in order for us to transfer personal data from the EU to the United States, we must identify a legal basis for data transfer (e.g., the European Union Commission approved Standard Contractual Clauses). On July 16, 2020, the Court of Justice of the European Union or the CJEU, issued a landmark opinion in the case </w:t>
      </w:r>
      <w:r>
        <w:rPr>
          <w:rFonts w:ascii="Arial" w:cs="Arial" w:eastAsia="Arial" w:hAnsi="Arial"/>
          <w:sz w:val="16"/>
          <w:szCs w:val="16"/>
          <w:i w:val="1"/>
          <w:iCs w:val="1"/>
          <w:color w:val="auto"/>
        </w:rPr>
        <w:t>Maximilian Schrems vs. Facebook</w:t>
      </w:r>
      <w:r>
        <w:rPr>
          <w:rFonts w:ascii="Arial" w:cs="Arial" w:eastAsia="Arial" w:hAnsi="Arial"/>
          <w:sz w:val="16"/>
          <w:szCs w:val="16"/>
          <w:color w:val="auto"/>
        </w:rPr>
        <w:t xml:space="preserve"> (Case C-311/18), called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This decision (a) calls into question commonly relied upon data transfer mechanisms as between the European Union member states and the United States (such as the Standard Contractual Clauses) and (b) invalidates the EU-U.S. Privacy Shield on which many companies had relied as an acceptable mechanism for transferring such data from the EU to the United States. The CJEU is the highest court in Europe and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heightens the burden on data importers to assess U.S. national security laws on their business and future actions of European Union data protection authorities are difficult to predict. Consequently, there is some risk of data transfers from the EU being halted. If we have to rely on third parties to carry out services for us, including the processing of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European Economic Area to the United Kingdom will remain lawful under GDPR.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Governmental Regulation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employers in the United States.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Laws and Regulations for IVD Products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Whether or not we obtain FDA marketing authorization for a clinical diagnostic product in the future, we must still obtain the requisite approvals from regulatory authorities in non-U.S. countries prior to the marketing of any product for clinical diagnostic use in those countries. The regulations in other jurisdictions vary from those in the United States and may be easier or more difficult to satisfy and are subject to change. For example, the European Union (“EU”) recently published new regulations that will result in greater regulation of medical devices and IVDs. This new IVD regulation (the “new IVD Regulation”) is significantly different from the European directive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products (the “IVD Directive”) that it replaces in that it will ensure that the new requirements apply uniformly and on the same schedule across the member states, include a risk-based classification system and increase the requirements for conformity assessment. The new IVD Regulation became effective in May 2022 and, among other things, it introduces a new risk classification system and requirements for conformity assessments. The major goals of the new IVD Regulation include standardizing diagnostic procedures within the EU, increasing reliability of diagnostic analysis, and enhancing patient safety. As of December 2022, the European Commission was considering various proposals to amend the regulations in response to concerns about implementation challenges and potential disruptions in the supply of critical medical products.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of the European Union, regulatory authorization needs to be sought on a country-by-country basis in order for us to market any clinical diagnostic products. Some countries have adopted medical device regulatory regimes, such as the Classification Rules for Medical Devices published by the Hong Kong Department of Health, the Health Sciences Authority of Singapore regulation of medical devices under the Health Products Act, and Health Canada’s risk classification system for invasive devices, among others, that incorporate IVD products like the FDA’s current system. Each country may have its own processes and requirements for IVD licensing, approval/clearance, and regulation, therefore requiring us to seek any regulatory approvals on a country- by-country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HighCape was incorporated in Delaware in June 2020. It was formed for the purpose of entering into a merger, capital stock exchange, asset acquisition, stock purchase, reorganization or similar business combination with one or more businesses. Legacy Quantum-Si was incorporated under the laws of the State of Delaware on June 24, 2013. On June 10, 2021, HighCape and Legacy Quantum-Si completed the Business Combination, pursuant to which Legacy Quantum-Si became a wholly owned subsidiary of HighCape, HighCape’s corporate name was changed to Quantum-Si Incorporated and the business of Legacy Quantum-Si became the business of the Company. Our principal executive offices are located at 530 Old Whitfield Street, Guilford, Connecticut 06437, and our telephone number is (866) 688-7374.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were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internet address is https://www.quantum-si.com,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Securities and Exchange Commission (“SEC”). The SEC maintains an internet site (http://www.sec.gov) that contains reports, proxy and information statements, and other information regarding issuers that file electronically with the SEC. We include our web site address in this Annual Report on Form 10-K only as an inactive textual reference. The information contained in our website does not constitute a part of this report or our other filings with the SEC.</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Annual Report, including the section of this Annual Report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Annual Report on Form 10-K.</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Unless the context otherwise requires, references in this section to “we”, “us”, “our,”, the “Company” and “Quantum-Si” refer to Quantum-Si Incorporated and its subsidiaries following the Business Combination, or to Legacy Quantum-Si or HighCape prior to the Business Combination, as the case may be.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an early-stage life sciences technology company and have incurred significant losses since Legacy Quantum-Si was formed in 2013, and expect to continue to incur losses in the future. We incurred net losses of $132.4 million, $95.0 million and $36.6 million in the years ended December 31, 2022, 2021 and 2020, respectively. As of December 31, 2022, we had an accumulated deficit of $399.7 million. These losses and accumulated deficit were primarily due to the substantial investments made to develop and improve our technology. Over the next several years, we expect to continue to devote substantially all of our resources towards continuing development and future commercialization of our products and research and development efforts for additional products. These efforts may prove more costly than we currently anticipate. In December 2022, we launched Platinum™ for RUO, and to date we have not generated product revenue and may never generate revenue sufficient to offset our expenses. In addition, as a public company, we incur significant legal, accounting, administrative, insurance and other expenses that we did not previously incur as a private company. Accordingly, we cannot assure you that we will achieve profitability in the future or that, if we do become profitable, we will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such, you cannot rely upon our historical operating performance to make an investment or voting decision regarding us.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recently commercialized our first product and have not generated revenue to date. Our operations to date have been primarily limited to developing our technology and products. Our prospects must be considered in light of the uncertainties, risks, expenses, and difficulties frequently encountered by companies in their early stages of operations. We have not yet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we expect to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results of operations and cash flows could be adversely affected.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or budget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suppliers, distributors and potential customers; an</w:t>
      </w: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any guidance we provide is below the expectations of analysts or investors, it could cause the market price of our Class A common stock to decline.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We expect to spend substantial additional amounts to commercialize our products and to develop new products. We expect to use the funds we received in connection with the Business Combination to further develop and commercialize our products, develop new products, and for working capital and general corporate purposes. As of December 31, 2022, we had cash and cash equivalents and investments in marketable securities totaling $351.3 million. We expect our cash and cash equivalents and investments in marketable securities will be able to fund our operations for at least the next twelve months. However, this does not reflect the possibility that we may not be able to access a portion of our existing cash and cash equivalents and investments in marketable securities due to market conditions. For example, on March 10, 2023, the Federal Deposit Insurance Corporation, or the FDIC, took control and was appointed receiver of Silicon Valley Bank. If other banks and financial institutions enter receivership or become insolvent in the future in response to financial conditions affecting the banking system and financial markets, our ability to access our cash and cash equivalents and investments in marketable securities may be threatened and could have a material adverse effect on our business and financial condition.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require additional capital to develop and commercialize our products and to develop new products. In addition, our operating plans may change as a result of many factors that may currently be unknown to us, and we may need to seek additional funds sooner than planned.</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debt securities would cause dilution to holders of our equity securities and/or increased fixed payment obligations, and may affect the rights of then-existing holders of our equity securities. Furthermore, these securities may have rights senior to those of our Class A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Even if we believe that we have sufficient funds for our current or future operating plans, we may seek additional capital if market conditions are favorable or if we have specific strategic considerations.</w:t>
      </w:r>
    </w:p>
    <w:p>
      <w:pPr>
        <w:sectPr>
          <w:pgSz w:w="11900" w:h="16838" w:orient="portrait"/>
          <w:cols w:equalWidth="0" w:num="1">
            <w:col w:w="11240"/>
          </w:cols>
          <w:pgMar w:left="320" w:top="121"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recently commercially launched our first product, but we may not be able to successfully commercially launch our products as planned.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recently commercially launched our first product, Platinum™ for RUO. We are following a three-phase launch plan for commercialization, which includes an early access limited release phase, the current initial commercial launch phase, and a broad commercial availability phase. Our commercial launch plan may not progress as planned due to:</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products with key opinion leaders in a timely fashion;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products prior to entering into the second or third phases of our commercial launch plan;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32"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broad scientific and market acceptance, which we may fail to achieve.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products depends and will depend on a number of factors. Our products are and will be subject to market forces and adoption curves common to other new technologies. The market for proteomics and genomics technologies and products is in its early stages of development. If widespread adoption of our products takes longer than anticipated, we will continue to experience operating losses.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products. During the early access limited release phase of our commercialization launch plan, we collaborated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during the early access limited release phase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products;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products to demonstrate comparable performance in intended use applications broadly in the hands of customers consistent with the early access limited release phase of our commercialization plan;</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customers’ willingness to adopt new products and workflows;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product’s ease of use and whether it reliably provides advantages over other alternative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adoption of our products by academic institutions, laboratories, biopharmaceutical companies and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prices we charge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be successful in addressing each of these criteria or other criteria that might affect the market acceptance of Platinum™ and any other products we commercialize. If we are unsuccessful in achieving and maintaining market acceptance of our products, our business, financial condition, results of operations and cash flows will be adversely affected.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products.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us being able to attract customers for our products. Although members of our management team have considerable industry experience, we will be required to expand our sales, marketing, distribution and customer service and support capabilities with the appropriate technical expertise prior to the broad commercial launch of our products. To perform sales, marketing, distribution, and customer service and support successfully, we will face a number of risks, including:</w:t>
      </w:r>
    </w:p>
    <w:p>
      <w:pPr>
        <w:spacing w:after="0" w:line="157"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products may not gain market acceptance, which could materially impact our business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products may be smaller than estimated, and new market opportunities may not develop as quickly as we expect, or at all, limiting our ability to successfully sell our products.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products are innovative new products,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it has used, may change at any time, thereby reducing the accuracy of our estimates. As a result, our estimates of the total addressable market for our products may be incorrect.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Our suppliers have been impacted by the COVID-19 pandemic, and we have experienced supply delays for critical hardware, instrumentation and medical and testing supplies that we use for product development, as these other components and supplies are otherwise diverted to COVID-19-related testing and other uses.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development and commercialization of our products could be adversely affected by 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 as well as decreases in government funding of research and development; and changes in the amount of funds allocated to different areas of research, that have the effect of increasing the length of the funding process or the impact of the COVID-19 pandemic on our potential customers and their funding 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becoming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business and results of operations. Our suppliers, vendors and business partners also face similar risks, and any disruption to their operations could have an adverse effect on our supply and manufacturing chain.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Climate change has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results of operations or cash flows, including the sustainability of our business over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including changes in inflation, interest rates and overall economic conditions and uncertainties. We have experienced pricing increases from our suppliers. To the extent inflation or other factors increase our business costs, it may not be feasible to pass price increases on to our customers or offset higher costs through manufacturing efficiencies. Inflation could also adversely affect the ability of our customers to purchase our products. An economic downturn could result in a variety of risks to our business, including weakened demand for our products and our inability to raise additional capital when needed on acceptable terms, if at all. A weak or declining economy could also result in further constraints on our suppliers or cause future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Geopolitical conflicts could potentially affect our sales and disrupt our operations and could have a material adverse impact on the Company.</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Geopolitical conflicts, including the ongoing war in Ukraine, could adversely impact our operations or those of our suppliers, manufacturers or customers. The extent to which these events impact our operations will depend on future developments, which are highly uncertain and cannot be predicted with confidence. If the uncertainty surrounding geopolitical conflicts and in the global marketplace continues, or if we, or any of our suppliers, manufacturers or customers encounter any disruptions to our or their respective operations or facilities, then we or they may be prevented or delayed from effectively operating our or their business, respectively, and the marketing and sale of our products and our financial results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2022, we had 202 employees. We expect that we will need to hire additional accounting, finance and other personnel in connection with the requirements of being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If we do not successfully manage our anticipated growth, our business, results of operations, financial condition and prospects will be harmed.</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undertaking internal restructuring activities that could result in disruptions to our business or otherwise materially harm our results of operations or financial condition.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2023, we announced that we committed to an organizational restructuring designed to decrease our costs and create a more streamlined organization to support our business. As a result, we are terminating approximately 12% of our workforce, effective in the first quarter of 2023. We believe this re-prioritized strategic focus is the best way to optimize our financial and other resources to advance our goal of developing and commercializing our products and services. There can be no assurance that our restructuring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operations. Further, our restructuring may result in unexpected expenses or liabilities and/or write-offs. If our restructuring fails to achieve some or all of the expected benefits therefrom, our cash resources may not last as long as estimated and our business, results of operations and financial condition could be materially and adversely affected.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currently undergoing a leadership transition and an internal restructuring, and we depend on our key personnel and other highly qualified personnel, and if we are unable to recruit, train and retain our personnel in the future, we may not achieve our goals.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8, 2022, John Stark, our then-Chief Executive Officer and member of our board of directors, stepped down from all of his positions with us. Jonathan M. Rothberg, Ph.D., the Chairman of the board of directors, was appointed by the board of directors as Interim Chief Executive Officer to succeed Mr. Stark while we searched for Mr. Stark’s replacement. On October 10, 2022, Jeffrey Hawkins joined as our Chief Executive Officer and a member of the board of directors and Dr. Rothberg stepped down from the role of Interim Chief Executive Officer. Additionally, in January 2023, we announced that we committed to an organizational restructuring designed to decrease our costs and create a more streamlined organization to support our business. As a result, we terminated approximately 12% of our workforce, effective in the first quarter of 2023. While we have confidence in Mr. Hawkins and the rest of our team, including the board of directors, the uncertainty inherent in this ongoing leadership transition and restructuring may be difficult to manage, may cause concerns from third parties with whom we do business, and may increase the likelihood of turnover of other key officers and employees.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depends upon our ability to recruit, train, retain and motivate key personnel, including our senior management team, as well as our research and development team and manufacturing and sales and marketing personnel. Our senior management team, including Jeffrey Hawkins, our Chief Executive Officer; Claudia Drayton, our Chief Financial Officer; Patrick Schneider, Ph.D., our President and Chief Operating Officer, Grace Johnston, our Chief Commercial Officer, Michael P. McKenna, Ph.D., our Executive Vice President, Product Development and Operations, and Christian LaPointe, Ph.D., our General Counsel and Corporate Secretary, is critical to our vision, strategic direction, product development and commercialization efforts. 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products and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our industry, we may continue to utilize foreign nationals to fill part of our recruiting needs. As a result, changes to U.S. immigration policies could restrain the flow of technical and professional talent into the United States and may inhibit our ability to hire qualified personnel.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the company with little or no prior notice and may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sales of our initial products from the time they are commercialized through the foreseeable future.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2022, we launched Platinum™ for RUO. Prior to that, in 2021 we initiated our early access limited release to enable key thought leaders early access to our platform. If we are able to successfully commercialize our products, we expect that we will generate substantially all of our revenue from the sale of our instruments and consumables. There can be no assurance that we will be able to successfully commercialize our products,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products in order to keep up with the latest technology. To date, we have limited experience simultaneously designing, testing, manufacturing and selling products and there can be no assurance we will be able to do so. Our sales expectations are based in part on the assumption that our products will increase study sizes for our future customers and their associated purchases of our consumables. If sales of our instruments fail to materialize, so will the related consumable sales and associated revenue.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development and commercialization plans for our products,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products or product enhancements would have a substantial adverse effect on our business and results of operations.</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of RUO protein sequencing products to academic institutions and other research institutions. Much of these customers’ funding will be, in turn, provided by various state, federal and international government agencies. As a result, the demand for our products will depend upon the research and development budgets of these customers, which are impacted by factors beyond our control, such as: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relatively new technologies.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A decrease in the amount of, or delay in the approval of, appropriations to National Institutes of Health (“NIH”) or other similar U.S.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potential customers to reduce or delay purchases of our products.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or violates laws or regulations, we could be liable for damages or subject to enforcement actions.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research and product development activities currently require the controlled use of potentially harmful biological and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We generally use third-party vendors to dispose of regulated medical waste, hazardous waste and radioactive materials that we may use during our research. The cost of compliance with these laws and regulations may become significant and could have a material adverse effect on our financial condition, results of operations and cash flows.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small number of contract manufacturers to manufacture and supply our instruments. If these manufacturers should fail or not perform satisfactorily, our ability to commercialize and supply our instruments would be adversely affected.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rely on a small number of contract manufacturers to manufacture and supply our instruments. Since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In November 2021, we acquired one of our key suppliers in the semiconductor chip assembly and packaging business, Majelac.</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 In addition, once our products are authorized for use by the FDA as medical devices, we will need to contract with FDA-registered device establishments that are able to comply with current Good Manufacturing Practice requirements that are set forth in the QSR, unless explicitly exempted by regulation.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experienced supply delays for critical hardware and instrumentation as a result. If any of these events occur, our business, results of operations, financial condition and prospects could be harmed.</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internal manufacturing equipment is specialized with limited vendor options and long lead times. If these pieces of equipment were to stop working and be unable to be repaired in a timely manner or at all, our ability to manufacturer our chips would be adversely affected.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internal manufacturing equipment is specialized with limited vendor options and long lead times. If these pieces of equipment were to stop working and be unable to be repaired in a timely manner or at all, our ability to manufacturer our chips could be adversely affected.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it becomes necessary to utilize other equipment for our chip manufacturing, we would experience additional costs, delays and difficulties in manufacturing our chips, and our business would suffer. There can be no assurance that we would be able to obtain alternative equipment on a timely basis on acceptable terms, if at all. An interruption in our ability to manufacture our chips could occur if we encounter delays or difficulties in securing this equipment or if we cannot then obtain an acceptable substitute. If any of these events occur, our business, results of operations, financial condition and prospects could be harmed.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Quantum-Si Cloud™ software service, our commercialization efforts and therefore business and results of operations could suffer.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our products depends, in part, on our ability to design and deploy our Quantum-Si Cloud™ software service in a manner that enables the integration with potential customers’ systems and accommodates potential customers’ needs. Without our software, the depth of the analysis provided for data generated by our system could be limited and utilization of our products could be hindered.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and will continue to spend significant amounts of effort developing our software, and potential enhanced versions over time, to meet our potential customers’ evolving needs. There is no assurance that the development or deployment of our software, or any potential enhancements, will be compelling to our customers. In addition, we may experience delays in our release dates of our software, and there can be no assurance that our software will be released according to schedule. If our software development and deployment plan does not accurately anticipate customer demands or if we fail to develop our software in a manner that satisfies customer preferences in a timely and cost-effective manner, our products may fail to gain market acceptance.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commercialize our products outside of the United States, our international business could expose us to business, regulatory, political, operational, financial, and economic risks associated with doing business outside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225" w:lineRule="exact"/>
        <w:rPr>
          <w:sz w:val="20"/>
          <w:szCs w:val="20"/>
          <w:color w:val="auto"/>
        </w:rPr>
      </w:pPr>
    </w:p>
    <w:p>
      <w:pPr>
        <w:jc w:val="both"/>
        <w:ind w:left="660" w:hanging="328"/>
        <w:spacing w:after="0" w:line="25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Assets Control of the U.S. Department of the Treasury;</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jc w:val="both"/>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it may sell our products including as a result of the separation of the United Kingdom from the European Union (“Brexit”);</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70"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provide an end-to-end solution with many different components that work together. As such, a quality defect in a single component can compromise the performance of the entire solution. In order to successfully generate revenue from our products, we need to supply our customers with products that meet their expectations for quality and functionality in accordance with established specifications on a timely basis. Our instruments are manufactured by a third-party contract manufacturer at our facility using complex processes, sophisticated equipment and strict adherence to specifications and quality systems procedures. Given the complexity of our devices, individual units may occasionally require additional installation and service time prior to becoming available for customer use.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leverage third-parties for the production of our kits. We procure certain components of our consumables from third-party manufacturers, which includes the commonly-available raw materials needed for manufacturing our proprietary kits. These manufacturing processes are complex. As we move towards commercial scale manufacturing of our kits, if we are not able to repeatedly produce our kits at commercial scale or source them from third-party suppliers, or encounter unexpected difficulties in packaging our consumables, our business will be adversely impacted.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Likewise, we leverage third-parties for the production and packaging of our chips. These manufacturing processes are complex. As we move towards commercial scale and manufacturing of our chips, if we are not able to repeatedly produce our chips at commercial scale, or encounter unexpected difficulties in packaging our chips, our business will be adversely impacted.</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will be able to continue to manufacture our instruments so that we consistently achieve the product specifications and produce results with acceptable quality. Our kits, chips, and other consumables have a limited shelf life, after which their performance is not ensured. We have not completed accelerated stability testing for our consumables.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our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we commercialize our Quantum-Si Cloud™ software service, we will also need to make corresponding improvements to other operational functions, such as our customer support, service and billing systems, compliance programs and our internal quality assurance programs. As we develop additional products, we may need to bring new equipment online, implement new systems, technology, controls and procedures and hire personnel with different qualifications.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rely on third party foundries to produce wafers, which when packaged and tested internally, lead to our supply of chips. If these third party foundries should fail or not perform satisfactorily, our ability to supply chips would be negatively and adversely affected.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rely on third-party foundries for the production of wafers, and we may not be able to obtain adequate supplies in a timely manner or on commercially reasonable terms. If any of these third parties were not able to supply our wafers, our chip supply would be negatively impacted and our business would be harmed.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it becomes necessary to utilize a different third party for the production of wafers, we would experience additional costs and significant delays, including identifying and entering into an agreement with a new foundry partner as well as preparing such new foundry partner to meet the logistical requirements associated with producing our wafers, which would further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we were to lose such third party foundries, there can be no assurance that we will be able to identify or enter into agreements with alternative foundries on a timely basis on acceptable terms, if at all. An interruption in our ability to sell and deliver chips to customers could occur if we encounter delays or difficulties in securing these wafers, if the quality of the wafers supplied do not meet specifications, or if we cannot then obtain an acceptable substitute. If any of these events occur, our business and operating results could be harmed.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and adversely affect our business, financial condition, results of operations and cash flows.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utilize novel and complex technology and may develop or contain undetected defects or errors. Material performance problems, defects, or errors may arise, and as we commercialize our products,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our instruments and various components, many of which require a significant degree of technical expertise to produce. If our suppliers fail to produce our products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products or expansion of our product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team into our service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operations will suffer.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Seer and SomaLogic.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the Company. This is particularly true for the largest research centers and laboratories that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products may not compete favorably, and we may not be successful in the face of increasing competition from products and technologies introduced by our existing or future competitors, companies entering our markets or developed by our customers internally. In addition, our competitors may have or may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results of operations and cash flows.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party to Technology and Services Exchange Agreements by and among us and certain affiliated companies, pursuant to which the parties agreed to share personnel and certain non-core technologies. The sharing arrangements under the agreements may prevent us from fully utilizing our personnel and/or the technologies shared under the agreements. Furthermore, if these agreements were to terminate, or if we were to lose access to these technologies and services, our business could be adversely affected.</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entered into Technology and Services Exchange Agreements (the “TSEAs”) by and among us and other participant companies controlled by the Rothberg family, consisting of Butterfly Network, Inc., AI Therapeutics, Inc., Hyperfine, Inc., 4Bionics LLC, identifeye HEALTH Inc. (f/k/a Tesseract Health, Inc.), Liminal Sciences, Inc. and Detect, Inc. The TSEA with Butterfly Network, Inc. was signed in November 2020, and the TSEA with the remaining participant companies was signed in February 2021 and became effective upon the Closing of the Business Combination. Under the TSEAs, we and the other participant companies may, in our or their discretion, permit the use of certain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with the other participant companies. The TSEAs provide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technology and personnel-sharing arrangements under the TSEAs may prevent us from fully utilizing our personnel if such personnel are also being used by the other participant companies and may also cause our personnel to enter into agreements with or provide services to other companies that interfere with their obligations to us. Created IP under the TSEAs may be relevant to our business and created by our personnel but owned by the other participant companies. Furthermore, if the TSEAs were to terminate, or if we were to lose access to the technologies and services available pursuant to the TSEAs, our business could be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existing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than the acquisition of Majelac, 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to enter into strategic collaborations and licensing arrangements with third parties, but we may not be successful in establishing or maintaining such arrangements.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may seek to enter into strategic collaborations and licensing agreements with third parties to develop products, including products based on our Time-Domain</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Sequencing technology, such as the creation and identification of content and development of new applications.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they may never result in the successful development or commercialization of products.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we had federal net operating loss carryforwards (“NOLs”) to offset future taxable income of approximately $285.1 million, of which $65.5 million will begin to expire in 2033 if not utilized.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pre-change NOLs and other pre-change tax attributes (such as research tax credits) to offset post-change taxable income.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Our existing NOLs may be subject to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limitations discussed above under Sections 382 of the Code, the utilization of NOLs incurred in taxable years beginning after December 31, 2017, are subject to limitations adopted by the Tax Cuts and Jobs Act, as modified by the Coronavirus Aid, Relief, and Economic Security Act (“CARES Act”). Under the TCJA, in general, NOLs generated in taxable years beginning after December 31, 2017 may offset no more than 80 percent of such year’s taxable income and there is no ability for such NOLs to be carried back to a prior taxable year. The CARES Act modifies the TCJA with respect to the TCJA’s limitation on the deduction of NOLs and provides that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percent of current year taxable income for taxable years beginning before January 1, 2021. As a result of such limitation, we may be required to pay federal income tax in some future year notwithstanding that we had a net loss for all years in the aggregate.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Guilford, Connecticut, facilities house our corporate, research and development and quality assurance teams. In June 2021, we entered into a lease for a product development and operations facility in San Diego, California, which commenced in September 2021. In December 2021, we entered into a lease for a facility in New Haven, Connecticut, which commenced in January 2022. Additionally, in April 2022, we entered into a lease for a facility to develop a new headquarters in Branford, Connecticut and </w:t>
      </w:r>
      <w:r>
        <w:rPr>
          <w:rFonts w:ascii="Arial" w:cs="Arial" w:eastAsia="Arial" w:hAnsi="Arial"/>
          <w:sz w:val="17"/>
          <w:szCs w:val="17"/>
          <w:color w:val="212132"/>
        </w:rPr>
        <w:t>we expect to begin relocating to the new headquarters in 2023.</w:t>
      </w:r>
      <w:r>
        <w:rPr>
          <w:rFonts w:ascii="Arial" w:cs="Arial" w:eastAsia="Arial" w:hAnsi="Arial"/>
          <w:sz w:val="17"/>
          <w:szCs w:val="17"/>
          <w:color w:val="auto"/>
        </w:rPr>
        <w:t xml:space="preserve"> Our products are manufactured at our third-party manufacturer’s facilities in the United States and internationally, and our consumables are manufactured at various locations in the United States including our facility in Garnet Valley, Pennsylvania that we acquired in November 2021, and internationally.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facilities in Guilford, San Diego and those of our third-party manufacturers are vulnerable to natural disasters, public health crises, including the impact of the COVID-19 pandemic, and catastrophic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facilities given the specialized equipment housed within them. The inability to manufacture our instruments or consumables, combined with limited inventory of manufactured instruments and consumables, may result in the loss of future customers or harm our reputation, and we may be unable to re-establish relationships with those customers in the future.</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research and development program or commercialization program were disrupted by a disaster or catastrophe, the launch of new products and the timing of improvements to our products could be significantly delayed and could adversely impact our ability to compete with other available products and solutions. If we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rely, and will continue to rely on, information technology systems to keep financial and employment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especially in the health care industry.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present a constant threat, including advanced persistent threat intrusions. Despite our efforts to create security barriers to such threats, it is virtually impossible for us to entirely mitigate these risks. In August 2020, we discovered ransomware on a server along with a ransom note seeking 50 bitcoin or approximately $500,000, to restore various files encrypted by the intruder. We also discovered that our Amazon Web Services account had been breached. We engaged third party forensics experts and outside counsel for incident response. The ensuing investigation revealed that the attack resulted from an internal developer’s use of a common tool for remote access. The attack compromised several computers in our network. Our investigation found evidence of snooping within our network but concluded that no data was exfiltrated and we did not pay ransom to the attacker because the documents that were encrypted by the attacker were sufficiently backed up. The investigation further confirmed that no employee data or other personal information was accessed so the incident did not prompt regulatory or breach notification requirements. We implemented a number of security enhancements as the incident unfolded and continue to implement short- and long-term security enhancements to further secure our network. However,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may be harmed, we could become subject to litigation and we could incur significant expense and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in an acceptable timeframe. In addition,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results of operations and cash flows.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data breaches could result in legal claims or proceedings, including class action lawsuits,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addition, although we seek to detect and investigate all data security incidents, threat actors have become increasingly proficient at operating undetected within an information system, making security breaches and other incidents of unauthorized access to our information technology systems and data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information technology systems and data security breaches and complying with applicable breach notification obligations to individuals, regulators, partners and others can be significant. As cybersecurity incidents and regulatory requirements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and it is possible that an insurer may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become subject to various litigation claims and legal proceedings.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as well as certain of our directors and officers, may become subject to claims or lawsuits during the ordinary course of business. If any such claim or lawsuit was brought, regardless of the outcome, such claim or lawsuit could result in significant legal fees and expenses and could divert management’s time and other resources. If any such claims or lawsuits are successfully asserted against us, we could be liable for damages and be required to alter or cease certain of our business practices. Any of these outcomes could cause our business, financial performance and cash position to be negatively impacted.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or medical devices, we would be required to obtain prior marketing authorization from the FDA, which would take significant time and expense and could fail to result in FDA marketing authorization of the device for the intended use or uses we believe are commercially attractive.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protein sequencing products are currently labeled, promoted, and sold primarily to academic and research institutions and research companies as RUO products. They are not currently designed, or intended to be used, for clinical diagnostic purposes or as medical devices. If we elect to label and market our products for use as, or in the performance of, clinical diagnostics in the United States, thereby subjecting them to FDA regulation as medical devices, we would be required to obtain pre-market authorization from the FDA, unless an exception applies.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future, if we choose to develop and market our products for clinical or diagnostic uses in the United States, we will be required to comply with FDA’s regulations for in vitro diagnostic (“IVD”) medical devices. Complying with FDA’s medical device regulations may be expensive, time-consuming, and subject us to significant and/or unanticipated delays. There can be no guarantee that we will be able to obtain the appropriate marketing authorization for our protein sequencing products that may be developed for clinical or diagnostic intended uses in the future.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in the future register with the FDA as a specification developer and list some of our ancillary products with the FDA as Class I general purpose laboratory equipment, subjecting us to ongoing inspections by the FDA. While this regulatory classification is exempt from certain FDA requirements, such as the need to submit a pre-market notification commonly known as a 510(k), and some of the requirements of the FDA’s Quality System Regulations (“QSR”), those device products would be subject to mandatory general controls that apply to all classes of medical devices. In addition to establishment registration, device listing and compliance with applicable QSR, general controls include compliance with FDA regulations for labeling, reporting adverse events or malfunctions for the products, and general prohibitions against misbranding and adulteration.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us failing to obtain regulatory clearance or approval to market such products, which would significantly harm our business, results of operations, reputation, and prospects.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sought and received regulatory marketing authorization for certain of our protein sequencing products, we would be subject to ongoing FDA obligations and continued regulatory oversight and review, including the general controls listed above. In addition, we could be required to obtain a new clearance or approval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could decide to seek regulatory clearance or approval for certain of our future clinical diagnostic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marketing authorization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our current protein sequencing products are labeled, promoted, and sold as RUO products that are therefore not regulated as IVD medical devices, the FDA or comparable agencies of other countries could disagree with our conclusion that our products are intended for RUO or deem our sales, marketing and promotional efforts as being inconsistent with the criteria for RUO products. For example, our customers may independently elect to use our RUO labeled products in their own “LDTs” for clinical diagnostic uses, which could subject our products to government regulation, and regulatory requirements related to marketing, selling, and distribution of RUO products could change or be uncertain, even if clinical uses of our RUO products by our customers were done without our consent. FDA reviews the totality of the circumstances when it comes to evaluating whether equipment and testing components are properly labeled as RUO and takes the position that merely including a labeling statement that the product is for research purposes only will not necessarily render the device exempt from the FDA’s device regulatory requirements if the circumstances surrounding the distribution, marketing and promotional practices indicate that the manufacturer knows its products are, or intends for its products to be, used for clinical diagnostic purposes. If the FDA or other regulatory authorities assert that any of our RUO products are subject to regulatory clearance or approval, our business, financial condition, results of operations or cash flows could be adversely affected.</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 number of years, the FDA has exercised its regulatory enforcement discretion not to regulate LDTs as medical devices if created and used within a single laboratory. However, the FDA has been reconsidering its enforcement discretion policy and has commented that regulation of LDTs may be warranted because of the growth in the volume and complexity of testing services utilizing LDTs, although it would most likely need to promulgate such a significant policy change via notice-and-comment rulemaking or would need Congress to take legislative action.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the Health Insurance Portability and Accountability Act of 1996 (“HIPAA”), the Physician Payments Sunshine Act and related transparency and manufacturer reporting laws, and other laws and regulations applicable to medical device manufacturers.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reagents may be used by clinical laboratories to create LDTs, which could, in the future, become subject to some form of FDA regulatory requirements, which could materially and adversely affect our business and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in the future register with the FDA as a specification developer and list ancillary products such as customized reagents with the FDA as Class I general purpose laboratory equipment and reagents. A clinical laboratory could potentially use our custom-manufactured reagents to create what is called a LDT. LDTs are diagnostic tests that are developed, validated and performed by a single clinical laboratory operating in compliance with the Clinical Laboratory Improvement Amendments (“CLIA”), and under the oversight of the Centers for Medicare &amp; Medicaid Services (“CMS”). Historically, FDA has generally exercised enforcement discretion not to regulate LDTs as medical devices. The FDA has been reconsidering its enforcement discretion policy in recent years and has commented that regulation of LDTs may be warranted because of the growth in the volume and complexity of testing services utilizing LDTs, such as genetic testing services, although the agency would most likely need to promulgate such a significant policy change via notice-and-comment rulemaking or would need Congress to take legislative action. Any future legislative or administrative rule making or oversight of LDTs, if and when finalized, could decrease demand for our reagents by affecting how customers can use those products. Additionally, compliance with additional regulatory burdens could be time consuming and costly for our customers. We cannot predict how these various efforts will be resolved, how Congress or the FDA will regulate LDTs in the future, or how that regulatory system will impact our business.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FDA may disagree that such products are Class 1 medical devices and require us to obtain pre-market clearance or approval before we can continue to sell our reagent products to certain customers.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of concern as we develop and begin to commercialize products include:</w:t>
      </w:r>
    </w:p>
    <w:p>
      <w:pPr>
        <w:spacing w:after="0" w:line="171" w:lineRule="exact"/>
        <w:rPr>
          <w:sz w:val="20"/>
          <w:szCs w:val="20"/>
          <w:color w:val="auto"/>
        </w:rPr>
      </w:pPr>
    </w:p>
    <w:p>
      <w:pPr>
        <w:jc w:val="both"/>
        <w:ind w:left="660" w:hanging="328"/>
        <w:spacing w:after="0" w:line="28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w:t>
      </w: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that prohibit, among other things, executing a scheme to defraud any healthcare benefit program and making false statements relating to healthcare matters;</w:t>
      </w: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Physician Sunshine Act, which requires certain manufacturers of drugs, devices, biologics and medical supplies for which payment is available under Medicare, Medicaid or the Children’s Health Insurance Program, to report annually to CMS, information related to payments and other transfers of value to physicians (defined broadly to include doctors, dentists, optometrists, podiatrists and chiropractors), teaching hospitals and certain advanced non-physician healthcare practitioners, as well as ownership interests held by physicians and their immediate family members;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we may have with hospitals, physicians or other developers or potential purchasers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members of our management and companies with which they are affiliated or have been affiliated with in the past, have been, and may in the future be, involved in investigations, prosecutions, convictions or settlements in the healthcare industry. For example, Kevin Rakin, a member of our board of directors, was named as a defendant in </w:t>
      </w:r>
      <w:r>
        <w:rPr>
          <w:rFonts w:ascii="Arial" w:cs="Arial" w:eastAsia="Arial" w:hAnsi="Arial"/>
          <w:sz w:val="18"/>
          <w:szCs w:val="18"/>
          <w:i w:val="1"/>
          <w:iCs w:val="1"/>
          <w:color w:val="auto"/>
        </w:rPr>
        <w:t>United States ex rel. Webb v. Advanced BioHealing, Inc.</w:t>
      </w:r>
      <w:r>
        <w:rPr>
          <w:rFonts w:ascii="Arial" w:cs="Arial" w:eastAsia="Arial" w:hAnsi="Arial"/>
          <w:sz w:val="18"/>
          <w:szCs w:val="18"/>
          <w:color w:val="auto"/>
        </w:rPr>
        <w:t xml:space="preserve">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results of operations and cash flows.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disclosures regarding information practices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new privacy law, the California Privacy Rights Act (CPRA), was approved by California voters in the election of November 3, 2020 and went into effect in January of 2023 modifying the CCPA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United States and GDPR in the European Union) may be subject to evolving interpretations or applications. Furthermore, defending a suit, regardless of its merit, could be costly, divert management’s attention and harm our reputation.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regulations promulgated pursuant to HIPAA, establish privacy and security standards that limit the use and disclosure of individually identifiable health information (known as “protected health information”) and require the implementation of administrative, physical and technology safeguards to protect the privacy and security of protected health information and ensure the confidentiality, integrity and availability of electronic protected health information. Determining HIPAA applicability to our operations as they evolve, obligations under applicable privacy standards and our contractual obligations can require complex factual and regulatory analyses and may be subject to differing or changing interpretations.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for us or our customers under federal or state laws that protect the privacy of health information, such as HIPAA, as amended by the Health Information Technology for Economic and Clinical Health Act (HITECH), and regulatory penalties. Notice of certain breaches may be required to affected individuals, the Secretary of the Department of Health and Human Services, and for extensive breaches, notice may also need to be made to the media. Additionally, state law may require notice to the state Attorneys General. Such notices could harm our reputation and our ability to compete.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in the process of evaluating our compliance obligations,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expense, as well as potentially fines, sanctions, awards, penalties or judgments, all of which could have a material adverse effect on our business, financial condition, reputation, results of operations and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adversely affected by alleged violations of the Federal Trade Commission Act or other truth-in-advertising and consumer protection laws.</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advertising for current and future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material adverse effects on our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with respect to any of our future products that are marketed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Federal Food, Drug, and Cosmetic Act (“FDCA”).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product manufacturers’ use of social media platforms presents new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potential customer base for future clinical diagnostic applications of our protein sequencing technologies may be active on social media. We intend to engage through those platforms to elevate our national marketing presence, both for our RUO product offerings and any future medical device product offerings. Social media practices in the medical device and biopharmaceutical industries are evolving, which creates uncertainty and risk of noncompliance with regulations applicable to our business. For example, there is a risk of inappropriate disclosure of sensitive information or negative or inaccurate posts or comments about us or our products on any social networking website. If these events were to occur or we otherwise fail to comply with any applicable regulations, we could incur liability, face restrictive regulatory actions or experience other harm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be issued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a reasonably limited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results of operations and cash flows.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U.S. Supreme Court rulings have narrowed the scope of patent protection available in certain circumstances and weakened the rights of patent owners in certain situations. In addition to some degree of uncertainty with regard to our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patent portfolio may be negatively impacted by current uncertainties in the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We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other countries are not as favorable as the United States in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entities or companies headquartered in particular jurisdictions over our first-in-time patents and other intellectual property protection. The absence of harmonized intellectual property protection laws and effective enforcement makes it difficult to ensure consistent respect for patents, trade secrets, and other intellectual property rights on a worldwide basis. As a result, it is possible that we will not be able to enforce our rights against third parties that misappropriate our proprietary technology in those countries.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our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they are successful, we could experience significant costs and our management may be distracted. Any of the foregoing events could have a material adverse effect on our business, financial condition, results of operations and prospects.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heavily on trade secrets and confidentiality agreements to protect our unpatented know-how, technology and other proprietary information,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and our business, financial condition, results of operations and prospects.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alleged inventors such as employees, consultants or others who are involved in developing our products, some of whom may have conflicting IP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such third parties were to succeed in registering or developing common law rights in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additional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results of operations and cash flows.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to us alleged trade secrets of their other clients or former employers, which could subject us to costly litigation.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products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be issued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against us their intellectual property, including patents,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license is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solely owned and/or in-licensed intellectual property rights. Monitoring unauthorized use of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will take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Alternatively or additionally, such proceeding could result in requiring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unpredictable.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Regardless of whether we are defending against or asserting an intellectual property-related claim in an intellectual property-related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licenses from third parties, and in the future may rely on additional licenses from other third parties, and if we lose any of these licenses, then we may be subjected to future litigation.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results of operations or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also arise between us and our licensors regarding intellectual property subject to a license agreement, including:</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Boreal and the University of British Columbia.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our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and provide third parties access to our proprietary software.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products may contain software licensed by third parties under open-source software licenses. Use and distribution of open-source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the open-source software, depending on the type of open-source software the licensee uses and how the licensee uses it. If we combine our proprietary software with open-source software in a certain manner, we could, under certain open-source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open-source software have faced claims challenging their use of such open-source software and their compliance with the terms of the applicable open-source license. We may be subject to suits by third parties claiming ownership of what they believe to be open-source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systems.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review our use of open-source software to avoid subjecting our proprietary software to conditions we do not intend, the terms of many open source-software licenses have not been interpreted by U.S. courts, and there is a risk that these licenses could be construed in a way that could impose unanticipated conditions or restrictions on our ability to commercialize our products and proprietary software. Moreover, our processes for monitoring and controlling our use of open-source software in our products may not be effective. If we are held to have breached the terms of an open-source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events occur, they could materially adversely affect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outstanding warrants became exercisable for our Class A common stock in September 2021, which increased the number of shares eligible for future resale in the public market and resulted in dilution to our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the Business Combination, there were 3,833,319 outstanding warrants issued in connection with the initial public offering of HighCape (the “Public Warrants”) to purchase 3,833,319 shares of our Class A common stock at an exercise price of $11.50 per share, which warrants became exercisable on September 9, 2021, 12 months from the closing of HighCape’s initial public offering, which occurred on September 9, 2020. In addition, there are 135,000 private placement warrants (the “Private Warrants”) to purchase 135,000 shares of our Class A common stock at an exercise price of $11.50 per share. In certain circumstances, the Public Warrants and Private Warrants may be exercised on a cashless basis. To the extent such warrants are exercised, additional shares of our Class A common stock will be issued, which will result in dilution to the holders of our Class A common stock and increase the number of shares eligible for resale in the public market. Sales of substantial numbers of such shares in the public market could adversely affect the market price of our Class A common stock, the impact of which is increased as the value of our stock price increases.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changes in the value of our warrants could have a material effect on our financial results.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HighCape reevaluated the accounting treatment of its Public Warrants and Private Warrants and determined to classify the warrants as derivative liabilities measured at fair value, with changes in fair value each period reported in earnings.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a result, included on our balance sheets as of December 31, 2022 and December 31, 2021 are derivative liabilities related to our warrants. Accounting Standards Codification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spacing w:after="0" w:line="14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and corrected on a timely basis.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Material weaknesses could result in material misstatements to our annual or interim financial statements that might not be prevented or detected on a timely basis, or in delayed filing of required periodic reports. If we are unable to assert that our internal control over financing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reporting,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identify any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may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We can provide no assurance that such litigation or dispute will not arise in the future. Any such litigation or dispute, whether successful or not, could have a material adverse effect on our business, financial condition,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the periodic reporting requirements of the Exchange Act. We design our disclosure controls and procedures to reasonably assure that information we are required to disclose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or insufficient disclosure due to error or fraud may occur and we may not detect them.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failure to maintain effective internal controls and procedures over financial reporting could severely inhibit our ability to accurately report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the warrants will be in the money prior to their expiration, and they may expire worthless.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exercise price for our outstanding warrants is $11.50 per share of our Class A common stock. There can be no assurance that the warrants will be in the money prior to their expiration, and as such, the warrants may expire worthless.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currently outstanding an aggregate of 3,968,319 warrants to acquire shares of our Class A common stock, which comprise 135,000 Private Warrants held by HighCape’s initial stockholders at the time of HighCape’s initial public offering and 3,833,319 Public Warrants. Each of our outstanding whole warrants is exercisable as of September 9, 2021, for one share of our Class A common stock in accordance with its terms. Therefore, as of December 31, 2022, if we assume that each outstanding whole warrant is exercised and one share of HighCape Class A common stock is issued as a result of such exercise, with payment of the exercise price of $11.50 per share, our fully-diluted share capital would increase by a total of 3,968,319 shares, with approximately $45.6 million paid to us to exercise the warrants.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more than 50% of the voting power for the election of our directors is held by an individual, a group or another company, we will qualify as a “controlled company” within the meaning of the Nasdaq listing rules. As of March 1, 2023, Dr. Rothberg controlled 80.2% of the voting power of our outstanding capital stock. As a result, we are a “controlled company” within the meaning of the Nasdaq corporate governance standards and are not subject to the requirements that would otherwise require us to have: (i) a majority of independent directors; (ii) a compensation committee comprised solely of independent directors; and (iii) director nominees selected, or recommended for our board of director’s selection, either by a majority of the independent directors or a nominating committee comprised solely of independent directors.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Rothberg may have his interest in us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requirements.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our Chairman of the Board and Founder, which will limit an investor’s ability to influence the outcome of important transactions, including a change in control.</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Shares of our Class B common stock have 20 votes per share, while shares of our Class A common stock have one vote per share. Dr. Rothberg and his affiliates hold all of the issued and outstanding shares of our Class B common stock, and as of March 1, 2023, Dr. Rothberg and his affiliates held 80.2% of the voting power of our capital stock and is able to control matters submitted to our stockholders for approval, including the election of directors, amendments to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If additional shares of our Class B common stock are issued, your shares and your votes may be significantly diluted.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stock price of our Class A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would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could make a takeover proposal more difficult.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organizational documents are governed by Delaware law. Certain provisions of Delaware law and of our certificate of incorporation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stockholder action by written consent only until the first time when Dr. Rothberg ceases to beneficially own a majority of the voting power of our capital stock;</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(i) a majority of the voting power of our capital stock so long as Dr. Rothberg beneficially owns shares representing a majority of the voting power of our capital stock and (ii) at least two-thirds of the voting power of the capital stock from and after the time that Dr. Rothberg ceases to beneficially own shares representing a majority of our voting power;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common stock. These provisions could also discourage proxy contests and make it more difficult for our stockholders to elect directors of their choosing and to cause us to take other corporate actions that our stockholders desire.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certificate of incorporation provides that, unless we consent to the selection of an alternative forum, any (i) derivative action or proceeding brought on behalf of us; (ii) action asserting a claim of breach of a fiduciary duty owed by, or any other wrongdoing by, any current or former director, officer or other employee or stockholder of ours; (iii) action asserting a claim against us or any director or officer arising pursuant to any provision of the General Corporation Law of the State of Delaware (“DGCL”) or our certificate of incorporation or our bylaws; or (iv) action to interpret, apply, enforce, or determine the validity of any provisions in the certificate of incorporation of bylaws; or (v) action asserting a claim against us or any director or officer of ours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an interest in any shares of our capital stock shall be deemed to have notice of and to have consented to the forum provisions in our certificate of incorporation. These choice-of-forum provisions may limit a stockholder’s ability to bring a claim in a judicial forum that he, she or it believes to be favorable for disputes with us or our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Alternatively, if a court were to find these provisions of our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results of operations and cash flows and result in a diversion of the time and resources of our management and board of directors.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currently maintain our executive offices at 530 Old Whitfield Street, Guilford, Connecticut 06437. We also occupy office and laboratory space at 485 Old Whitfield Street, Guilford, Connecticut, 351 New Whitfield Street, Guilford, Connecticut, 5107 Pegasus Court (Suites F-M), Frederick, Maryland, 3000 El Camino Real (Suite 100), Palo Alto, California, 27 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New York, 5510 Morehouse Drive, San Diego, California, 115 Munson Street, New Haven, Connecticut and 29 Business Park Drive, Branford, CT. We have our semiconductor chip assembly and packaging business at 3070 McCann Farm Drive, Garnet Valley, Pennsylvania.</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Closing of the Business Combination on June 10, 2021, HighCape’s units, Class A common stock and public warrants were listed on the Nasdaq under the symbols “CAPAU,” “CAPA,” and “CAPAW,” respectively. Upon the Closing of the Business Combination, we changed our name to “Quantum-Si Incorporated” and our Class A common stock and warrants to purchase Class A common stock began trading on the Nasdaq under the symbols “QSI” and “QSIAW”,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1, 2023, we had approximately 120,006,757 shares of Class A common stock issued and outstanding held of record by 86 holders, approximately 19,937,500 shares of Class B common stock issued and outstanding held of record by 2 holders, approximately 3,833,319 public warrants held of record by 1 holder and 135,000 private placement warrants issued in connection with HighCape’s initial public offering held of record by 1 holder, each exercisable for one share of Class A Common Stock at a price of $11.50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is no public market for our Class B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paid any cash dividends on our Class A common stock to date, and we do not anticipate paying any cash dividends in the foreseeable future.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an Asset Purchase Agreement, we entered into with Majelac and certain other parties thereto (the “Majelac Agreement”), on November 5, 2021, as partial consideration for the purchase price, we issued 535,715 shares of Class A common stock to Majelac, which are subject to certain restrictions. The issuance of these shares was pursuant to a private placement exemption from registration afforded by Section 4(a)(2) of the Securities Act of 1933, as amended, and Rule 506 of Regulation D thereunder. We completed the acquisition to secure semiconductor chip assembly and packaging capabilities in-house and secure our supply chain and support our commercialization efforts. An additional 59,523 shares of Class A common stock were issued to Majelac 12 months after November 5,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three months ended December 31, 2022.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which management believes is relevant to an assessment and understanding of our consolidated results of operations and financial condition. The discussion should be read in conjunction with the consolidated financial statements and notes thereto contained in this Annual Report on Form 10-K. This discussion contains forward looking statements and involves numerous risks and uncertainties, including, but not limited to, those described in the “Risk Factors” section of this Annual Report on Form 10-K.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consolidated financial statements for the years ended December 31, 2022, 2021 and 2020, respectively, present the financial position and results of operations of Quantum-Si Incorporated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 (“NGPS”), the ability to sequence proteins in a massively parallel fashion (rather than sequentially, one at a time), that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our platform, for research use only (“RUO”). We believe we are the first company to successfully enable NGPS on a semiconductor chip, thus digitizing a massive proteomics opportunity, which allows for a massively parallel solution at the ultimate level of sensitivity —single-molecule detection.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8"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launched the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 and started to take orders in December 2022 and we began commercial shipments of Platinum™ in January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estimates of the impact on our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our operations to date. While we are unable to predict the full impact that the COVID-19 pandemic will have on our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our operating results, financial condition, and cash flows.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incurred any impairment losses in the carrying values of our assets as a result of the COVID-19 pandemic and are not aware of any specific related event or circumstance that would require us to revise our estimates reflected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Global Developments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While these rate increases have not had a significant adverse impact on us to date, the impact of such rate increases on the overall financial markets and the economy may adversely impact us in the future.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we have no operations in or direct exposure to Russia or Ukraine, we have experienced some constraints in product and material availability and increasing costs required to obtain some materials and supplies as a result of the Russia-Ukraine military conflict on the global economy. To date, our business has not been materially impacted by the conflict, however, as the conflict continues or worsens, it may impact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2021, we consummated the previously announced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 on the day of the Closing. See Note 3 “Business Combination” in our consolidated financial statements included elsewhere in this Annual Report on Form 10-K for further information regarding the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30, 2023, we announced that we committed to an organizational restructuring designed to decrease our costs and create a more streamlined organization to support our business. As a result, we are terminating approximately 12% of our workforce, effective in the first quarter of 2023. In connection with the restructuring, we currently estimate we will incur up to $1.0 million of costs, consisting primarily of cash severance costs and other severance benefits. We expect to substantially complete the restructuring in the first quarter of 2023. The estimates of costs and expenses that we expect to incur in connection with the restructuring are subject to a number of assumptions and actual results may differ materially. We may also incur additional costs not currently contemplated due to events that may occur as a result of, or that are associated with, the restructuring.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9, 2023, we announced that we entered into a partnership and license agreement with Biovista Inc. effective as of December 16, 2022 to provide our customers greater proteomic insights beyond their protein sequence output. We believe the partnership enhances our offering by making proteomic-to-drug workflows more efficient for researchers. Biovista’s VIZIT™ exploration tool will be integrated into our cloud-based suite of analytic tools enabling researchers to visualize the connections of their protein sequences identified during their experiment to diseases, other proteins, and post-translational modifications.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Additionally, on January 9, 2023, we announced that we entered into a partnership with Aviva Systems Biolog effective as of December 16, 2022. This partnership seeks to co-develop protein enrichment kits to enable deep interrogation of proteins of interest and their variants (proteoforms) through protein sequencing. The co-developed products will include immunoprecipitation kits that fit into existing research workflows to conveniently enrich target proteins prior to amino acid mutation or post-translational modification (“PTM”) analysis with our Platinum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protein sequencing platform.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All of our research and development expenses are related to developing new products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Goodwill was recorded as part of the Majelac Technologies LLC (“Majelac”) acquisition in 2021 and it was fully impaired in the fourth quarter of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primarily consists of interest that was paid on our Paycheck Protection Program (“PPP”)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fixed income mutual funds classified as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primarily consists of realized and unrealized losses on fixed income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December 31, 2022 and 2021. Based on the available evidence, we believe that it is more likely than not that we will be unable to utilize all of our deferred tax assets in the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9"/>
          </w:tcPr>
          <w:p>
            <w:pPr>
              <w:jc w:val="right"/>
              <w:ind w:right="10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15"/>
              <w:spacing w:after="0"/>
              <w:rPr>
                <w:sz w:val="20"/>
                <w:szCs w:val="20"/>
                <w:color w:val="auto"/>
              </w:rPr>
            </w:pPr>
            <w:r>
              <w:rPr>
                <w:rFonts w:ascii="Arial" w:cs="Arial" w:eastAsia="Arial" w:hAnsi="Arial"/>
                <w:sz w:val="4"/>
                <w:szCs w:val="4"/>
                <w:color w:val="auto"/>
                <w:w w:val="87"/>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72,062</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50,333</w:t>
            </w: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123,841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96,908</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(123,841)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(96,908)</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4,379</w:t>
            </w:r>
          </w:p>
        </w:tc>
        <w:tc>
          <w:tcPr>
            <w:tcW w:w="1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(20,145)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(5,004)</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(132,442)</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(94,989)</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15"/>
              <w:spacing w:after="0"/>
              <w:rPr>
                <w:sz w:val="20"/>
                <w:szCs w:val="20"/>
                <w:color w:val="auto"/>
              </w:rPr>
            </w:pPr>
            <w:r>
              <w:rPr>
                <w:rFonts w:ascii="Arial" w:cs="Arial" w:eastAsia="Arial" w:hAnsi="Arial"/>
                <w:sz w:val="4"/>
                <w:szCs w:val="4"/>
                <w:b w:val="1"/>
                <w:bCs w:val="1"/>
                <w:color w:val="auto"/>
                <w:w w:val="87"/>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(132,442)</w:t>
            </w:r>
          </w:p>
        </w:tc>
        <w:tc>
          <w:tcPr>
            <w:tcW w:w="180" w:type="dxa"/>
            <w:vAlign w:val="bottom"/>
          </w:tcPr>
          <w:p>
            <w:pPr>
              <w:jc w:val="right"/>
              <w:ind w:right="95"/>
              <w:spacing w:after="0"/>
              <w:rPr>
                <w:sz w:val="20"/>
                <w:szCs w:val="20"/>
                <w:color w:val="auto"/>
              </w:rPr>
            </w:pPr>
            <w:r>
              <w:rPr>
                <w:rFonts w:ascii="Arial" w:cs="Arial" w:eastAsia="Arial" w:hAnsi="Arial"/>
                <w:sz w:val="4"/>
                <w:szCs w:val="4"/>
                <w:b w:val="1"/>
                <w:bCs w:val="1"/>
                <w:color w:val="auto"/>
                <w:w w:val="87"/>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(94,989)</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242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by $25.5 million, or 54.7%, for the year ended December 31, 2022 compared to the year ended December 31, 2021. The increase was primarily due to the following elements: $14.5 million related to internal and external product development activities; $12.3 million in personnel costs as a result of increased headcount; and $1.9 million of collaboration fees, which includes $1.1 million paid to Protein Evolution, Inc. These increases were partially offset by decreases primarily related to the Business Combination in 2021: $1.2 million of stock-based compensation and $2.0 million of transaction bonuses.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decreased by $8.0 million, or 16.0% for the year ended December 31, 2022 compared to the year ended December 31, 2021. The decrease was primarily due to the following elements related to the Business Combination in 2021: $3.9 million in consulting and professional fees; $1.0 million of transaction bonuses; and $12.5 million of reduced stock-based compensation due primarily to stock option and restricted stock unit awards granted and vested in connection with the Closing of the Business Combination in 2021. The reduced stock-based compensation of $12.5 million also resulted from a reversal of $4.7 million of restricted stock unit awards that were forfeited by our former Chief Executive Officer upon his separation. These decreases were partially offset by the following increases: $6.3 million of headcount expenses to scale up our administrative and executive functions and $3.1 million of expenses primarily due to being a publicly traded company including consulting, professional fees and insurance.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85"/>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Goodwill impairment</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4"/>
                <w:szCs w:val="24"/>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impairment increased for the year ended December 31, 2022 compared to the year ended December 31, 2021. Goodwill was recorded as part of the Majelac acquisition in 2021 and was fully impaired in the fourth quarter of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Years Ended December 31,</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on the PPP loan decreased for the year ended December 31, 2022 compared to the year ended December 31, 2021 as a result of us repaying the loan in full in June 2021 in connection with the Business Combination.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 income increased by $2.8 million for the year ended December 31, 2022 compared to the year ended December 31, 2021 as a result of higher dividends earned on invested balances in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warrant liabilities decreased, which resulted in a gain of $1.9 million, or 42.6% for the year ended December 31, 2022 compared to the year ended December 31, 2021. The warrant liabilities were recorded at fair value as part of the Business Combination.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302.6%</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net increased by $15.1 million for the year ended December 31, 2022 compared to the year ended December 31, 2021 primarily as a result of an increase in reported unrealized and realized losses on investments in marketable securities, which consist of fixed income mutual funds that are marked to market.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13"/>
          </w:tcPr>
          <w:p>
            <w:pPr>
              <w:jc w:val="right"/>
              <w:ind w:right="106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27,555</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50,333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9,136</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450.9%</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96,908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36,691</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164.1%</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(96,908)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(36,691)</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164.1%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Dividend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(5,004)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(94,989)</w:t>
            </w: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(36,613)</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(94,989)</w:t>
            </w: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(36,613)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r>
      <w:tr>
        <w:trPr>
          <w:trHeight w:val="426"/>
        </w:trPr>
        <w:tc>
          <w:tcPr>
            <w:tcW w:w="59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8"/>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$19.0 million, or 69.0%, for the year ended December 31, 2021 compared to the year ended December 31, 2020. This increase was primarily due to an increase of $14.4 million in personnel costs as a result of increased headcount, including $4.4 million of stock-based compensation, as well as other internal and external product development activities.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450.9%</w:t>
            </w: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increased by $41.2 million for the year ended December 31, 2021 compared to the year ended December 31, 2020. This increase was primarily due to an increase of $24.7 million in personnel costs as a result of increased headcount associated with investments to scale up our administrative and executive functions, including $18.5 million of stock-based compensation. In addition to personnel costs, the increase was primarily due to an increase of $9.8 million in consulting, legal and professional fees. This increase included a $3.8 million payment to a third-party service provider in connection with the Closing of the Business Combination and a write off of Other assets – related party of $0.7 million in connection with the termination of our participation under the Amended and Restated Technology Services Agreement, most recently amended on November 11, 2020, by and among 4Catalyzer Corporation (“4C”), us and other participant companies controlled by the Rothberg family, as well as other general and administrative costs incremental to being a publicly traded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Years Ended December 31,</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(9)</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PPP loan decreased for the year ended December 31, 2021 compared to the year ended December 31, 2020 as a result of the Company repaying the loan in full in June of 2021 in connection with the Business Combination.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85"/>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Dividend income</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4"/>
                <w:szCs w:val="24"/>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 income increased by $2.5 million for the year ended December 31, 2021 compared to the year ended December 31, 2020 as a result of higher invested balances in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9"/>
        </w:trPr>
        <w:tc>
          <w:tcPr>
            <w:tcW w:w="4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resulted in a gain of $4.4 million for the year ended December 31, 2021 compared to the year ended December 31, 2020. The warrant liabilities were recorded as part of the Business Combination and therefore did not exist in the prior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9"/>
        </w:trPr>
        <w:tc>
          <w:tcPr>
            <w:tcW w:w="4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Pr>
          <w:p>
            <w:pPr>
              <w:spacing w:after="0"/>
              <w:rPr>
                <w:sz w:val="24"/>
                <w:szCs w:val="24"/>
                <w:color w:val="auto"/>
              </w:rPr>
            </w:pPr>
          </w:p>
        </w:tc>
        <w:tc>
          <w:tcPr>
            <w:tcW w:w="136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4"/>
                <w:szCs w:val="24"/>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by $5.0 million for the year ended December 31, 2021 compared to the year ended December 31, 2020 primarily as a result of unrealized losses on cash invested in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present non-GAAP financial measures in order to assist readers of our consolidated financial statements in understanding the core operating results that our management uses to evaluate the business and for financial planning purposes. Our non-GAAP financial measures, EBITDA and Adjusted EBITDA, provide an additional tool for investors to use in comparing our financial performance over multiple periods.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and Adjusted EBITDA are key performance measures that our management uses to assess our operating performance. EBITDA and Adjusted EBITDA facilitate internal comparisons of our operating performance on a more consistent basis. We use these performance measures for business planning purposes and forecasting. We believe that EBITDA and Adjusted EBITDA enhance an investor’s understanding of our financial performance as it is useful in assessing our operating performance from period-to-period by excluding certain items that we believe are not representative of our core business.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EBITDA and Adjusted EBITDA may not be comparable to similarly titled measures of other companies because they may not calculate these measures in the same manner. EBITDA and Adjusted EBITDA are not prepared in accordance with U.S. GAAP and should not be considered in isolation of, or as an alternative to, measures prepared in accordance with U.S. GAAP. When evaluating our performance, you should consider EBITDA and Adjusted EBITDA alongside other financial performance measures prepared in accordance with U.S. GAAP, including net loss.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EBITDA as net loss adjusted to exclude interest expense, dividend income and depreciation and amortization expense. Adjusted EBITDA is calculated as EBITDA adjusted to exclude goodwill impairment, change in fair value of warrant liabilities, other expense, net, stock-based compensation, and other non-recurring items. The other non-recurring items include costs related to discretionary transaction bonuses and other costs incurred with the Closing of the Business Combination on June 10, 2021.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Adjusted EBITDA to net loss, the most directly comparable financial measure calculated and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(132,442)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(36,613)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Adjustments to reconcile to EBITDA: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(2,549)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(135,159)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(96,492)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(35,807)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to Adjusted EBITDA: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20,145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5,004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Transaction related costs - business combination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6,920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(100,568)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(64,029)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Closing. Our primary uses of liquidity have been operating expenses, capital expenditures and our acquisition of certain assets of Majelac. Cash flows from operations have been historically negative as we continue to invest in the development of our technology in NGPS.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invest in the commercial launch of our products, to further invest in research and development, for other operating expenses, business acquisitions and for working capital and general corporate purposes.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we had cash and cash equivalents and investments in marketable securities totaling $351.3 million. Our future capital requirements may vary from those currently planned and will depend on various factors including the pace and success of product commercialization.</w:t>
      </w:r>
    </w:p>
    <w:p>
      <w:pPr>
        <w:spacing w:after="0" w:line="136"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We launched the Platinum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instrument and started to take orders in December 2022 and we began commercial shipments of Platinum™ in January 2023. We plan to launch Carbon</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2023. Our business will require an accelerated amount of spending to enhance the sales and marketing teams, continue to drive development, and build inventory. Other factors that could accelerate cash needs include: (i) delays in achieving scientific and technical milestones;</w:t>
      </w:r>
    </w:p>
    <w:p>
      <w:pPr>
        <w:spacing w:after="0" w:line="1" w:lineRule="exact"/>
        <w:rPr>
          <w:sz w:val="20"/>
          <w:szCs w:val="20"/>
          <w:color w:val="auto"/>
        </w:rPr>
      </w:pPr>
    </w:p>
    <w:p>
      <w:pPr>
        <w:jc w:val="both"/>
        <w:ind w:firstLine="8"/>
        <w:spacing w:after="0" w:line="277" w:lineRule="auto"/>
        <w:tabs>
          <w:tab w:leader="none" w:pos="281"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unforeseen capital expenditures and fabrication costs related to manufacturing for commercialization; (iii) changes we may make in our business or commercialization strategy; (iv) the impact of the COVID-19 pandemic; (v) costs of running a public company; (vi) other items affecting our forecasted level of expenditures and use of cash resources including potential acquisitions; and (vii) increased product and service costs.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(32,573)</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(450,937)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516,625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37,014</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48,534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3,980</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represents the cash receipts and disbursements related to our activities other than investing and financing activities. We expect that the cash provided by financing activities in 2021 will continue to be our primary source of funds to support operating needs and capital expenditures for the foreseeable future.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cash used in operating activities of $90.6 million for the year ended December 31, 2022 was due primarily to a net loss of $132.4 million and a change in fair value of warrant liabilities of $6.2 million, partially offset by losses on marketable securities (realized and unrealized) of $20.6 million, stock-based compensation of $11.2 million, goodwill impairment of $9.5 million, net cash inflows from changes in operating assets and liabilities of $4.3 million and depreciation and amortization of $2.6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cash used in operating activities of $66.8 million for the year ended December 31, 2021 was due primarily to a net loss of $95.0 million and a change in fair value of warrant liabilities of $4.4 million, partially offset by stock-based compensation of $24.9 million, losses on marketable securities (realized and unrealized) of $5.0 million, net cash inflows from changes in operating assets and liabilities of $1.5 million and depreciation and amortization of $1.0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$32.6 million for the year ended December 31, 2020 was due primarily to a net loss of $36.6 million, offset by net cash inflows from changes in operating assets and liabilities of $1.2 million and adjustments for stock-based compensation of $1.9 million and depreciation and amortization of $0.9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investing activities of $137.2 million in the year ended December 31, 2022 was due primarily to sales of marketable securities of $148.8 million, partially offset by purchases of property and equipment of $10.7 million and marketable securities of $0.8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net cash used in investing activities of $450.9 million in the year ended December 31, 2021 was due to purchases of marketable securities of $440.5 million, purchases of property and equipment of $5.8 million, and the payment of $4.6 million related to the Majelac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net cash used in investing activities of $0.5 million in the year ended December 31, 2020 was due to purchases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financing activities of $1.9 million in the year ended December 31, 2022 was due primarily from $2.8 million from proceeds from exercise of stock options, offset by $0.5 million from payment of deferred consideration and $0.3 million from payment of contingent consideration related to the Majelac acquisition.</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net cash provided by financing activities of $516.6 million in the year ended December 31, 2021 was primarily from $512.8 million from proceeds from the Business Combination and $5.6 million from proceeds from exercise of stock options, partially offset by a $1.7 million payment of notes payable.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financing activities of $37.0 million in the year ended December 31, 2020 was primarily from $35.3 million from proceeds from issuance of Series E convertible preferred stock and $1.7 million from proceeds from notes payable.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lease certain facilities and equipment under non-cancellable lease agreements that expire at various dates through 2032. As of December 31, 2022, the future payments, before adjustments for tenant incentives, under leases was $35.1 million, which includes a lease we entered into in December 2021 for a facility in New Haven, Connecticut, which commenced in January 2022 and a lease that commenced in April 2022 for a facility in Branford, Connecticut.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stock option grants are estimated using a Black-Scholes option-pricing model. Key inputs and assumptions include the expected term of the option, stock price volatility, risk-free interest rate, dividend yield, stock price and exercise price. Many of the assumptions require significant judgment and any changes could have a material impact in the determination of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used to value option grants were as follows:</w:t>
      </w:r>
    </w:p>
    <w:p>
      <w:pPr>
        <w:spacing w:after="0" w:line="225" w:lineRule="exact"/>
        <w:rPr>
          <w:sz w:val="20"/>
          <w:szCs w:val="20"/>
          <w:color w:val="auto"/>
        </w:rPr>
      </w:pPr>
    </w:p>
    <w:p>
      <w:pPr>
        <w:ind w:left="66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for periods within the expected term of the awards is based on the U.S. Treasury yield curve in effect at the time of the grant;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expect to pay any cash dividends in the foreseeable future;</w:t>
      </w: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term: For awards, we calculate the expected term using the “simplified” method, which is the simple average of the vesting period and the contractual term; and</w:t>
      </w:r>
    </w:p>
    <w:p>
      <w:pPr>
        <w:jc w:val="both"/>
        <w:ind w:left="6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volatility: We determined expected annual equity volatility to be 70% based on the historical volatility of guideline public companies for the year ended December 31, 2020 and from January to June 10, 2021. After June 10, 2021, the volatility is calculated by a third-party professional services firm and reviewed by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awards with market conditions is primarily estimated using the Monte Carlo simulation method.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Stock options granted to non-employees are accounted for based on their fair value on the measurement date using the Black-Scholes option-pricing model. Beginning January 1, 2020, the treatment of grants to nonemployees was aligned with those granted to employees in accordance with Accounting Standards Update 2018-07, </w:t>
      </w:r>
      <w:r>
        <w:rPr>
          <w:rFonts w:ascii="Arial" w:cs="Arial" w:eastAsia="Arial" w:hAnsi="Arial"/>
          <w:sz w:val="18"/>
          <w:szCs w:val="18"/>
          <w:i w:val="1"/>
          <w:iCs w:val="1"/>
          <w:color w:val="auto"/>
        </w:rPr>
        <w:t>Compensation-Stock Compensation (Topic 718): Improvements to Nonemployee Share-Based Payment Accounting (“ASU</w:t>
      </w:r>
      <w:r>
        <w:rPr>
          <w:rFonts w:ascii="Arial" w:cs="Arial" w:eastAsia="Arial" w:hAnsi="Arial"/>
          <w:sz w:val="18"/>
          <w:szCs w:val="18"/>
          <w:color w:val="auto"/>
        </w:rPr>
        <w:t xml:space="preserve"> </w:t>
      </w:r>
      <w:r>
        <w:rPr>
          <w:rFonts w:ascii="Arial" w:cs="Arial" w:eastAsia="Arial" w:hAnsi="Arial"/>
          <w:sz w:val="18"/>
          <w:szCs w:val="18"/>
          <w:i w:val="1"/>
          <w:iCs w:val="1"/>
          <w:color w:val="auto"/>
        </w:rPr>
        <w:t>2018-07”)</w:t>
      </w:r>
      <w:r>
        <w:rPr>
          <w:rFonts w:ascii="Arial" w:cs="Arial" w:eastAsia="Arial" w:hAnsi="Arial"/>
          <w:sz w:val="18"/>
          <w:szCs w:val="18"/>
          <w:color w:val="auto"/>
        </w:rPr>
        <w:t>. See Note 10 “Equity Incentive Plan” in our consolidated financial statements included elsewhere in this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information regarding our equity incentive plans.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account for warrants as either equity-classified or liability classified instruments based on an assessment of the warrant’s specific terms and applicable authoritative guidance in Financial Accounting Standards Board (“FASB”) Accounting Standards Codification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Equity (“ASC 480”) and ASC 815, Derivatives and Hedging </w:t>
      </w:r>
      <w:r>
        <w:rPr>
          <w:rFonts w:ascii="Arial" w:cs="Arial" w:eastAsia="Arial" w:hAnsi="Arial"/>
          <w:sz w:val="17"/>
          <w:szCs w:val="17"/>
          <w:color w:val="auto"/>
        </w:rPr>
        <w:t>(“ASC 815”). The assessment considers whether the warrants are</w:t>
      </w:r>
      <w:r>
        <w:rPr>
          <w:rFonts w:ascii="Arial" w:cs="Arial" w:eastAsia="Arial" w:hAnsi="Arial"/>
          <w:sz w:val="17"/>
          <w:szCs w:val="17"/>
          <w:i w:val="1"/>
          <w:iCs w:val="1"/>
          <w:color w:val="auto"/>
        </w:rPr>
        <w:t xml:space="preserve"> </w:t>
      </w:r>
      <w:r>
        <w:rPr>
          <w:rFonts w:ascii="Arial" w:cs="Arial" w:eastAsia="Arial" w:hAnsi="Arial"/>
          <w:sz w:val="17"/>
          <w:szCs w:val="17"/>
          <w:color w:val="auto"/>
        </w:rPr>
        <w:t>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consolidated statements of operations and comprehensive loss. The fair value of the Private Warrants was valued using a binomial lattice model and the Public Warrants are traded in an active market in which the value is known. Subsequent to trading on the public markets, the warrants were valued using the closing price at the balance sheet date. See Note 12 “Warrant Liabilities” in our consolidated financial statements included elsewhere in this Annual Report on Form 10-K for further information regarding warrants.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evaluated the Public Warrants under ASC 815-40, in conjunction with the statement regarding the accounting and reporting considerations for warrants issued by special purpose acquisition companies entitled “Staff Statement on Accounting and Reporting Considerations for Warrants Issued by Special Purpose Acquisition Companies” (“SPACs”)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have been classified as a liability.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evaluated the Private Warrants under ASC 815-40, in conjunction with the SEC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and liabilities acquired also requires management to make estimates, which are based on all available information. This judgment and determination affects the amount of consideration paid that is allocable to assets and liabilities acquired in the business purchase transaction.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consolidated financial statements included elsewhere in this Annual Report on Form 10-K for further information regarding our significant accounting policies and estimates.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which represents the excess of purchase price over the fair value of net assets acquired, is carried at cost. Goodwill is not amortized; rather, it is subject to a periodic assessment for impairment by applying a fair value-based test. Beginning in 2022, the Company reviews goodwill for possible impairment annually during the fourth quarter as of October 1, or whenever events or circumstances indicate that the carrying amount may not be recoverable.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Further testing is only required if the entity determines, based on the qualitative assessment, that it is more likely than not that a reporting unit’s fair value is less than its carrying amount. Otherwise, no further impairment testing is required.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 Assumptions and estimates used in the evaluation of impairment which primarily include, but are not limited to, discount rates, terminal growth rates, market comparables, and capital expenditure and cash flow forecasts, may affect the fair value of goodwill, which could result in impairment charges in future periods.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Majelac was fully integrated into the Company after the acquisition. As a result, the Company operates as a single reporting unit. Accordingly, all of the goodwill is associated with the entire Company. The Company performed its annual goodwill impairment test during the fourth quarter of 2022 quantitatively evaluating its reporting unit.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consolidated financial statements included elsewhere in this Annual Report on Form 10-K for further information regarding our significant accounting policies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consolidated financial statements included elsewhere in this Annual Report on Form 10-K.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other than its impact on the general economy. Nonetheless, to the extent our costs are impacted by general inflationary pressures, we may not be able to fully offset such higher costs through price increases or manufacturing efficiencies. Our inability or failure to do so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and marketable securities are comprised primarily of cash and investments in fixed income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primarily within the United States and currently execute the majority of our transactions in U.S. dollars. This limited foreign currency translation risk is not expected to have a material impact on our consolidated financial statements.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financial statements included in Item 15 “Exhibits and Financial Statement Schedules” of this Annual Report on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as of December 31, 2022 based on the guidelines established in the Internal Control—Integrated Framework (2013 framework) issued by the Committee of Sponsoring Organizations of the Treadway Commission (COSO). Internal control over financial reporting includes policies and procedures that provide reasonable assurance regarding the reliability of financial reporting and the preparation of financial statements for external reporting purposes in accordance with U.S. generally accepted accounting principles.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results of its evaluation, management concluded that our internal control over financial reporting was effective as of December 31, 2022.</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disclosed in our Annual Report on Form 10-K for the year ended December 31, 2021, we identified a material weakness in our internal control over financial reporting related to inaccurate accounting for the Public Warrants and Private Warrants issued in connection with HighCape’s initial public offering.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2020 and 2019, did not have its own finance function or finance or accounting professionals that had the requisite experience or were in a position to appropriately perform the supervision and review of the information received from that third-party service provider.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these material weaknesses, our management expended a substantial amount of effort and resources for the remediation of material weaknesses in internal control over financial reporting. Our management developed and executed a remediation plan. We hired accounting and finance resources of Quantum-Si, which included the Chief Financial Officer and Vice President, Controller, with technical public company accounting and financial reporting experience, as well as other team members. We also have access to accounting training, literature, research materials and increased communication among our personnel and outsourced third-party professionals with whom we have consulted and may continue to consult with regarding the application of complex accounting transactions. We have designed controls and deemed them to be effective. We have also tested the controls and have concluded that the implemented controls are operating effectively, and that the material weaknesses previously identified have been remediated as of December 31, 2022.</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changes made to remediate the material weaknesses described above, there were no changes in our internal control over financial reporting during the quarter ended December 31, 2022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response to this item is incorporated by reference from the discussion responsive thereto under the headings “Management and Corporate Governance” and “Code of Conduct and Ethics” in our proxy statement for the 2023 annual meeting of stockholders (the “2023 Proxy Statement”).</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heading “Executive Compensation” in our 2023 Proxy Statement.</w:t>
      </w:r>
    </w:p>
    <w:p>
      <w:pPr>
        <w:spacing w:after="0" w:line="16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headings “Security Ownership of Certain Beneficial Owners and Management” and “Equity Compensation Plan Information” in our 2023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headings “Certain Relationships and Related Person Transactions” and “Management and Corporate Governance” in our 2023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heading “Ratification of Appointment of Independent Registered Public Accounting Firm” in our 2023 Proxy Statement.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gridSpan w:val="2"/>
          </w:tcPr>
          <w:p>
            <w:pPr>
              <w:ind w:left="58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220" w:type="dxa"/>
            <w:vAlign w:val="bottom"/>
            <w:gridSpan w:val="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20" w:type="dxa"/>
            <w:vAlign w:val="bottom"/>
            <w:gridSpan w:val="7"/>
            <w:vMerge w:val="restart"/>
          </w:tcPr>
          <w:p>
            <w:pPr>
              <w:spacing w:after="0"/>
              <w:rPr>
                <w:sz w:val="20"/>
                <w:szCs w:val="20"/>
                <w:color w:val="auto"/>
              </w:rPr>
            </w:pPr>
            <w:r>
              <w:rPr>
                <w:rFonts w:ascii="Arial" w:cs="Arial" w:eastAsia="Arial" w:hAnsi="Arial"/>
                <w:sz w:val="18"/>
                <w:szCs w:val="18"/>
                <w:color w:val="auto"/>
                <w:w w:val="90"/>
              </w:rPr>
              <w:t>(a). 1. Index to Consolidated Financial Statements as of December 31, 2022 and 2021 and for the years ended December 31, 2022, 2021 and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88"/>
        </w:trPr>
        <w:tc>
          <w:tcPr>
            <w:tcW w:w="10220" w:type="dxa"/>
            <w:vAlign w:val="bottom"/>
            <w:gridSpan w:val="7"/>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(Deloitte &amp; Touche LLP, PCAOB ID 34)</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176"/>
        </w:trPr>
        <w:tc>
          <w:tcPr>
            <w:tcW w:w="422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6000" w:type="dxa"/>
            <w:vAlign w:val="bottom"/>
            <w:tcBorders>
              <w:top w:val="single" w:sz="8" w:color="CCEEFF"/>
            </w:tcBorders>
            <w:gridSpan w:val="3"/>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 and Comprehensive Loss</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20" w:type="dxa"/>
            <w:vAlign w:val="bottom"/>
            <w:gridSpan w:val="7"/>
          </w:tcPr>
          <w:p>
            <w:pPr>
              <w:spacing w:after="0" w:line="176" w:lineRule="exact"/>
              <w:rPr>
                <w:sz w:val="20"/>
                <w:szCs w:val="20"/>
                <w:color w:val="auto"/>
              </w:rPr>
            </w:pPr>
            <w:r>
              <w:rPr>
                <w:rFonts w:ascii="Arial" w:cs="Arial" w:eastAsia="Arial" w:hAnsi="Arial"/>
                <w:sz w:val="18"/>
                <w:szCs w:val="18"/>
                <w:color w:val="0000EE"/>
              </w:rPr>
              <w:t>Consolidated Statements of Changes in Convertible Preferred Stock and Stockholders’ Equity (Deficit)</w:t>
            </w: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9"/>
              </w:rPr>
              <w:t>Consolidated Statements of Cash Flows</w:t>
            </w:r>
          </w:p>
        </w:tc>
        <w:tc>
          <w:tcPr>
            <w:tcW w:w="734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89"/>
              </w:rPr>
              <w:t>Notes to Consolidated Financial Statements</w:t>
            </w:r>
          </w:p>
        </w:tc>
        <w:tc>
          <w:tcPr>
            <w:tcW w:w="7060" w:type="dxa"/>
            <w:vAlign w:val="bottom"/>
            <w:gridSpan w:val="4"/>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2.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 schedules have been omitted from this Annual Report on Form 10-K because they are not applicable, not required or the information required is set forth in the audited consolidated financial statements or accompanying notes.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Incorporated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by</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Reference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Filed</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Herein from</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SEC File/</w:t>
            </w:r>
          </w:p>
        </w:tc>
      </w:tr>
      <w:tr>
        <w:trPr>
          <w:trHeight w:val="216"/>
        </w:trPr>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Here</w:t>
            </w: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Form or</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Reg.</w:t>
            </w:r>
          </w:p>
        </w:tc>
      </w:tr>
      <w:tr>
        <w:trPr>
          <w:trHeight w:val="241"/>
        </w:trPr>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4100" w:type="dxa"/>
            <w:vAlign w:val="bottom"/>
          </w:tcPr>
          <w:p>
            <w:pPr>
              <w:ind w:left="1340"/>
              <w:spacing w:after="0"/>
              <w:rPr>
                <w:sz w:val="20"/>
                <w:szCs w:val="20"/>
                <w:color w:val="auto"/>
              </w:rPr>
            </w:pPr>
            <w:r>
              <w:rPr>
                <w:rFonts w:ascii="Arial" w:cs="Arial" w:eastAsia="Arial" w:hAnsi="Arial"/>
                <w:sz w:val="18"/>
                <w:szCs w:val="18"/>
                <w:b w:val="1"/>
                <w:bCs w:val="1"/>
                <w:color w:val="auto"/>
              </w:rPr>
              <w:t>Exhibit Description</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with</w:t>
            </w: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Schedule</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6"/>
        </w:trPr>
        <w:tc>
          <w:tcPr>
            <w:tcW w:w="1140" w:type="dxa"/>
            <w:vAlign w:val="bottom"/>
            <w:tcBorders>
              <w:top w:val="single" w:sz="8" w:color="auto"/>
            </w:tcBorders>
            <w:gridSpan w:val="5"/>
            <w:shd w:val="clear" w:color="auto" w:fill="CCEEFF"/>
          </w:tcPr>
          <w:p>
            <w:pPr>
              <w:jc w:val="center"/>
              <w:spacing w:after="0" w:line="17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hyperlink>
          </w:p>
        </w:tc>
        <w:tc>
          <w:tcPr>
            <w:tcW w:w="26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Business Combination Agreement, dated as of February</w:t>
            </w:r>
          </w:p>
        </w:tc>
        <w:tc>
          <w:tcPr>
            <w:tcW w:w="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w:t>
            </w:r>
          </w:p>
        </w:tc>
        <w:tc>
          <w:tcPr>
            <w:tcW w:w="2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2/18/2021</w:t>
            </w: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18, 2021, by and among Quantum-Si Incorporated</w:t>
            </w: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(Exhibit 2.1)</w:t>
            </w:r>
          </w:p>
        </w:tc>
        <w:tc>
          <w:tcPr>
            <w:tcW w:w="1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(formerly HighCape Capital Acquisition Corp.), Clay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Merger Sub, Inc., and Q-SI Operations Inc. (formerly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Quantum-Si Incorporated)</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76"/>
        </w:trPr>
        <w:tc>
          <w:tcPr>
            <w:tcW w:w="680" w:type="dxa"/>
            <w:vAlign w:val="bottom"/>
            <w:gridSpan w:val="3"/>
          </w:tcPr>
          <w:p>
            <w:pPr>
              <w:jc w:val="center"/>
              <w:ind w:left="370"/>
              <w:spacing w:after="0" w:line="176" w:lineRule="exact"/>
              <w:rPr>
                <w:rFonts w:ascii="Arial" w:cs="Arial" w:eastAsia="Arial" w:hAnsi="Arial"/>
                <w:sz w:val="18"/>
                <w:szCs w:val="18"/>
                <w:color w:val="0000EE"/>
                <w:w w:val="87"/>
              </w:rPr>
            </w:pPr>
            <w:hyperlink r:id="rId10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6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Second Amended and Restated Certificate of</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5"/>
              </w:rPr>
              <w:t>Form 8-K</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24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Incorporation of Quantum-Si Incorporated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(Exhibit 3.1)</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75"/>
        </w:trPr>
        <w:tc>
          <w:tcPr>
            <w:tcW w:w="680" w:type="dxa"/>
            <w:vAlign w:val="bottom"/>
            <w:gridSpan w:val="3"/>
            <w:shd w:val="clear" w:color="auto" w:fill="CCEEFF"/>
          </w:tcPr>
          <w:p>
            <w:pPr>
              <w:jc w:val="center"/>
              <w:ind w:left="370"/>
              <w:spacing w:after="0" w:line="176" w:lineRule="exact"/>
              <w:rPr>
                <w:rFonts w:ascii="Arial" w:cs="Arial" w:eastAsia="Arial" w:hAnsi="Arial"/>
                <w:sz w:val="18"/>
                <w:szCs w:val="18"/>
                <w:color w:val="0000EE"/>
                <w:w w:val="87"/>
              </w:rPr>
            </w:pPr>
            <w:hyperlink r:id="rId10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Amended and Restated Bylaws of Quantum-Si</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8"/>
                <w:szCs w:val="18"/>
                <w:color w:val="auto"/>
                <w:w w:val="94"/>
              </w:rPr>
              <w:t>Form 10-K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3/1/2021</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36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Incorporated</w:t>
            </w: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(Exhibit 3.2)</w:t>
            </w:r>
          </w:p>
        </w:tc>
        <w:tc>
          <w:tcPr>
            <w:tcW w:w="11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r>
      <w:tr>
        <w:trPr>
          <w:trHeight w:val="176"/>
        </w:trPr>
        <w:tc>
          <w:tcPr>
            <w:tcW w:w="680" w:type="dxa"/>
            <w:vAlign w:val="bottom"/>
            <w:gridSpan w:val="3"/>
          </w:tcPr>
          <w:p>
            <w:pPr>
              <w:jc w:val="center"/>
              <w:ind w:left="370"/>
              <w:spacing w:after="0" w:line="17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6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Description of Securities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680" w:type="dxa"/>
            <w:vAlign w:val="bottom"/>
            <w:gridSpan w:val="3"/>
            <w:shd w:val="clear" w:color="auto" w:fill="CCEEFF"/>
          </w:tcPr>
          <w:p>
            <w:pPr>
              <w:jc w:val="center"/>
              <w:ind w:left="370"/>
              <w:spacing w:after="0" w:line="17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36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Specimen Class A Common Stock Certificate</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3"/>
              </w:rPr>
              <w:t>Form S-4/A</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5/11/2021</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333-253691</w:t>
            </w:r>
          </w:p>
        </w:tc>
      </w:tr>
      <w:tr>
        <w:trPr>
          <w:trHeight w:val="237"/>
        </w:trPr>
        <w:tc>
          <w:tcPr>
            <w:tcW w:w="4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(Exhibit 4.1)</w:t>
            </w:r>
          </w:p>
        </w:tc>
        <w:tc>
          <w:tcPr>
            <w:tcW w:w="11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r>
      <w:tr>
        <w:trPr>
          <w:trHeight w:val="175"/>
        </w:trPr>
        <w:tc>
          <w:tcPr>
            <w:tcW w:w="680" w:type="dxa"/>
            <w:vAlign w:val="bottom"/>
            <w:gridSpan w:val="3"/>
          </w:tcPr>
          <w:p>
            <w:pPr>
              <w:jc w:val="center"/>
              <w:ind w:left="370"/>
              <w:spacing w:after="0" w:line="176" w:lineRule="exact"/>
              <w:rPr>
                <w:rFonts w:ascii="Arial" w:cs="Arial" w:eastAsia="Arial" w:hAnsi="Arial"/>
                <w:sz w:val="18"/>
                <w:szCs w:val="18"/>
                <w:color w:val="0000EE"/>
                <w:w w:val="87"/>
              </w:rPr>
            </w:pPr>
            <w:hyperlink r:id="rId10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6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2"/>
              </w:rPr>
              <w:t>Warrant Agreement, dated as of September 3, 2020, by</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5"/>
              </w:rPr>
              <w:t>Form 8-K</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1"/>
              </w:rPr>
              <w:t>9/9/2020</w:t>
            </w:r>
          </w:p>
        </w:tc>
        <w:tc>
          <w:tcPr>
            <w:tcW w:w="24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and between Quantum-Si Incorporated (formerly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(Exhibit 4.1)</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w w:val="97"/>
              </w:rPr>
              <w:t>HighCape Capital Acquisition Corp.) and Continental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Stock Transfer &amp; Trust Company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76"/>
        </w:trPr>
        <w:tc>
          <w:tcPr>
            <w:tcW w:w="114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36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Form of PIPE Investor Subscription Agreement for</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8"/>
                <w:szCs w:val="18"/>
                <w:color w:val="auto"/>
                <w:w w:val="95"/>
              </w:rPr>
              <w:t>Form 8-K</w:t>
            </w: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2/18/2021</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1"/>
              </w:rPr>
              <w:t>institutional investors, dated as of February 18, 2021, by</w:t>
            </w: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(Exhibit 10.1)</w:t>
            </w:r>
          </w:p>
        </w:tc>
        <w:tc>
          <w:tcPr>
            <w:tcW w:w="1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and between Quantum-Si Incorporated (formerly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HighCape Capital Acquisition Corp.) and the subscriber</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parties thereto</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76"/>
        </w:trPr>
        <w:tc>
          <w:tcPr>
            <w:tcW w:w="1140" w:type="dxa"/>
            <w:vAlign w:val="bottom"/>
            <w:gridSpan w:val="5"/>
          </w:tcPr>
          <w:p>
            <w:pPr>
              <w:jc w:val="center"/>
              <w:spacing w:after="0" w:line="17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36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Form of PIPE Investor Subscription Agreement for</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7"/>
              </w:rPr>
              <w:t>Form 8-K/A</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2/19/2021</w:t>
            </w:r>
          </w:p>
        </w:tc>
        <w:tc>
          <w:tcPr>
            <w:tcW w:w="24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w w:val="92"/>
              </w:rPr>
              <w:t>accredited investors, dated as of February 18, 2021, by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(Exhibit 10.2)</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and between Quantum-Si Incorporated (formerly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w w:val="92"/>
              </w:rPr>
              <w:t>HighCape Capital Acquisition Corp.) and the subscriber</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color w:val="auto"/>
              </w:rPr>
              <w:t>parties thereto</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68"/>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7"/>
            <w:shd w:val="clear" w:color="auto" w:fill="CCEEFF"/>
          </w:tcPr>
          <w:p>
            <w:pPr>
              <w:jc w:val="center"/>
              <w:ind w:left="290"/>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Form of Subscription Agreement, dated as of February</w:t>
            </w:r>
          </w:p>
        </w:tc>
        <w:tc>
          <w:tcPr>
            <w:tcW w:w="2980" w:type="dxa"/>
            <w:vAlign w:val="bottom"/>
            <w:shd w:val="clear" w:color="auto" w:fill="CCEEFF"/>
          </w:tcPr>
          <w:p>
            <w:pPr>
              <w:jc w:val="center"/>
              <w:ind w:left="1031"/>
              <w:spacing w:after="0"/>
              <w:rPr>
                <w:sz w:val="20"/>
                <w:szCs w:val="20"/>
                <w:color w:val="auto"/>
              </w:rPr>
            </w:pPr>
            <w:r>
              <w:rPr>
                <w:rFonts w:ascii="Arial" w:cs="Arial" w:eastAsia="Arial" w:hAnsi="Arial"/>
                <w:sz w:val="18"/>
                <w:szCs w:val="18"/>
                <w:color w:val="auto"/>
                <w:w w:val="97"/>
              </w:rPr>
              <w:t>Form 8-K/A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2/19/2021</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18, 2021, by and between Quantum-Si Incorporated</w:t>
            </w:r>
          </w:p>
        </w:tc>
        <w:tc>
          <w:tcPr>
            <w:tcW w:w="2980" w:type="dxa"/>
            <w:vAlign w:val="bottom"/>
            <w:tcBorders>
              <w:top w:val="single" w:sz="8" w:color="CCEEFF"/>
            </w:tcBorders>
            <w:shd w:val="clear" w:color="auto" w:fill="CCEEFF"/>
          </w:tcPr>
          <w:p>
            <w:pPr>
              <w:jc w:val="center"/>
              <w:ind w:left="1051"/>
              <w:spacing w:after="0"/>
              <w:rPr>
                <w:sz w:val="20"/>
                <w:szCs w:val="20"/>
                <w:color w:val="auto"/>
              </w:rPr>
            </w:pPr>
            <w:r>
              <w:rPr>
                <w:rFonts w:ascii="Arial" w:cs="Arial" w:eastAsia="Arial" w:hAnsi="Arial"/>
                <w:sz w:val="18"/>
                <w:szCs w:val="18"/>
                <w:color w:val="auto"/>
                <w:w w:val="94"/>
              </w:rPr>
              <w:t>(Exhibit 10.3)</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6"/>
              </w:rPr>
              <w:t>(formerly HighCape Capital Acquisition Corp.) and the</w:t>
            </w:r>
          </w:p>
        </w:tc>
        <w:tc>
          <w:tcPr>
            <w:tcW w:w="2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Foresite Funds</w:t>
            </w:r>
          </w:p>
        </w:tc>
        <w:tc>
          <w:tcPr>
            <w:tcW w:w="11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6"/>
        </w:trPr>
        <w:tc>
          <w:tcPr>
            <w:tcW w:w="780" w:type="dxa"/>
            <w:vAlign w:val="bottom"/>
            <w:gridSpan w:val="7"/>
          </w:tcPr>
          <w:p>
            <w:pPr>
              <w:jc w:val="center"/>
              <w:ind w:left="290"/>
              <w:spacing w:after="0" w:line="17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89"/>
              </w:rPr>
              <w:t>Transaction Support Agreement, dated as of February 19,</w:t>
            </w:r>
          </w:p>
        </w:tc>
        <w:tc>
          <w:tcPr>
            <w:tcW w:w="2980" w:type="dxa"/>
            <w:vAlign w:val="bottom"/>
          </w:tcPr>
          <w:p>
            <w:pPr>
              <w:jc w:val="center"/>
              <w:ind w:left="1051"/>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2/22/2021</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2"/>
              </w:rPr>
              <w:t>2021, by and among Quantum-Si Incorporated (formerly</w:t>
            </w:r>
          </w:p>
        </w:tc>
        <w:tc>
          <w:tcPr>
            <w:tcW w:w="2980" w:type="dxa"/>
            <w:vAlign w:val="bottom"/>
          </w:tcPr>
          <w:p>
            <w:pPr>
              <w:jc w:val="center"/>
              <w:ind w:left="1051"/>
              <w:spacing w:after="0"/>
              <w:rPr>
                <w:sz w:val="20"/>
                <w:szCs w:val="20"/>
                <w:color w:val="auto"/>
              </w:rPr>
            </w:pPr>
            <w:r>
              <w:rPr>
                <w:rFonts w:ascii="Arial" w:cs="Arial" w:eastAsia="Arial" w:hAnsi="Arial"/>
                <w:sz w:val="18"/>
                <w:szCs w:val="18"/>
                <w:color w:val="auto"/>
                <w:w w:val="94"/>
              </w:rPr>
              <w:t>(Exhibit 10.1)</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rPr>
              <w:t>HighCape Capital Acquisition Corp.), and certain</w:t>
            </w: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rPr>
              <w:t>supporting stockholders of Q-SI Operations Inc.</w:t>
            </w: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(formerly Quantum-Si Incorporated)</w:t>
            </w:r>
          </w:p>
        </w:tc>
        <w:tc>
          <w:tcPr>
            <w:tcW w:w="1160" w:type="dxa"/>
            <w:vAlign w:val="bottom"/>
          </w:tcPr>
          <w:p>
            <w:pPr>
              <w:ind w:left="8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780" w:type="dxa"/>
            <w:vAlign w:val="bottom"/>
            <w:gridSpan w:val="7"/>
            <w:shd w:val="clear" w:color="auto" w:fill="CCEEFF"/>
          </w:tcPr>
          <w:p>
            <w:pPr>
              <w:jc w:val="center"/>
              <w:ind w:left="290"/>
              <w:spacing w:after="0" w:line="17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99"/>
              </w:rPr>
              <w:t>Sponsor Letter Agreement, dated as of February 18,</w:t>
            </w:r>
          </w:p>
        </w:tc>
        <w:tc>
          <w:tcPr>
            <w:tcW w:w="2980" w:type="dxa"/>
            <w:vAlign w:val="bottom"/>
            <w:shd w:val="clear" w:color="auto" w:fill="CCEEFF"/>
          </w:tcPr>
          <w:p>
            <w:pPr>
              <w:jc w:val="center"/>
              <w:ind w:left="1051"/>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2/18/2021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2"/>
              </w:rPr>
              <w:t>2021, by and among HighCape Capital Acquisition LLC,</w:t>
            </w:r>
          </w:p>
        </w:tc>
        <w:tc>
          <w:tcPr>
            <w:tcW w:w="2980" w:type="dxa"/>
            <w:vAlign w:val="bottom"/>
            <w:tcBorders>
              <w:top w:val="single" w:sz="8" w:color="CCEEFF"/>
            </w:tcBorders>
            <w:shd w:val="clear" w:color="auto" w:fill="CCEEFF"/>
          </w:tcPr>
          <w:p>
            <w:pPr>
              <w:jc w:val="center"/>
              <w:ind w:left="1051"/>
              <w:spacing w:after="0"/>
              <w:rPr>
                <w:sz w:val="20"/>
                <w:szCs w:val="20"/>
                <w:color w:val="auto"/>
              </w:rPr>
            </w:pPr>
            <w:r>
              <w:rPr>
                <w:rFonts w:ascii="Arial" w:cs="Arial" w:eastAsia="Arial" w:hAnsi="Arial"/>
                <w:sz w:val="18"/>
                <w:szCs w:val="18"/>
                <w:color w:val="auto"/>
                <w:w w:val="94"/>
              </w:rPr>
              <w:t>(Exhibit 10.4)</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Deerfield Partners, L.P., Quantum-Si Incorporated</w:t>
            </w:r>
          </w:p>
        </w:tc>
        <w:tc>
          <w:tcPr>
            <w:tcW w:w="2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(formerly HighCape Capital Acquisition Corp.) and Q-SI</w:t>
            </w:r>
          </w:p>
        </w:tc>
        <w:tc>
          <w:tcPr>
            <w:tcW w:w="2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Operations Inc. (formerly Quantum-Si Incorporated)</w:t>
            </w:r>
          </w:p>
        </w:tc>
        <w:tc>
          <w:tcPr>
            <w:tcW w:w="2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6"/>
        </w:trPr>
        <w:tc>
          <w:tcPr>
            <w:tcW w:w="820" w:type="dxa"/>
            <w:vAlign w:val="bottom"/>
            <w:gridSpan w:val="8"/>
          </w:tcPr>
          <w:p>
            <w:pPr>
              <w:jc w:val="center"/>
              <w:ind w:left="230"/>
              <w:spacing w:after="0" w:line="176" w:lineRule="exact"/>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6+</w:t>
            </w:r>
          </w:p>
        </w:tc>
        <w:tc>
          <w:tcPr>
            <w:tcW w:w="80" w:type="dxa"/>
            <w:vAlign w:val="bottom"/>
          </w:tcPr>
          <w:p>
            <w:pPr>
              <w:spacing w:after="0"/>
              <w:rPr>
                <w:sz w:val="15"/>
                <w:szCs w:val="15"/>
                <w:color w:val="auto"/>
              </w:rPr>
            </w:pPr>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3"/>
              </w:rPr>
              <w:t>Advisory Agreement, dated as of November 1, 2022, by</w:t>
            </w:r>
          </w:p>
        </w:tc>
        <w:tc>
          <w:tcPr>
            <w:tcW w:w="2980" w:type="dxa"/>
            <w:vAlign w:val="bottom"/>
          </w:tcPr>
          <w:p>
            <w:pPr>
              <w:ind w:left="560"/>
              <w:spacing w:after="0" w:line="176"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2"/>
              </w:rPr>
              <w:t>and between Quantum-Si Incorporated and Jonathan M.</w:t>
            </w:r>
          </w:p>
        </w:tc>
        <w:tc>
          <w:tcPr>
            <w:tcW w:w="2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Rothberg, Ph.D.</w:t>
            </w:r>
          </w:p>
        </w:tc>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820" w:type="dxa"/>
            <w:vAlign w:val="bottom"/>
            <w:gridSpan w:val="8"/>
            <w:shd w:val="clear" w:color="auto" w:fill="CCEEFF"/>
          </w:tcPr>
          <w:p>
            <w:pPr>
              <w:jc w:val="center"/>
              <w:ind w:left="230"/>
              <w:spacing w:after="0" w:line="17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w:t>
              </w:r>
            </w:hyperlink>
          </w:p>
        </w:tc>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91"/>
              </w:rPr>
              <w:t>Offer Letter of Employment, dated as of October 2, 2022,</w:t>
            </w:r>
          </w:p>
        </w:tc>
        <w:tc>
          <w:tcPr>
            <w:tcW w:w="2980" w:type="dxa"/>
            <w:vAlign w:val="bottom"/>
            <w:shd w:val="clear" w:color="auto" w:fill="CCEEFF"/>
          </w:tcPr>
          <w:p>
            <w:pPr>
              <w:jc w:val="center"/>
              <w:ind w:left="1051"/>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10/4/2022</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6"/>
              </w:rPr>
              <w:t>by and between Quantum-Si Incorporated and Jeffrey</w:t>
            </w:r>
          </w:p>
        </w:tc>
        <w:tc>
          <w:tcPr>
            <w:tcW w:w="2980" w:type="dxa"/>
            <w:vAlign w:val="bottom"/>
            <w:tcBorders>
              <w:top w:val="single" w:sz="8" w:color="CCEEFF"/>
            </w:tcBorders>
            <w:shd w:val="clear" w:color="auto" w:fill="CCEEFF"/>
          </w:tcPr>
          <w:p>
            <w:pPr>
              <w:jc w:val="center"/>
              <w:ind w:left="1051"/>
              <w:spacing w:after="0"/>
              <w:rPr>
                <w:sz w:val="20"/>
                <w:szCs w:val="20"/>
                <w:color w:val="auto"/>
              </w:rPr>
            </w:pPr>
            <w:r>
              <w:rPr>
                <w:rFonts w:ascii="Arial" w:cs="Arial" w:eastAsia="Arial" w:hAnsi="Arial"/>
                <w:sz w:val="18"/>
                <w:szCs w:val="18"/>
                <w:color w:val="auto"/>
                <w:w w:val="94"/>
              </w:rPr>
              <w:t>(Exhibit 10.1)</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Hawkins</w:t>
            </w:r>
          </w:p>
        </w:tc>
        <w:tc>
          <w:tcPr>
            <w:tcW w:w="11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6"/>
        </w:trPr>
        <w:tc>
          <w:tcPr>
            <w:tcW w:w="820" w:type="dxa"/>
            <w:vAlign w:val="bottom"/>
            <w:gridSpan w:val="8"/>
          </w:tcPr>
          <w:p>
            <w:pPr>
              <w:jc w:val="center"/>
              <w:ind w:left="230"/>
              <w:spacing w:after="0" w:line="17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8+</w:t>
              </w:r>
            </w:hyperlink>
          </w:p>
        </w:tc>
        <w:tc>
          <w:tcPr>
            <w:tcW w:w="80" w:type="dxa"/>
            <w:vAlign w:val="bottom"/>
          </w:tcPr>
          <w:p>
            <w:pPr>
              <w:spacing w:after="0"/>
              <w:rPr>
                <w:sz w:val="15"/>
                <w:szCs w:val="15"/>
                <w:color w:val="auto"/>
              </w:rPr>
            </w:pPr>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4"/>
              </w:rPr>
              <w:t>Offer Letter of Employment, dated as of April 26, 2022,</w:t>
            </w:r>
          </w:p>
        </w:tc>
        <w:tc>
          <w:tcPr>
            <w:tcW w:w="2980" w:type="dxa"/>
            <w:vAlign w:val="bottom"/>
          </w:tcPr>
          <w:p>
            <w:pPr>
              <w:jc w:val="center"/>
              <w:ind w:left="1051"/>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1"/>
              </w:rPr>
              <w:t>5/9/2022</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6"/>
              </w:rPr>
              <w:t>by and between Quantum-Si Incorporated and Patrick</w:t>
            </w:r>
          </w:p>
        </w:tc>
        <w:tc>
          <w:tcPr>
            <w:tcW w:w="2980" w:type="dxa"/>
            <w:vAlign w:val="bottom"/>
          </w:tcPr>
          <w:p>
            <w:pPr>
              <w:jc w:val="center"/>
              <w:ind w:left="1051"/>
              <w:spacing w:after="0"/>
              <w:rPr>
                <w:sz w:val="20"/>
                <w:szCs w:val="20"/>
                <w:color w:val="auto"/>
              </w:rPr>
            </w:pPr>
            <w:r>
              <w:rPr>
                <w:rFonts w:ascii="Arial" w:cs="Arial" w:eastAsia="Arial" w:hAnsi="Arial"/>
                <w:sz w:val="18"/>
                <w:szCs w:val="18"/>
                <w:color w:val="auto"/>
                <w:w w:val="94"/>
              </w:rPr>
              <w:t>(Exhibit 10.1)</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Schneider</w:t>
            </w:r>
          </w:p>
        </w:tc>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820" w:type="dxa"/>
            <w:vAlign w:val="bottom"/>
            <w:gridSpan w:val="8"/>
            <w:shd w:val="clear" w:color="auto" w:fill="CCEEFF"/>
          </w:tcPr>
          <w:p>
            <w:pPr>
              <w:jc w:val="center"/>
              <w:ind w:left="230"/>
              <w:spacing w:after="0" w:line="176" w:lineRule="exact"/>
              <w:rPr>
                <w:sz w:val="20"/>
                <w:szCs w:val="20"/>
                <w:color w:val="auto"/>
              </w:rPr>
            </w:pPr>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9+</w:t>
            </w:r>
          </w:p>
        </w:tc>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97"/>
              </w:rPr>
              <w:t>Offer Letter of Employment, dated as of December 8,</w:t>
            </w:r>
          </w:p>
        </w:tc>
        <w:tc>
          <w:tcPr>
            <w:tcW w:w="29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8"/>
              </w:rPr>
              <w:t>2022, by and between Quantum-Si Incorporated and</w:t>
            </w:r>
          </w:p>
        </w:tc>
        <w:tc>
          <w:tcPr>
            <w:tcW w:w="29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Grace Johnston</w:t>
            </w:r>
          </w:p>
        </w:tc>
        <w:tc>
          <w:tcPr>
            <w:tcW w:w="11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6"/>
        </w:trPr>
        <w:tc>
          <w:tcPr>
            <w:tcW w:w="900" w:type="dxa"/>
            <w:vAlign w:val="bottom"/>
            <w:gridSpan w:val="9"/>
          </w:tcPr>
          <w:p>
            <w:pPr>
              <w:jc w:val="center"/>
              <w:ind w:left="150"/>
              <w:spacing w:after="0" w:line="17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10+</w:t>
              </w:r>
            </w:hyperlink>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1"/>
              </w:rPr>
              <w:t>Offer Letter of Employment, dated as of March 23, 2021,</w:t>
            </w:r>
          </w:p>
        </w:tc>
        <w:tc>
          <w:tcPr>
            <w:tcW w:w="2980" w:type="dxa"/>
            <w:vAlign w:val="bottom"/>
          </w:tcPr>
          <w:p>
            <w:pPr>
              <w:jc w:val="center"/>
              <w:ind w:left="1031"/>
              <w:spacing w:after="0" w:line="176" w:lineRule="exact"/>
              <w:rPr>
                <w:sz w:val="20"/>
                <w:szCs w:val="20"/>
                <w:color w:val="auto"/>
              </w:rPr>
            </w:pPr>
            <w:r>
              <w:rPr>
                <w:rFonts w:ascii="Arial" w:cs="Arial" w:eastAsia="Arial" w:hAnsi="Arial"/>
                <w:sz w:val="18"/>
                <w:szCs w:val="18"/>
                <w:color w:val="auto"/>
                <w:w w:val="93"/>
              </w:rPr>
              <w:t>Form S-4/A</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5/11/2021</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89"/>
              </w:rPr>
              <w:t>333-253691</w:t>
            </w: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rPr>
              <w:t>by and between Q-SI Operations Inc. (formerly</w:t>
            </w:r>
          </w:p>
        </w:tc>
        <w:tc>
          <w:tcPr>
            <w:tcW w:w="2980" w:type="dxa"/>
            <w:vAlign w:val="bottom"/>
          </w:tcPr>
          <w:p>
            <w:pPr>
              <w:jc w:val="center"/>
              <w:ind w:left="1031"/>
              <w:spacing w:after="0"/>
              <w:rPr>
                <w:sz w:val="20"/>
                <w:szCs w:val="20"/>
                <w:color w:val="auto"/>
              </w:rPr>
            </w:pPr>
            <w:r>
              <w:rPr>
                <w:rFonts w:ascii="Arial" w:cs="Arial" w:eastAsia="Arial" w:hAnsi="Arial"/>
                <w:sz w:val="18"/>
                <w:szCs w:val="18"/>
                <w:color w:val="auto"/>
                <w:w w:val="94"/>
              </w:rPr>
              <w:t>(Exhibit 10.10)</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rPr>
              <w:t>Quantum-Si Incorporated) and Claudia Drayton</w:t>
            </w:r>
          </w:p>
        </w:tc>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6"/>
        </w:trPr>
        <w:tc>
          <w:tcPr>
            <w:tcW w:w="820" w:type="dxa"/>
            <w:vAlign w:val="bottom"/>
            <w:gridSpan w:val="8"/>
            <w:shd w:val="clear" w:color="auto" w:fill="CCEEFF"/>
          </w:tcPr>
          <w:p>
            <w:pPr>
              <w:jc w:val="center"/>
              <w:ind w:left="230"/>
              <w:spacing w:after="0" w:line="17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hyperlink>
          </w:p>
        </w:tc>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91"/>
              </w:rPr>
              <w:t>Offer Letter of Employment, dated as of June 1, 2015, by</w:t>
            </w:r>
          </w:p>
        </w:tc>
        <w:tc>
          <w:tcPr>
            <w:tcW w:w="2980" w:type="dxa"/>
            <w:vAlign w:val="bottom"/>
            <w:shd w:val="clear" w:color="auto" w:fill="CCEEFF"/>
          </w:tcPr>
          <w:p>
            <w:pPr>
              <w:jc w:val="center"/>
              <w:ind w:left="1051"/>
              <w:spacing w:after="0" w:line="176" w:lineRule="exact"/>
              <w:rPr>
                <w:sz w:val="20"/>
                <w:szCs w:val="20"/>
                <w:color w:val="auto"/>
              </w:rPr>
            </w:pPr>
            <w:r>
              <w:rPr>
                <w:rFonts w:ascii="Arial" w:cs="Arial" w:eastAsia="Arial" w:hAnsi="Arial"/>
                <w:sz w:val="18"/>
                <w:szCs w:val="18"/>
                <w:color w:val="auto"/>
                <w:w w:val="90"/>
              </w:rPr>
              <w:t>Form S-4</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333-253691</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2"/>
              </w:rPr>
              <w:t>and between Q-SI Operations Inc. (formerly Quantum-Si</w:t>
            </w:r>
          </w:p>
        </w:tc>
        <w:tc>
          <w:tcPr>
            <w:tcW w:w="2980" w:type="dxa"/>
            <w:vAlign w:val="bottom"/>
            <w:tcBorders>
              <w:top w:val="single" w:sz="8" w:color="CCEEFF"/>
            </w:tcBorders>
            <w:shd w:val="clear" w:color="auto" w:fill="CCEEFF"/>
          </w:tcPr>
          <w:p>
            <w:pPr>
              <w:jc w:val="center"/>
              <w:ind w:left="1031"/>
              <w:spacing w:after="0"/>
              <w:rPr>
                <w:sz w:val="20"/>
                <w:szCs w:val="20"/>
                <w:color w:val="auto"/>
              </w:rPr>
            </w:pPr>
            <w:r>
              <w:rPr>
                <w:rFonts w:ascii="Arial" w:cs="Arial" w:eastAsia="Arial" w:hAnsi="Arial"/>
                <w:sz w:val="18"/>
                <w:szCs w:val="18"/>
                <w:color w:val="auto"/>
                <w:w w:val="94"/>
              </w:rPr>
              <w:t>(Exhibit 10.10)</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Incorporated) and Michael P. McKenna, Ph.D.</w:t>
            </w:r>
          </w:p>
        </w:tc>
        <w:tc>
          <w:tcPr>
            <w:tcW w:w="29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6"/>
        </w:trPr>
        <w:tc>
          <w:tcPr>
            <w:tcW w:w="900" w:type="dxa"/>
            <w:vAlign w:val="bottom"/>
            <w:gridSpan w:val="9"/>
          </w:tcPr>
          <w:p>
            <w:pPr>
              <w:jc w:val="center"/>
              <w:ind w:left="150"/>
              <w:spacing w:after="0" w:line="17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12+</w:t>
              </w:r>
            </w:hyperlink>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7"/>
              </w:rPr>
              <w:t>Offer Letter of Employment, dated as of November 4,</w:t>
            </w:r>
          </w:p>
        </w:tc>
        <w:tc>
          <w:tcPr>
            <w:tcW w:w="2980" w:type="dxa"/>
            <w:vAlign w:val="bottom"/>
          </w:tcPr>
          <w:p>
            <w:pPr>
              <w:jc w:val="center"/>
              <w:ind w:left="1051"/>
              <w:spacing w:after="0" w:line="176" w:lineRule="exact"/>
              <w:rPr>
                <w:sz w:val="20"/>
                <w:szCs w:val="20"/>
                <w:color w:val="auto"/>
              </w:rPr>
            </w:pPr>
            <w:r>
              <w:rPr>
                <w:rFonts w:ascii="Arial" w:cs="Arial" w:eastAsia="Arial" w:hAnsi="Arial"/>
                <w:sz w:val="18"/>
                <w:szCs w:val="18"/>
                <w:color w:val="auto"/>
                <w:w w:val="94"/>
              </w:rPr>
              <w:t>Form 10-K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1"/>
              </w:rPr>
              <w:t>3/1/2022</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8"/>
              </w:rPr>
              <w:t>2020, by and between Q-SI Operations Inc. (formerly</w:t>
            </w:r>
          </w:p>
        </w:tc>
        <w:tc>
          <w:tcPr>
            <w:tcW w:w="2980" w:type="dxa"/>
            <w:vAlign w:val="bottom"/>
          </w:tcPr>
          <w:p>
            <w:pPr>
              <w:jc w:val="center"/>
              <w:ind w:left="1031"/>
              <w:spacing w:after="0"/>
              <w:rPr>
                <w:sz w:val="20"/>
                <w:szCs w:val="20"/>
                <w:color w:val="auto"/>
              </w:rPr>
            </w:pPr>
            <w:r>
              <w:rPr>
                <w:rFonts w:ascii="Arial" w:cs="Arial" w:eastAsia="Arial" w:hAnsi="Arial"/>
                <w:sz w:val="18"/>
                <w:szCs w:val="18"/>
                <w:color w:val="auto"/>
                <w:w w:val="94"/>
              </w:rPr>
              <w:t>(Exhibit 10.12)</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0"/>
              </w:rPr>
              <w:t>Quantum-Si Incorporated) and Christian LaPointe, Ph.D.,</w:t>
            </w: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5"/>
              </w:rPr>
              <w:t>as supplemented by the Letter Agreement, dated as of</w:t>
            </w: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w w:val="91"/>
              </w:rPr>
              <w:t>February 16, 2021, by and between Q-SI Operations Inc.</w:t>
            </w:r>
          </w:p>
        </w:tc>
        <w:tc>
          <w:tcPr>
            <w:tcW w:w="2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and Christian LaPointe, Ph.D.</w:t>
            </w:r>
          </w:p>
        </w:tc>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780" w:type="dxa"/>
            <w:vAlign w:val="bottom"/>
            <w:gridSpan w:val="7"/>
            <w:shd w:val="clear" w:color="auto" w:fill="CCEEFF"/>
          </w:tcPr>
          <w:p>
            <w:pPr>
              <w:jc w:val="center"/>
              <w:ind w:left="290"/>
              <w:spacing w:after="0" w:line="17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Technology and Services Exchange Agreement, dated as</w:t>
            </w:r>
          </w:p>
        </w:tc>
        <w:tc>
          <w:tcPr>
            <w:tcW w:w="2980" w:type="dxa"/>
            <w:vAlign w:val="bottom"/>
            <w:shd w:val="clear" w:color="auto" w:fill="CCEEFF"/>
          </w:tcPr>
          <w:p>
            <w:pPr>
              <w:jc w:val="center"/>
              <w:ind w:left="1051"/>
              <w:spacing w:after="0" w:line="176" w:lineRule="exact"/>
              <w:rPr>
                <w:sz w:val="20"/>
                <w:szCs w:val="20"/>
                <w:color w:val="auto"/>
              </w:rPr>
            </w:pPr>
            <w:r>
              <w:rPr>
                <w:rFonts w:ascii="Arial" w:cs="Arial" w:eastAsia="Arial" w:hAnsi="Arial"/>
                <w:sz w:val="18"/>
                <w:szCs w:val="18"/>
                <w:color w:val="auto"/>
                <w:w w:val="91"/>
              </w:rPr>
              <w:t>Form 10-Q</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11/15/2021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of February 17, 2021, by and among Q-SI Operations</w:t>
            </w:r>
          </w:p>
        </w:tc>
        <w:tc>
          <w:tcPr>
            <w:tcW w:w="2980" w:type="dxa"/>
            <w:vAlign w:val="bottom"/>
            <w:tcBorders>
              <w:top w:val="single" w:sz="8" w:color="CCEEFF"/>
            </w:tcBorders>
            <w:shd w:val="clear" w:color="auto" w:fill="CCEEFF"/>
          </w:tcPr>
          <w:p>
            <w:pPr>
              <w:jc w:val="center"/>
              <w:ind w:left="1051"/>
              <w:spacing w:after="0"/>
              <w:rPr>
                <w:sz w:val="20"/>
                <w:szCs w:val="20"/>
                <w:color w:val="auto"/>
              </w:rPr>
            </w:pPr>
            <w:r>
              <w:rPr>
                <w:rFonts w:ascii="Arial" w:cs="Arial" w:eastAsia="Arial" w:hAnsi="Arial"/>
                <w:sz w:val="18"/>
                <w:szCs w:val="18"/>
                <w:color w:val="auto"/>
                <w:w w:val="94"/>
              </w:rPr>
              <w:t>(Exhibit 10.1)</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 (formerly Quantum-Si Incorporated) and the</w:t>
            </w:r>
          </w:p>
        </w:tc>
        <w:tc>
          <w:tcPr>
            <w:tcW w:w="2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participants named therein</w:t>
            </w:r>
          </w:p>
        </w:tc>
        <w:tc>
          <w:tcPr>
            <w:tcW w:w="11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5"/>
        </w:trPr>
        <w:tc>
          <w:tcPr>
            <w:tcW w:w="780" w:type="dxa"/>
            <w:vAlign w:val="bottom"/>
            <w:gridSpan w:val="7"/>
          </w:tcPr>
          <w:p>
            <w:pPr>
              <w:jc w:val="center"/>
              <w:ind w:left="290"/>
              <w:spacing w:after="0" w:line="176" w:lineRule="exact"/>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3"/>
              </w:rPr>
              <w:t>Protein Engineering Collaboration Agreement, dated as</w:t>
            </w:r>
          </w:p>
        </w:tc>
        <w:tc>
          <w:tcPr>
            <w:tcW w:w="2980" w:type="dxa"/>
            <w:vAlign w:val="bottom"/>
          </w:tcPr>
          <w:p>
            <w:pPr>
              <w:ind w:left="560"/>
              <w:spacing w:after="0" w:line="176"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2"/>
          </w:tcPr>
          <w:p>
            <w:pPr>
              <w:ind w:left="500"/>
              <w:spacing w:after="0"/>
              <w:rPr>
                <w:sz w:val="20"/>
                <w:szCs w:val="20"/>
                <w:color w:val="auto"/>
              </w:rPr>
            </w:pPr>
            <w:r>
              <w:rPr>
                <w:rFonts w:ascii="Arial" w:cs="Arial" w:eastAsia="Arial" w:hAnsi="Arial"/>
                <w:sz w:val="18"/>
                <w:szCs w:val="18"/>
                <w:color w:val="auto"/>
              </w:rPr>
              <w:t>of March 13, 2023, by and between Quantum-Si</w:t>
            </w:r>
          </w:p>
        </w:tc>
        <w:tc>
          <w:tcPr>
            <w:tcW w:w="2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w w:val="94"/>
              </w:rPr>
              <w:t>Incorporated and Protein Evolution, Inc.</w:t>
            </w:r>
          </w:p>
        </w:tc>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900" w:type="dxa"/>
            <w:vAlign w:val="bottom"/>
            <w:gridSpan w:val="9"/>
            <w:shd w:val="clear" w:color="auto" w:fill="CCEEFF"/>
          </w:tcPr>
          <w:p>
            <w:pPr>
              <w:jc w:val="center"/>
              <w:ind w:left="170"/>
              <w:spacing w:after="0" w:line="17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15.1+</w:t>
              </w:r>
            </w:hyperlink>
          </w:p>
        </w:tc>
        <w:tc>
          <w:tcPr>
            <w:tcW w:w="4660" w:type="dxa"/>
            <w:vAlign w:val="bottom"/>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98"/>
              </w:rPr>
              <w:t>Quantum-Si Incorporated 2021 Equity Incentive Plan</w:t>
            </w:r>
          </w:p>
        </w:tc>
        <w:tc>
          <w:tcPr>
            <w:tcW w:w="2980" w:type="dxa"/>
            <w:vAlign w:val="bottom"/>
            <w:shd w:val="clear" w:color="auto" w:fill="CCEEFF"/>
          </w:tcPr>
          <w:p>
            <w:pPr>
              <w:jc w:val="center"/>
              <w:ind w:left="1051"/>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5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2980" w:type="dxa"/>
            <w:vAlign w:val="bottom"/>
            <w:tcBorders>
              <w:top w:val="single" w:sz="8" w:color="CCEEFF"/>
            </w:tcBorders>
            <w:shd w:val="clear" w:color="auto" w:fill="CCEEFF"/>
          </w:tcPr>
          <w:p>
            <w:pPr>
              <w:jc w:val="center"/>
              <w:ind w:left="1051"/>
              <w:spacing w:after="0"/>
              <w:rPr>
                <w:sz w:val="20"/>
                <w:szCs w:val="20"/>
                <w:color w:val="auto"/>
              </w:rPr>
            </w:pPr>
            <w:r>
              <w:rPr>
                <w:rFonts w:ascii="Arial" w:cs="Arial" w:eastAsia="Arial" w:hAnsi="Arial"/>
                <w:sz w:val="18"/>
                <w:szCs w:val="18"/>
                <w:color w:val="auto"/>
                <w:w w:val="94"/>
              </w:rPr>
              <w:t>(Exhibit 10.13.1)</w:t>
            </w:r>
          </w:p>
        </w:tc>
        <w:tc>
          <w:tcPr>
            <w:tcW w:w="14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r>
      <w:tr>
        <w:trPr>
          <w:trHeight w:val="175"/>
        </w:trPr>
        <w:tc>
          <w:tcPr>
            <w:tcW w:w="900" w:type="dxa"/>
            <w:vAlign w:val="bottom"/>
            <w:gridSpan w:val="9"/>
          </w:tcPr>
          <w:p>
            <w:pPr>
              <w:jc w:val="center"/>
              <w:ind w:left="170"/>
              <w:spacing w:after="0" w:line="17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15.2+</w:t>
              </w:r>
            </w:hyperlink>
          </w:p>
        </w:tc>
        <w:tc>
          <w:tcPr>
            <w:tcW w:w="466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99"/>
              </w:rPr>
              <w:t>Form of Stock Option Agreement under 2021 Equity</w:t>
            </w:r>
          </w:p>
        </w:tc>
        <w:tc>
          <w:tcPr>
            <w:tcW w:w="2980" w:type="dxa"/>
            <w:vAlign w:val="bottom"/>
          </w:tcPr>
          <w:p>
            <w:pPr>
              <w:jc w:val="center"/>
              <w:ind w:left="1051"/>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Incentive Plan</w:t>
            </w:r>
          </w:p>
        </w:tc>
        <w:tc>
          <w:tcPr>
            <w:tcW w:w="1160" w:type="dxa"/>
            <w:vAlign w:val="bottom"/>
          </w:tcPr>
          <w:p>
            <w:pPr>
              <w:spacing w:after="0"/>
              <w:rPr>
                <w:sz w:val="20"/>
                <w:szCs w:val="20"/>
                <w:color w:val="auto"/>
              </w:rPr>
            </w:pPr>
          </w:p>
        </w:tc>
        <w:tc>
          <w:tcPr>
            <w:tcW w:w="2980" w:type="dxa"/>
            <w:vAlign w:val="bottom"/>
          </w:tcPr>
          <w:p>
            <w:pPr>
              <w:jc w:val="center"/>
              <w:ind w:left="1051"/>
              <w:spacing w:after="0"/>
              <w:rPr>
                <w:sz w:val="20"/>
                <w:szCs w:val="20"/>
                <w:color w:val="auto"/>
              </w:rPr>
            </w:pPr>
            <w:r>
              <w:rPr>
                <w:rFonts w:ascii="Arial" w:cs="Arial" w:eastAsia="Arial" w:hAnsi="Arial"/>
                <w:sz w:val="18"/>
                <w:szCs w:val="18"/>
                <w:color w:val="auto"/>
                <w:w w:val="94"/>
              </w:rPr>
              <w:t>(Exhibit 10.13.2)</w:t>
            </w: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68"/>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80" w:type="dxa"/>
            <w:vAlign w:val="bottom"/>
          </w:tcPr>
          <w:p>
            <w:pPr>
              <w:jc w:val="right"/>
              <w:ind w:right="2751"/>
              <w:spacing w:after="0"/>
              <w:rPr>
                <w:sz w:val="20"/>
                <w:szCs w:val="20"/>
                <w:color w:val="auto"/>
              </w:rPr>
            </w:pPr>
            <w:r>
              <w:rPr>
                <w:rFonts w:ascii="Arial" w:cs="Arial" w:eastAsia="Arial" w:hAnsi="Arial"/>
                <w:sz w:val="14"/>
                <w:szCs w:val="14"/>
                <w:color w:val="auto"/>
                <w:w w:val="76"/>
              </w:rPr>
              <w:t>79</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
        </w:trPr>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10"/>
            <w:shd w:val="clear" w:color="auto" w:fill="CCEEFF"/>
          </w:tcPr>
          <w:p>
            <w:pPr>
              <w:jc w:val="center"/>
              <w:ind w:left="170"/>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15.3+</w:t>
              </w:r>
            </w:hyperlink>
          </w:p>
        </w:tc>
        <w:tc>
          <w:tcPr>
            <w:tcW w:w="260" w:type="dxa"/>
            <w:vAlign w:val="bottom"/>
            <w:shd w:val="clear" w:color="auto" w:fill="CCEEFF"/>
          </w:tcPr>
          <w:p>
            <w:pPr>
              <w:spacing w:after="0"/>
              <w:rPr>
                <w:sz w:val="17"/>
                <w:szCs w:val="17"/>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Restricted Stock Unit Agreement under 2021</w:t>
            </w:r>
          </w:p>
        </w:tc>
        <w:tc>
          <w:tcPr>
            <w:tcW w:w="27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0"/>
              </w:rPr>
              <w:t>Form S-8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9/2/2021</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333-259271</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Incentive Plan</w:t>
            </w:r>
          </w:p>
        </w:tc>
        <w:tc>
          <w:tcPr>
            <w:tcW w:w="2700" w:type="dxa"/>
            <w:vAlign w:val="bottom"/>
            <w:tcBorders>
              <w:top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4"/>
              </w:rPr>
              <w:t>(Exhibit 99.3)</w:t>
            </w:r>
          </w:p>
        </w:tc>
        <w:tc>
          <w:tcPr>
            <w:tcW w:w="14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r>
      <w:tr>
        <w:trPr>
          <w:trHeight w:val="175"/>
        </w:trPr>
        <w:tc>
          <w:tcPr>
            <w:tcW w:w="900" w:type="dxa"/>
            <w:vAlign w:val="bottom"/>
            <w:gridSpan w:val="10"/>
          </w:tcPr>
          <w:p>
            <w:pPr>
              <w:jc w:val="center"/>
              <w:ind w:left="170"/>
              <w:spacing w:after="0" w:line="17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16.1+</w:t>
              </w:r>
            </w:hyperlink>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Q-SI Operations Inc. 2013 Employee, Director and</w:t>
            </w:r>
          </w:p>
        </w:tc>
        <w:tc>
          <w:tcPr>
            <w:tcW w:w="270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Consultant Equity Incentive Plan, as amended</w:t>
            </w:r>
          </w:p>
        </w:tc>
        <w:tc>
          <w:tcPr>
            <w:tcW w:w="2700" w:type="dxa"/>
            <w:vAlign w:val="bottom"/>
          </w:tcPr>
          <w:p>
            <w:pPr>
              <w:jc w:val="center"/>
              <w:ind w:left="770"/>
              <w:spacing w:after="0"/>
              <w:rPr>
                <w:sz w:val="20"/>
                <w:szCs w:val="20"/>
                <w:color w:val="auto"/>
              </w:rPr>
            </w:pPr>
            <w:r>
              <w:rPr>
                <w:rFonts w:ascii="Arial" w:cs="Arial" w:eastAsia="Arial" w:hAnsi="Arial"/>
                <w:sz w:val="18"/>
                <w:szCs w:val="18"/>
                <w:color w:val="auto"/>
                <w:w w:val="94"/>
              </w:rPr>
              <w:t>(Exhibit 10.14.1)</w:t>
            </w: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6"/>
        </w:trPr>
        <w:tc>
          <w:tcPr>
            <w:tcW w:w="900" w:type="dxa"/>
            <w:vAlign w:val="bottom"/>
            <w:gridSpan w:val="10"/>
            <w:shd w:val="clear" w:color="auto" w:fill="CCEEFF"/>
          </w:tcPr>
          <w:p>
            <w:pPr>
              <w:jc w:val="center"/>
              <w:ind w:left="170"/>
              <w:spacing w:after="0" w:line="17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16.2+</w:t>
              </w:r>
            </w:hyperlink>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Form of Stock Option Agreement under 2013 Employee,</w:t>
            </w:r>
          </w:p>
        </w:tc>
        <w:tc>
          <w:tcPr>
            <w:tcW w:w="27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Director and Consultant Equity Incentive Plan, as</w:t>
            </w:r>
          </w:p>
        </w:tc>
        <w:tc>
          <w:tcPr>
            <w:tcW w:w="2700" w:type="dxa"/>
            <w:vAlign w:val="bottom"/>
            <w:tcBorders>
              <w:top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4"/>
              </w:rPr>
              <w:t>(Exhibit 10.14.2)</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amended</w:t>
            </w:r>
          </w:p>
        </w:tc>
        <w:tc>
          <w:tcPr>
            <w:tcW w:w="2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5"/>
        </w:trPr>
        <w:tc>
          <w:tcPr>
            <w:tcW w:w="900" w:type="dxa"/>
            <w:vAlign w:val="bottom"/>
            <w:gridSpan w:val="10"/>
          </w:tcPr>
          <w:p>
            <w:pPr>
              <w:jc w:val="center"/>
              <w:ind w:left="170"/>
              <w:spacing w:after="0" w:line="17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16.3+</w:t>
              </w:r>
            </w:hyperlink>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Form of Restricted Stock Unit Agreement under 2013</w:t>
            </w:r>
          </w:p>
        </w:tc>
        <w:tc>
          <w:tcPr>
            <w:tcW w:w="270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Employee, Director and Consultant Equity Incentive</w:t>
            </w:r>
          </w:p>
        </w:tc>
        <w:tc>
          <w:tcPr>
            <w:tcW w:w="2700" w:type="dxa"/>
            <w:vAlign w:val="bottom"/>
          </w:tcPr>
          <w:p>
            <w:pPr>
              <w:jc w:val="center"/>
              <w:ind w:left="770"/>
              <w:spacing w:after="0"/>
              <w:rPr>
                <w:sz w:val="20"/>
                <w:szCs w:val="20"/>
                <w:color w:val="auto"/>
              </w:rPr>
            </w:pPr>
            <w:r>
              <w:rPr>
                <w:rFonts w:ascii="Arial" w:cs="Arial" w:eastAsia="Arial" w:hAnsi="Arial"/>
                <w:sz w:val="18"/>
                <w:szCs w:val="18"/>
                <w:color w:val="auto"/>
                <w:w w:val="94"/>
              </w:rPr>
              <w:t>(Exhibit 10.14.3)</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Plan, as amended</w:t>
            </w:r>
          </w:p>
        </w:tc>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6"/>
        </w:trPr>
        <w:tc>
          <w:tcPr>
            <w:tcW w:w="900" w:type="dxa"/>
            <w:vAlign w:val="bottom"/>
            <w:gridSpan w:val="10"/>
            <w:shd w:val="clear" w:color="auto" w:fill="CCEEFF"/>
          </w:tcPr>
          <w:p>
            <w:pPr>
              <w:jc w:val="center"/>
              <w:ind w:left="150"/>
              <w:spacing w:after="0" w:line="17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17+</w:t>
              </w:r>
            </w:hyperlink>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Form of Performance-Based Non-Qualified Stock Option</w:t>
            </w:r>
          </w:p>
        </w:tc>
        <w:tc>
          <w:tcPr>
            <w:tcW w:w="27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0"/>
              </w:rPr>
              <w:t>Form S-8</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11/10/2022</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333-268301</w:t>
            </w:r>
          </w:p>
        </w:tc>
      </w:tr>
      <w:tr>
        <w:trPr>
          <w:trHeight w:val="236"/>
        </w:trPr>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Agreement</w:t>
            </w:r>
          </w:p>
        </w:tc>
        <w:tc>
          <w:tcPr>
            <w:tcW w:w="2700" w:type="dxa"/>
            <w:vAlign w:val="bottom"/>
            <w:tcBorders>
              <w:top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4"/>
              </w:rPr>
              <w:t>(Exhibit 99.1)</w:t>
            </w:r>
          </w:p>
        </w:tc>
        <w:tc>
          <w:tcPr>
            <w:tcW w:w="14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r>
      <w:tr>
        <w:trPr>
          <w:trHeight w:val="176"/>
        </w:trPr>
        <w:tc>
          <w:tcPr>
            <w:tcW w:w="900" w:type="dxa"/>
            <w:vAlign w:val="bottom"/>
            <w:gridSpan w:val="10"/>
          </w:tcPr>
          <w:p>
            <w:pPr>
              <w:jc w:val="center"/>
              <w:ind w:left="150"/>
              <w:spacing w:after="0" w:line="176" w:lineRule="exact"/>
              <w:rPr>
                <w:sz w:val="20"/>
                <w:szCs w:val="20"/>
                <w:color w:val="auto"/>
              </w:rPr>
            </w:pPr>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18+</w:t>
            </w:r>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Nonemployee Director Compensation Policy</w:t>
            </w:r>
          </w:p>
        </w:tc>
        <w:tc>
          <w:tcPr>
            <w:tcW w:w="2700" w:type="dxa"/>
            <w:vAlign w:val="bottom"/>
          </w:tcPr>
          <w:p>
            <w:pPr>
              <w:ind w:left="280"/>
              <w:spacing w:after="0" w:line="176"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5"/>
        </w:trPr>
        <w:tc>
          <w:tcPr>
            <w:tcW w:w="820" w:type="dxa"/>
            <w:vAlign w:val="bottom"/>
            <w:gridSpan w:val="9"/>
            <w:shd w:val="clear" w:color="auto" w:fill="CCEEFF"/>
          </w:tcPr>
          <w:p>
            <w:pPr>
              <w:jc w:val="center"/>
              <w:ind w:left="250"/>
              <w:spacing w:after="0" w:line="17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Form of Indemnification Agreement</w:t>
            </w:r>
          </w:p>
        </w:tc>
        <w:tc>
          <w:tcPr>
            <w:tcW w:w="27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8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color w:val="auto"/>
                <w:w w:val="94"/>
              </w:rPr>
              <w:t>(Exhibit 10.16)</w:t>
            </w:r>
          </w:p>
        </w:tc>
        <w:tc>
          <w:tcPr>
            <w:tcW w:w="14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r>
      <w:tr>
        <w:trPr>
          <w:trHeight w:val="176"/>
        </w:trPr>
        <w:tc>
          <w:tcPr>
            <w:tcW w:w="820" w:type="dxa"/>
            <w:vAlign w:val="bottom"/>
            <w:gridSpan w:val="9"/>
          </w:tcPr>
          <w:p>
            <w:pPr>
              <w:jc w:val="center"/>
              <w:ind w:left="250"/>
              <w:spacing w:after="0" w:line="17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w w:val="99"/>
              </w:rPr>
              <w:t>Amended and Restated Registration Rights Agreement,</w:t>
            </w:r>
          </w:p>
        </w:tc>
        <w:tc>
          <w:tcPr>
            <w:tcW w:w="270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6/15/2021</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dated as of June 10, 2021, by and among Quantum-Si</w:t>
            </w:r>
          </w:p>
        </w:tc>
        <w:tc>
          <w:tcPr>
            <w:tcW w:w="2700" w:type="dxa"/>
            <w:vAlign w:val="bottom"/>
          </w:tcPr>
          <w:p>
            <w:pPr>
              <w:jc w:val="center"/>
              <w:ind w:left="750"/>
              <w:spacing w:after="0"/>
              <w:rPr>
                <w:sz w:val="20"/>
                <w:szCs w:val="20"/>
                <w:color w:val="auto"/>
              </w:rPr>
            </w:pPr>
            <w:r>
              <w:rPr>
                <w:rFonts w:ascii="Arial" w:cs="Arial" w:eastAsia="Arial" w:hAnsi="Arial"/>
                <w:sz w:val="18"/>
                <w:szCs w:val="18"/>
                <w:color w:val="auto"/>
                <w:w w:val="94"/>
              </w:rPr>
              <w:t>(Exhibit 10.17)</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Incorporated (formerly HighCape Capital Acquisition</w:t>
            </w:r>
          </w:p>
        </w:tc>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Corp.) and certain of its securityholders</w:t>
            </w:r>
          </w:p>
        </w:tc>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820" w:type="dxa"/>
            <w:vAlign w:val="bottom"/>
            <w:gridSpan w:val="9"/>
            <w:shd w:val="clear" w:color="auto" w:fill="CCEEFF"/>
          </w:tcPr>
          <w:p>
            <w:pPr>
              <w:jc w:val="center"/>
              <w:ind w:left="250"/>
              <w:spacing w:after="0" w:line="17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6"/>
              </w:rPr>
              <w:t>Lease Agreement between Quantum-Si Incorporated and</w:t>
            </w:r>
          </w:p>
        </w:tc>
        <w:tc>
          <w:tcPr>
            <w:tcW w:w="27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6/24/2021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BP3-SD5 5510 Morehouse Drive LLC, dated June 18,</w:t>
            </w:r>
          </w:p>
        </w:tc>
        <w:tc>
          <w:tcPr>
            <w:tcW w:w="2700" w:type="dxa"/>
            <w:vAlign w:val="bottom"/>
            <w:tcBorders>
              <w:top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4"/>
              </w:rPr>
              <w:t>(Exhibit 10.1)</w:t>
            </w:r>
          </w:p>
        </w:tc>
        <w:tc>
          <w:tcPr>
            <w:tcW w:w="14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2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76"/>
        </w:trPr>
        <w:tc>
          <w:tcPr>
            <w:tcW w:w="820" w:type="dxa"/>
            <w:vAlign w:val="bottom"/>
            <w:gridSpan w:val="9"/>
          </w:tcPr>
          <w:p>
            <w:pPr>
              <w:jc w:val="center"/>
              <w:ind w:left="250"/>
              <w:spacing w:after="0" w:line="17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w w:val="96"/>
              </w:rPr>
              <w:t>Lease Agreement between Quantum-Si Incorporated and</w:t>
            </w:r>
          </w:p>
        </w:tc>
        <w:tc>
          <w:tcPr>
            <w:tcW w:w="270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2"/>
              </w:rPr>
              <w:t>1/24/2022</w:t>
            </w:r>
          </w:p>
        </w:tc>
        <w:tc>
          <w:tcPr>
            <w:tcW w:w="128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Winchester Office LLC, dated December 28, 2021</w:t>
            </w:r>
          </w:p>
        </w:tc>
        <w:tc>
          <w:tcPr>
            <w:tcW w:w="2700" w:type="dxa"/>
            <w:vAlign w:val="bottom"/>
          </w:tcPr>
          <w:p>
            <w:pPr>
              <w:jc w:val="center"/>
              <w:ind w:left="770"/>
              <w:spacing w:after="0"/>
              <w:rPr>
                <w:sz w:val="20"/>
                <w:szCs w:val="20"/>
                <w:color w:val="auto"/>
              </w:rPr>
            </w:pPr>
            <w:r>
              <w:rPr>
                <w:rFonts w:ascii="Arial" w:cs="Arial" w:eastAsia="Arial" w:hAnsi="Arial"/>
                <w:sz w:val="18"/>
                <w:szCs w:val="18"/>
                <w:color w:val="auto"/>
                <w:w w:val="94"/>
              </w:rPr>
              <w:t>(Exhibit 10.1)</w:t>
            </w: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5"/>
        </w:trPr>
        <w:tc>
          <w:tcPr>
            <w:tcW w:w="900" w:type="dxa"/>
            <w:vAlign w:val="bottom"/>
            <w:gridSpan w:val="10"/>
            <w:shd w:val="clear" w:color="auto" w:fill="CCEEFF"/>
          </w:tcPr>
          <w:p>
            <w:pPr>
              <w:jc w:val="center"/>
              <w:ind w:left="150"/>
              <w:spacing w:after="0" w:line="17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23+</w:t>
              </w:r>
            </w:hyperlink>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Quantum-Si Incorporated Executive Severance Plan</w:t>
            </w:r>
          </w:p>
        </w:tc>
        <w:tc>
          <w:tcPr>
            <w:tcW w:w="27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5"/>
              </w:rPr>
              <w:t>Form 8-K</w:t>
            </w: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7/6/2021</w:t>
            </w: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8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4"/>
              </w:rPr>
              <w:t>(Exhibit 10.1)</w:t>
            </w:r>
          </w:p>
        </w:tc>
        <w:tc>
          <w:tcPr>
            <w:tcW w:w="14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r>
      <w:tr>
        <w:trPr>
          <w:trHeight w:val="176"/>
        </w:trPr>
        <w:tc>
          <w:tcPr>
            <w:tcW w:w="780" w:type="dxa"/>
            <w:vAlign w:val="bottom"/>
            <w:gridSpan w:val="8"/>
          </w:tcPr>
          <w:p>
            <w:pPr>
              <w:jc w:val="center"/>
              <w:ind w:left="290"/>
              <w:spacing w:after="0" w:line="176" w:lineRule="exact"/>
              <w:rPr>
                <w:sz w:val="20"/>
                <w:szCs w:val="20"/>
                <w:color w:val="auto"/>
              </w:rPr>
            </w:pPr>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List of Subsidiaries</w:t>
            </w:r>
          </w:p>
        </w:tc>
        <w:tc>
          <w:tcPr>
            <w:tcW w:w="2700" w:type="dxa"/>
            <w:vAlign w:val="bottom"/>
          </w:tcPr>
          <w:p>
            <w:pPr>
              <w:ind w:left="280"/>
              <w:spacing w:after="0" w:line="176"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780" w:type="dxa"/>
            <w:vAlign w:val="bottom"/>
            <w:gridSpan w:val="8"/>
            <w:shd w:val="clear" w:color="auto" w:fill="CCEEFF"/>
          </w:tcPr>
          <w:p>
            <w:pPr>
              <w:jc w:val="center"/>
              <w:ind w:left="290"/>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Consent of Deloitte &amp; Touche LLP</w:t>
            </w:r>
          </w:p>
        </w:tc>
        <w:tc>
          <w:tcPr>
            <w:tcW w:w="27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8"/>
          </w:tcPr>
          <w:p>
            <w:pPr>
              <w:jc w:val="center"/>
              <w:ind w:left="29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Certification of the Principal Executive Officer pursuant</w:t>
            </w:r>
          </w:p>
        </w:tc>
        <w:tc>
          <w:tcPr>
            <w:tcW w:w="2700" w:type="dxa"/>
            <w:vAlign w:val="bottom"/>
          </w:tcPr>
          <w:p>
            <w:pPr>
              <w:ind w:left="280"/>
              <w:spacing w:after="0" w:line="176"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6"/>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to Section 302 of the Sarbanes-Oxley Act of 2002</w:t>
            </w:r>
          </w:p>
        </w:tc>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76"/>
        </w:trPr>
        <w:tc>
          <w:tcPr>
            <w:tcW w:w="780" w:type="dxa"/>
            <w:vAlign w:val="bottom"/>
            <w:gridSpan w:val="8"/>
            <w:shd w:val="clear" w:color="auto" w:fill="CCEEFF"/>
          </w:tcPr>
          <w:p>
            <w:pPr>
              <w:jc w:val="center"/>
              <w:ind w:left="29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the Principal Financial Officer pursuant</w:t>
            </w:r>
          </w:p>
        </w:tc>
        <w:tc>
          <w:tcPr>
            <w:tcW w:w="27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6"/>
        </w:trPr>
        <w:tc>
          <w:tcPr>
            <w:tcW w:w="2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46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 Section 302 of the Sarbanes-Oxley Act of 2002</w:t>
            </w:r>
          </w:p>
        </w:tc>
        <w:tc>
          <w:tcPr>
            <w:tcW w:w="27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r>
      <w:tr>
        <w:trPr>
          <w:trHeight w:val="175"/>
        </w:trPr>
        <w:tc>
          <w:tcPr>
            <w:tcW w:w="740" w:type="dxa"/>
            <w:vAlign w:val="bottom"/>
            <w:gridSpan w:val="7"/>
          </w:tcPr>
          <w:p>
            <w:pPr>
              <w:jc w:val="center"/>
              <w:ind w:left="330"/>
              <w:spacing w:after="0" w:line="176" w:lineRule="exact"/>
              <w:rPr>
                <w:sz w:val="20"/>
                <w:szCs w:val="20"/>
                <w:color w:val="auto"/>
              </w:rPr>
            </w:pPr>
            <w:r>
              <w:rPr>
                <w:rFonts w:ascii="Arial" w:cs="Arial" w:eastAsia="Arial" w:hAnsi="Arial"/>
                <w:sz w:val="18"/>
                <w:szCs w:val="18"/>
                <w:color w:val="0000EE"/>
              </w:rPr>
              <w:t>32*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Certifications of the Chief Executive Officer and Chief</w:t>
            </w:r>
          </w:p>
        </w:tc>
        <w:tc>
          <w:tcPr>
            <w:tcW w:w="2700" w:type="dxa"/>
            <w:vAlign w:val="bottom"/>
          </w:tcPr>
          <w:p>
            <w:pPr>
              <w:ind w:left="280"/>
              <w:spacing w:after="0" w:line="176"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2"/>
        </w:trPr>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Financial Officer pursuant to Section 906 of the</w:t>
            </w:r>
          </w:p>
        </w:tc>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Sarbanes-Oxley Act of 2002</w:t>
            </w:r>
          </w:p>
        </w:tc>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2"/>
        </w:trPr>
        <w:tc>
          <w:tcPr>
            <w:tcW w:w="260" w:type="dxa"/>
            <w:vAlign w:val="bottom"/>
            <w:shd w:val="clear" w:color="auto" w:fill="CCEEFF"/>
          </w:tcPr>
          <w:p>
            <w:pPr>
              <w:spacing w:after="0"/>
              <w:rPr>
                <w:sz w:val="17"/>
                <w:szCs w:val="17"/>
                <w:color w:val="auto"/>
              </w:rPr>
            </w:pPr>
          </w:p>
        </w:tc>
        <w:tc>
          <w:tcPr>
            <w:tcW w:w="900" w:type="dxa"/>
            <w:vAlign w:val="bottom"/>
            <w:gridSpan w:val="10"/>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2"/>
              </w:rPr>
              <w:t>101.INS</w:t>
            </w:r>
          </w:p>
        </w:tc>
        <w:tc>
          <w:tcPr>
            <w:tcW w:w="46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8"/>
              </w:rPr>
              <w:t>Inline XBRL Instance Document (the instance document</w:t>
            </w:r>
          </w:p>
        </w:tc>
        <w:tc>
          <w:tcPr>
            <w:tcW w:w="27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does not appear in the Interactive Data File because its</w:t>
            </w:r>
          </w:p>
        </w:tc>
        <w:tc>
          <w:tcPr>
            <w:tcW w:w="2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tags are embedded within the Inline XBRL</w:t>
            </w:r>
          </w:p>
        </w:tc>
        <w:tc>
          <w:tcPr>
            <w:tcW w:w="2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document)</w:t>
            </w:r>
          </w:p>
        </w:tc>
        <w:tc>
          <w:tcPr>
            <w:tcW w:w="2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1160" w:type="dxa"/>
            <w:vAlign w:val="bottom"/>
            <w:gridSpan w:val="11"/>
          </w:tcPr>
          <w:p>
            <w:pPr>
              <w:jc w:val="center"/>
              <w:ind w:right="20"/>
              <w:spacing w:after="0"/>
              <w:rPr>
                <w:sz w:val="20"/>
                <w:szCs w:val="20"/>
                <w:color w:val="auto"/>
              </w:rPr>
            </w:pPr>
            <w:r>
              <w:rPr>
                <w:rFonts w:ascii="Arial" w:cs="Arial" w:eastAsia="Arial" w:hAnsi="Arial"/>
                <w:sz w:val="18"/>
                <w:szCs w:val="18"/>
                <w:color w:val="auto"/>
                <w:w w:val="90"/>
              </w:rPr>
              <w:t>101.SCH</w:t>
            </w:r>
          </w:p>
        </w:tc>
        <w:tc>
          <w:tcPr>
            <w:tcW w:w="468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c>
          <w:tcPr>
            <w:tcW w:w="2700" w:type="dxa"/>
            <w:vAlign w:val="bottom"/>
          </w:tcPr>
          <w:p>
            <w:pPr>
              <w:ind w:left="28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2"/>
        </w:trPr>
        <w:tc>
          <w:tcPr>
            <w:tcW w:w="1160" w:type="dxa"/>
            <w:vAlign w:val="bottom"/>
            <w:gridSpan w:val="11"/>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101.CAL</w:t>
            </w:r>
          </w:p>
        </w:tc>
        <w:tc>
          <w:tcPr>
            <w:tcW w:w="46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Inline XBRL Taxonomy Extension Calculation Linkbase</w:t>
            </w:r>
          </w:p>
        </w:tc>
        <w:tc>
          <w:tcPr>
            <w:tcW w:w="27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Document</w:t>
            </w:r>
          </w:p>
        </w:tc>
        <w:tc>
          <w:tcPr>
            <w:tcW w:w="2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02"/>
        </w:trPr>
        <w:tc>
          <w:tcPr>
            <w:tcW w:w="1160" w:type="dxa"/>
            <w:vAlign w:val="bottom"/>
            <w:gridSpan w:val="11"/>
          </w:tcPr>
          <w:p>
            <w:pPr>
              <w:jc w:val="center"/>
              <w:ind w:right="20"/>
              <w:spacing w:after="0" w:line="201" w:lineRule="exact"/>
              <w:rPr>
                <w:sz w:val="20"/>
                <w:szCs w:val="20"/>
                <w:color w:val="auto"/>
              </w:rPr>
            </w:pPr>
            <w:r>
              <w:rPr>
                <w:rFonts w:ascii="Arial" w:cs="Arial" w:eastAsia="Arial" w:hAnsi="Arial"/>
                <w:sz w:val="18"/>
                <w:szCs w:val="18"/>
                <w:color w:val="auto"/>
                <w:w w:val="92"/>
              </w:rPr>
              <w:t>101.DEF</w:t>
            </w:r>
          </w:p>
        </w:tc>
        <w:tc>
          <w:tcPr>
            <w:tcW w:w="4680" w:type="dxa"/>
            <w:vAlign w:val="bottom"/>
          </w:tcPr>
          <w:p>
            <w:pPr>
              <w:ind w:left="240"/>
              <w:spacing w:after="0" w:line="201" w:lineRule="exact"/>
              <w:rPr>
                <w:sz w:val="20"/>
                <w:szCs w:val="20"/>
                <w:color w:val="auto"/>
              </w:rPr>
            </w:pPr>
            <w:r>
              <w:rPr>
                <w:rFonts w:ascii="Arial" w:cs="Arial" w:eastAsia="Arial" w:hAnsi="Arial"/>
                <w:sz w:val="18"/>
                <w:szCs w:val="18"/>
                <w:color w:val="auto"/>
              </w:rPr>
              <w:t>Inline XBRL Taxonomy Extension Definition Linkbase</w:t>
            </w:r>
          </w:p>
        </w:tc>
        <w:tc>
          <w:tcPr>
            <w:tcW w:w="2700" w:type="dxa"/>
            <w:vAlign w:val="bottom"/>
          </w:tcPr>
          <w:p>
            <w:pPr>
              <w:ind w:left="280"/>
              <w:spacing w:after="0" w:line="201"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2"/>
        </w:trPr>
        <w:tc>
          <w:tcPr>
            <w:tcW w:w="1160" w:type="dxa"/>
            <w:vAlign w:val="bottom"/>
            <w:gridSpan w:val="11"/>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101.LAB</w:t>
            </w:r>
          </w:p>
        </w:tc>
        <w:tc>
          <w:tcPr>
            <w:tcW w:w="46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Inline XBRL Taxonomy Extension Label Linkbase</w:t>
            </w:r>
          </w:p>
        </w:tc>
        <w:tc>
          <w:tcPr>
            <w:tcW w:w="27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Document</w:t>
            </w:r>
          </w:p>
        </w:tc>
        <w:tc>
          <w:tcPr>
            <w:tcW w:w="2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02"/>
        </w:trPr>
        <w:tc>
          <w:tcPr>
            <w:tcW w:w="1160" w:type="dxa"/>
            <w:vAlign w:val="bottom"/>
            <w:gridSpan w:val="11"/>
          </w:tcPr>
          <w:p>
            <w:pPr>
              <w:jc w:val="center"/>
              <w:spacing w:after="0" w:line="201" w:lineRule="exact"/>
              <w:rPr>
                <w:sz w:val="20"/>
                <w:szCs w:val="20"/>
                <w:color w:val="auto"/>
              </w:rPr>
            </w:pPr>
            <w:r>
              <w:rPr>
                <w:rFonts w:ascii="Arial" w:cs="Arial" w:eastAsia="Arial" w:hAnsi="Arial"/>
                <w:sz w:val="18"/>
                <w:szCs w:val="18"/>
                <w:color w:val="auto"/>
                <w:w w:val="88"/>
              </w:rPr>
              <w:t>101.PRE</w:t>
            </w:r>
          </w:p>
        </w:tc>
        <w:tc>
          <w:tcPr>
            <w:tcW w:w="4680" w:type="dxa"/>
            <w:vAlign w:val="bottom"/>
          </w:tcPr>
          <w:p>
            <w:pPr>
              <w:ind w:left="240"/>
              <w:spacing w:after="0" w:line="201" w:lineRule="exact"/>
              <w:rPr>
                <w:sz w:val="20"/>
                <w:szCs w:val="20"/>
                <w:color w:val="auto"/>
              </w:rPr>
            </w:pPr>
            <w:r>
              <w:rPr>
                <w:rFonts w:ascii="Arial" w:cs="Arial" w:eastAsia="Arial" w:hAnsi="Arial"/>
                <w:sz w:val="18"/>
                <w:szCs w:val="18"/>
                <w:color w:val="auto"/>
                <w:w w:val="97"/>
              </w:rPr>
              <w:t>Inline XBRL Taxonomy Extension Presentation Linkbase</w:t>
            </w:r>
          </w:p>
        </w:tc>
        <w:tc>
          <w:tcPr>
            <w:tcW w:w="2700" w:type="dxa"/>
            <w:vAlign w:val="bottom"/>
          </w:tcPr>
          <w:p>
            <w:pPr>
              <w:ind w:left="280"/>
              <w:spacing w:after="0" w:line="201" w:lineRule="exact"/>
              <w:rPr>
                <w:sz w:val="20"/>
                <w:szCs w:val="20"/>
                <w:color w:val="auto"/>
              </w:rPr>
            </w:pPr>
            <w:r>
              <w:rPr>
                <w:rFonts w:ascii="Arial" w:cs="Arial" w:eastAsia="Arial" w:hAnsi="Arial"/>
                <w:sz w:val="18"/>
                <w:szCs w:val="18"/>
                <w:color w:val="auto"/>
              </w:rPr>
              <w:t>X</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2"/>
        </w:trPr>
        <w:tc>
          <w:tcPr>
            <w:tcW w:w="740" w:type="dxa"/>
            <w:vAlign w:val="bottom"/>
            <w:gridSpan w:val="7"/>
            <w:shd w:val="clear" w:color="auto" w:fill="CCEEFF"/>
          </w:tcPr>
          <w:p>
            <w:pPr>
              <w:jc w:val="center"/>
              <w:ind w:left="330"/>
              <w:spacing w:after="0" w:line="201" w:lineRule="exact"/>
              <w:rPr>
                <w:sz w:val="20"/>
                <w:szCs w:val="20"/>
                <w:color w:val="auto"/>
              </w:rPr>
            </w:pPr>
            <w:r>
              <w:rPr>
                <w:rFonts w:ascii="Arial" w:cs="Arial" w:eastAsia="Arial" w:hAnsi="Arial"/>
                <w:sz w:val="18"/>
                <w:szCs w:val="18"/>
                <w:color w:val="auto"/>
                <w:w w:val="93"/>
              </w:rPr>
              <w:t>104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Cover Page Interactive Data File (embedded within the</w:t>
            </w:r>
          </w:p>
        </w:tc>
        <w:tc>
          <w:tcPr>
            <w:tcW w:w="27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document)</w:t>
            </w:r>
          </w:p>
        </w:tc>
        <w:tc>
          <w:tcPr>
            <w:tcW w:w="2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7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both"/>
        <w:ind w:left="340" w:hanging="332"/>
        <w:spacing w:after="0" w:line="25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Annual Report on Form 10-K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10-K), irrespective of any general incorporation language contained in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16, 2023</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wp:posOffset>
            </wp:positionV>
            <wp:extent cx="33604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Jeffrey Hawkins and Claudia Drayton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substitutes or substitute, may lawfully do or cause to be done by virtue hereof.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 or her name.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6" w:lineRule="exact"/>
        <w:rPr>
          <w:sz w:val="20"/>
          <w:szCs w:val="20"/>
          <w:color w:val="auto"/>
        </w:rPr>
      </w:pPr>
    </w:p>
    <w:p>
      <w:pPr>
        <w:ind w:left="2120"/>
        <w:spacing w:after="0"/>
        <w:tabs>
          <w:tab w:leader="none" w:pos="7000" w:val="left"/>
          <w:tab w:leader="none" w:pos="102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Hawkins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9743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Jonathan M. Rothberg,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743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Jonathan M. Rothberg, Ph.D.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Vikram Bajaj,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Vikram Bajaj,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Marijn Dekkers,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Marijn Dekkers,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Ruth Fattori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Ruth Fattori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Brigid A.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Brigid A. Makes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Michael Mina,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9743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Michael Mina, M.D.,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Rakin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3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7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2023</w:t>
      </w:r>
    </w:p>
    <w:p>
      <w:pPr>
        <w:spacing w:after="0" w:line="465" w:lineRule="exact"/>
        <w:rPr>
          <w:sz w:val="20"/>
          <w:szCs w:val="20"/>
          <w:color w:val="auto"/>
        </w:rPr>
      </w:pPr>
    </w:p>
    <w:p>
      <w:pPr>
        <w:sectPr>
          <w:pgSz w:w="11900" w:h="16838" w:orient="portrait"/>
          <w:cols w:equalWidth="0" w:num="3">
            <w:col w:w="4840" w:space="720"/>
            <w:col w:w="3620" w:space="720"/>
            <w:col w:w="1340"/>
          </w:cols>
          <w:pgMar w:left="320" w:top="121" w:right="33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Quantum-Si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Quantum-Si Incorporated and subsidiaries (the “Company”) as of December 31, 2022 and 2021, the related consolidated statements of operations and comprehensive loss, changes in convertible preferred stock and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 Refer to Note 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disclosed in Note 2 to the financial statements, the Company operates as a single reporting unit for purposes of reviewing goodwill for possible impairment annually during the fourth quarter as of October 1, or whenever events or circumstances indicate that the carrying amount may not be recoverable. The Company determined, based on its quantitative assessment, that it was more likely than not that the fair value is less than its carrying amount and recorded a full impairment charge of $9.48 million in the fourth quarter ended December 31, 2022. The Company’s impairment evaluation involves the comparison of its fair value to its carrying value. The Company determines the fair value using a market-based approach and incorporates assumptions it believes market participants would utilize. Under the market-based approach, the Company determines fair value by comparing itself to similar businesses or guideline companies whose securities are actively traded in public markets.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significant estimates and assumptions management makes to estimate the fair value of the reporting unit goodwill and the sensitivity of the Company’s operations to changes in the U.S. healthcare technology market, performing audit procedures to evaluate the reasonableness of management’s estimates and assumptions required a high degree of auditor judgment and an increased extent of effort, including the need to involve our fair value specialists.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determination of fair value using a market-based approach requires management to make significant assumptions related to the determination of an appropriate group of peer companies, and market revenue multiples from within the selected group of peer companies. Our audit procedures with respect to the significant estimates and assumptions for the Company’s fair value included the following, among others:</w:t>
      </w:r>
    </w:p>
    <w:p>
      <w:pPr>
        <w:spacing w:after="0" w:line="165" w:lineRule="exact"/>
        <w:rPr>
          <w:sz w:val="20"/>
          <w:szCs w:val="20"/>
          <w:color w:val="auto"/>
        </w:rPr>
      </w:pPr>
    </w:p>
    <w:p>
      <w:pPr>
        <w:ind w:left="6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fair value along with the completeness and accuracy of the underlying data and assumptions used.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assumptions utilized in the market-based approach including (1) identification of guideline public companies, (2) identification of guideline company transaction types, (3) multiples selection process, (4) weighting of the value indications used in determining the multiples to forecasted revenue, and (5) market capitalization reconciliation. This included testing the underlying source information and mathematical accuracy of the calculations, and comparing the multiples selected by management to its guideline companies.</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evaluated the reasonableness of the Company’s forecasted revenue used in the fair value calculations by comparing the forecast to (1) internal communications to management and the board of directors, (2) holding discussions with the Company’s management and reporting leaders, (3) external analyst expectations, and (4) industry reports containing analyses of the Company’s markets.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435,519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358,182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477,172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391,485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32,779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26,192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Class A Common stock, $0.0001 par value; 600,000,000 shares authorized as of December 31, 2022 and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2"/>
              </w:rPr>
              <w:t>31, 2021; 120,006,757 and 118,025,410 shares issued and outstanding as of December 31, 2022 and December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31,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Class B Common stock, $0.0001 par value; 27,000,000 shares authorized as of December 31, 2022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31, 2021; 19,937,500 shares issued and outstanding as of December 31, 2022 and December 31, 2021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744,252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(399,674)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(267,232)</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358,706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391,485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503,226</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42,296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50,333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9,136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123,841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96,908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36,691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(123,841)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(96,908)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4,379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(132,442)</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(94,989)</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(36,613)</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(132,442)</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(94,989)</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(36,613)</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rPr>
              <w:t>Weighted-average shares used to compute net loss per share attributable to common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30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139,255,131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79,578,540</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5,355,463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CONVERTIBLE PREFERRED STOCK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9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3"/>
              </w:rPr>
              <w:t>Convertible preferred</w:t>
            </w:r>
          </w:p>
        </w:tc>
        <w:tc>
          <w:tcPr>
            <w:tcW w:w="16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8"/>
              </w:rPr>
              <w:t>Class A common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Class B common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28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4"/>
              </w:rPr>
              <w:t>stock</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stockholders’</w:t>
            </w:r>
          </w:p>
        </w:tc>
      </w:tr>
      <w:tr>
        <w:trPr>
          <w:trHeight w:val="198"/>
        </w:trPr>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paid-in</w:t>
            </w:r>
          </w:p>
        </w:tc>
        <w:tc>
          <w:tcPr>
            <w:tcW w:w="11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equity</w:t>
            </w:r>
          </w:p>
        </w:tc>
      </w:tr>
      <w:tr>
        <w:trPr>
          <w:trHeight w:val="241"/>
        </w:trPr>
        <w:tc>
          <w:tcPr>
            <w:tcW w:w="22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010101"/>
              </w:rPr>
              <w:t>Shares</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010101"/>
              </w:rPr>
              <w:t>Amount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010101"/>
              </w:rPr>
              <w:t>Shares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010101"/>
                <w:w w:val="94"/>
              </w:rPr>
              <w:t>Amount</w:t>
            </w:r>
          </w:p>
        </w:tc>
        <w:tc>
          <w:tcPr>
            <w:tcW w:w="12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9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Balance -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9"/>
              </w:rPr>
              <w:t>84,201,570</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160,555</w:t>
            </w: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5,263,403</w:t>
            </w:r>
          </w:p>
        </w:tc>
        <w:tc>
          <w:tcPr>
            <w:tcW w:w="1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10,530</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(135,630)</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(125,099)</w:t>
            </w:r>
          </w:p>
        </w:tc>
        <w:tc>
          <w:tcPr>
            <w:tcW w:w="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010101"/>
              </w:rPr>
              <w:t>Net loss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010101"/>
              </w:rPr>
              <w:t>(36,613)</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010101"/>
              </w:rPr>
              <w:t>(36,613)</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w w:val="97"/>
              </w:rPr>
              <w:t>convertible preferred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6,587,698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35,259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010101"/>
              </w:rPr>
              <w:t>114,884</w:t>
            </w:r>
          </w:p>
        </w:tc>
        <w:tc>
          <w:tcPr>
            <w:tcW w:w="4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63</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63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1,924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1,924</w:t>
            </w:r>
          </w:p>
        </w:tc>
      </w:tr>
      <w:tr>
        <w:trPr>
          <w:trHeight w:val="27"/>
        </w:trPr>
        <w:tc>
          <w:tcPr>
            <w:tcW w:w="2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w w:val="91"/>
              </w:rPr>
              <w:t>Balance - December 31, 2020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10101"/>
                <w:w w:val="99"/>
              </w:rPr>
              <w:t>90,789,268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010101"/>
                <w:w w:val="98"/>
              </w:rPr>
              <w:t>195,814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010101"/>
              </w:rPr>
              <w:t>5,378,287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010101"/>
              </w:rPr>
              <w:t>1</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5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12,517</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010101"/>
              </w:rPr>
              <w:t>(172,243)</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10101"/>
              </w:rPr>
              <w:t>(159,725)</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010101"/>
              </w:rPr>
              <w:t>(94,989)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(94,989)</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Issuance of Series 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010101"/>
                <w:w w:val="97"/>
              </w:rPr>
              <w:t>convertible preferred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010101"/>
              </w:rPr>
              <w:t>(4)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exercise of stock options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and vesting of restricted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2,935,595</w:t>
            </w:r>
          </w:p>
        </w:tc>
        <w:tc>
          <w:tcPr>
            <w:tcW w:w="4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5,618</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5,618</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w w:val="96"/>
              </w:rPr>
              <w:t>Conversion of the convertible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w w:val="94"/>
              </w:rPr>
              <w:t>preferred stock into Class 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w w:val="95"/>
              </w:rPr>
              <w:t>and Class B common stock</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(90,789,268)</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(195,810)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52,466,941</w:t>
            </w:r>
          </w:p>
        </w:tc>
        <w:tc>
          <w:tcPr>
            <w:tcW w:w="4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19,937,500</w:t>
            </w:r>
          </w:p>
        </w:tc>
        <w:tc>
          <w:tcPr>
            <w:tcW w:w="5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195,803</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195,810</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equity infusion from the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56,708,872</w:t>
            </w:r>
          </w:p>
        </w:tc>
        <w:tc>
          <w:tcPr>
            <w:tcW w:w="4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501,164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501,170</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Majelac Technologies LLC</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010101"/>
              </w:rPr>
              <w:t>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535,715</w:t>
            </w:r>
          </w:p>
        </w:tc>
        <w:tc>
          <w:tcPr>
            <w:tcW w:w="4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4,232</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4,232</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24,918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24,918</w:t>
            </w:r>
          </w:p>
        </w:tc>
      </w:tr>
      <w:tr>
        <w:trPr>
          <w:trHeight w:val="27"/>
        </w:trPr>
        <w:tc>
          <w:tcPr>
            <w:tcW w:w="2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w w:val="91"/>
              </w:rPr>
              <w:t>Balance - December 31, 2021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010101"/>
                <w:w w:val="95"/>
              </w:rPr>
              <w:t>118,025,410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010101"/>
                <w:w w:val="99"/>
              </w:rPr>
              <w:t>12</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w w:val="93"/>
              </w:rPr>
              <w:t>19,937,500</w:t>
            </w:r>
          </w:p>
        </w:tc>
        <w:tc>
          <w:tcPr>
            <w:tcW w:w="5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2</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744,252</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010101"/>
              </w:rPr>
              <w:t>(267,232)</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010101"/>
              </w:rPr>
              <w:t>477,034</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010101"/>
              </w:rPr>
              <w:t>(132,442)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(132,442)</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010101"/>
              </w:rPr>
              <w:t>and vesting of restricted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stock units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010101"/>
              </w:rPr>
              <w:t>1,921,824</w:t>
            </w:r>
          </w:p>
        </w:tc>
        <w:tc>
          <w:tcPr>
            <w:tcW w:w="4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2,757</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2,757</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Majelac Technologies LLC</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59,523</w:t>
            </w:r>
          </w:p>
        </w:tc>
        <w:tc>
          <w:tcPr>
            <w:tcW w:w="4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151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151</w:t>
            </w: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010101"/>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6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11,206</w:t>
            </w:r>
          </w:p>
        </w:tc>
        <w:tc>
          <w:tcPr>
            <w:tcW w:w="18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11,206</w:t>
            </w:r>
          </w:p>
        </w:tc>
      </w:tr>
      <w:tr>
        <w:trPr>
          <w:trHeight w:val="256"/>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010101"/>
                <w:w w:val="91"/>
              </w:rPr>
              <w:t>Balance - December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5"/>
              </w:rPr>
              <w:t>120,006,757</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3"/>
              </w:rPr>
              <w:t>19,937,500</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758,366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(399,674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358,706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(94,989)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(36,613)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Loss on marketable securities (realized and unrealized)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5,023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stock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24,918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(4,893)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 assets - related party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(90,560)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(66,813)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(834)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(440,542)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of marketable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Business acquisition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(4,632)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137,185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(450,937)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35,311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equity infusion from the Business Combination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512,788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issuance of notes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notes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Stock issuance costs for Series E convertible preferred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 business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 of deferred consideration - business acquisition</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1,909</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516,625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37,014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48,534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36,910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32,930</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84,319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35,785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exchange of research and development tax credits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acquisition of property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Forgiveness of related party promissory notes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equity issuance - business acquisition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Noncash equity related warrants from the Business Combination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the convertible preferred stock into Class A and Class B common stock</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Noncash contingent consideration and holdbacks - business acquisition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2022 AND 2021 AND FOR THE 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Quantum-Si Incorporated (including its subsidiaries, the “Company” or “Quantum-Si”) was originally incorporated in Delaware on June 10, 2020 as a special purpose acquisition company under the name HighCape Capital Acquisition Corp. (“HighCape”) for the purpose of effecting a merger, capital stock exchange, asset acquisition, stock purchase, reorganization or similar business combination involving HighCape and one or more businesses. On June 10, 2021 (the “Closing”), the Company consummated the transaction contemplated by the Business Combination Agreement, dated February 18, 2021 (the “Business Combination Agreement”), by and among HighCape, Tenet Merger Sub, Inc., a Delaware corporation (“Merger Sub”) and Quantum-Si Incorporated, a Delaware corporation (“Legacy Quantum-Si”).</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terms of the Business Combination Agreement, a business combination between HighCape was affected through the merger of Merger Sub with and into Legacy Quantum-Si, with Legacy Quantum-Si surviving as the surviving company and a wholly owned subsidiary of HighCape (the “Merger” and collectively with the other transaction described in the Business Combination Agreement, the “Business Combination”). Effective as of the Closing, HighCape changed its name to Quantum-Si Incorporated and Legacy Quantum-Si changed its name to Q-SI Operations Inc. The financial information prior to the Business Combination represents the financial results and condition of Legacy Quantum-Si.</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impacts,including inflation on product and service costs.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estimates of the impact on the Company’s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the Company’s operations to date. While the Company is unable to predict the full impact that the COVID-19 pandemic will have on the Company’s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the Company’s operating results, financial condition, and cash flows.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Global Developments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the Company has no operations in or direct exposure to Russia or Ukraine, the Company has experienced some constraints in product and material availability and increasing costs required to obtain some materials and supplies as a result of the Russia-Ukraine military conflict on the global economy. To date, the Company’s business has not been materially impacted by the conflict, however, as the conflict continues or worsens, it may impact the Company’s business,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and marketable securities. As of December 31, 2022 and 2021, substantially all of the Company’s marketable securities were invested in fixed income mutual funds at one financial institution. The Company also maintains balances in certain operating accounts above federally insured limits. After considering the dividend income derived from such investments, the Company has not recognized any significant realized losses on such accounts and does not believe it is exposed to any significant credit risk on cash and cash equivalents and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for consistency with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U.S. GAAP requires the Company to make estimates and assumptions about future events that affect the amounts reported in its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49"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valuation allowances with respect to deferred tax assets;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valuation for acquisitions;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valuation of goodwill;</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assumptions used for leases;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valuation of warrant liabilities;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the stock-based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consolidated financial statements.</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highly liquid investments purchased with a maturity of three months or less are cash equivalents. At December 31, 2022 and 2021, cash and cash equivalents consist principally of cash and short-term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Prepaid expenses and other current assets include amounts paid in advance for operating expenses as well as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consolidated statements of operations and comprehensive loss in the annual period the corresponding expenses were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Company’s international operations, the local currency has been determined to be the functional currency. The results of its non-U.S. dollar-based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Translation adjustments are reflected in Stockholders’ equity and are included as a component of Other comprehensive (loss)/income. The translational effects of revaluing non-functional currency assets and liabilities into the functional currency are recorded as Other (expense), net in the consolidated statements of operations and comprehensive loss.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realizes foreign currency gains/(losses) in the normal course of business based on movement in the applicable exchange rates. These transactional gains/(losses) are included as a component of Other (expense), net in the consolidated statements of operations and comprehensive loss. As of December 31, 2022 and 2021 and for the years ended December 31, 2022, 2021 and 2020, there was no material effect of foreign currency translation and transactions on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investments in marketable securities are classified as trading securities and consist of ownership interests in fixed income mutual funds. The securities are stated at fair value, as determined by quoted market prices. As the securities have readily determinable fair value, unrealized gains and losses are reported as Other (expense), net on the consolidated statements of operations and comprehensive loss. Subsequent gains or losses realized upon redemption or sale of these securities are also recorded as Other (expense), net on the consolidated statements of operations and comprehensive loss. Dividends on marketable securities are recognized as income when declared. The Company considers all of its investments in marketable securities as available for use in current operations and therefore classifies these securities within current assets on the consolidated balance sheets.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2022, 2021 and 2020, the Company reported unrealized losses of $16,161, $5,023 and $0, respectively, related to securities held as of December 31, 2022, 2021 and 2020. Realized losses related to securities that matured or were sold during the year ended December 31, 2022 were $4,442. There were no realized losses related to securities that matured or were sold during the years ended December 31, 2021 and 2020. For the years ended December 31, 2022, 2021 and 2020, the Company recognized $5,301, $2,549 and $97, respectively, in dividend income from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expense is computed using the straight-line method over the estimated useful lives of the related assets. Leasehold improvements are amortized over the shorter of the asset’s useful life or the life of the lease term.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Useful lives of property and equipment are as follows:</w:t>
            </w:r>
          </w:p>
        </w:tc>
        <w:tc>
          <w:tcPr>
            <w:tcW w:w="4260" w:type="dxa"/>
            <w:vAlign w:val="bottom"/>
          </w:tcPr>
          <w:p>
            <w:pPr>
              <w:spacing w:after="0"/>
              <w:rPr>
                <w:sz w:val="20"/>
                <w:szCs w:val="20"/>
                <w:color w:val="auto"/>
              </w:rPr>
            </w:pPr>
          </w:p>
        </w:tc>
      </w:tr>
      <w:tr>
        <w:trPr>
          <w:trHeight w:val="439"/>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4260" w:type="dxa"/>
            <w:vAlign w:val="bottom"/>
          </w:tcPr>
          <w:p>
            <w:pPr>
              <w:jc w:val="right"/>
              <w:ind w:right="1250"/>
              <w:spacing w:after="0"/>
              <w:rPr>
                <w:sz w:val="20"/>
                <w:szCs w:val="20"/>
                <w:color w:val="auto"/>
              </w:rPr>
            </w:pPr>
            <w:r>
              <w:rPr>
                <w:rFonts w:ascii="Arial" w:cs="Arial" w:eastAsia="Arial" w:hAnsi="Arial"/>
                <w:sz w:val="18"/>
                <w:szCs w:val="18"/>
                <w:b w:val="1"/>
                <w:bCs w:val="1"/>
                <w:color w:val="auto"/>
              </w:rPr>
              <w:t>Estimated useful life</w:t>
            </w:r>
          </w:p>
        </w:tc>
      </w:tr>
      <w:tr>
        <w:trPr>
          <w:trHeight w:val="216"/>
        </w:trPr>
        <w:tc>
          <w:tcPr>
            <w:tcW w:w="6760" w:type="dxa"/>
            <w:vAlign w:val="bottom"/>
            <w:tcBorders>
              <w:top w:val="single" w:sz="8" w:color="auto"/>
            </w:tcBorders>
            <w:shd w:val="clear" w:color="auto" w:fill="CDEEFF"/>
          </w:tcPr>
          <w:p>
            <w:pPr>
              <w:spacing w:after="0"/>
              <w:rPr>
                <w:sz w:val="20"/>
                <w:szCs w:val="20"/>
                <w:color w:val="auto"/>
              </w:rPr>
            </w:pPr>
            <w:r>
              <w:rPr>
                <w:rFonts w:ascii="Arial" w:cs="Arial" w:eastAsia="Arial" w:hAnsi="Arial"/>
                <w:sz w:val="18"/>
                <w:szCs w:val="18"/>
                <w:color w:val="auto"/>
              </w:rPr>
              <w:t>Laboratory and production equipment</w:t>
            </w:r>
          </w:p>
        </w:tc>
        <w:tc>
          <w:tcPr>
            <w:tcW w:w="220" w:type="dxa"/>
            <w:vAlign w:val="bottom"/>
            <w:tcBorders>
              <w:top w:val="single" w:sz="8" w:color="CDEEFF"/>
            </w:tcBorders>
            <w:shd w:val="clear" w:color="auto" w:fill="CDEEFF"/>
          </w:tcPr>
          <w:p>
            <w:pPr>
              <w:spacing w:after="0"/>
              <w:rPr>
                <w:sz w:val="18"/>
                <w:szCs w:val="18"/>
                <w:color w:val="auto"/>
              </w:rPr>
            </w:pPr>
          </w:p>
        </w:tc>
        <w:tc>
          <w:tcPr>
            <w:tcW w:w="4260" w:type="dxa"/>
            <w:vAlign w:val="bottom"/>
            <w:tcBorders>
              <w:top w:val="single" w:sz="8" w:color="auto"/>
            </w:tcBorders>
            <w:shd w:val="clear" w:color="auto" w:fill="CD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426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6980" w:type="dxa"/>
            <w:vAlign w:val="bottom"/>
            <w:gridSpan w:val="2"/>
            <w:shd w:val="clear" w:color="auto" w:fill="CDEEFF"/>
          </w:tcPr>
          <w:p>
            <w:pPr>
              <w:spacing w:after="0"/>
              <w:rPr>
                <w:sz w:val="20"/>
                <w:szCs w:val="20"/>
                <w:color w:val="auto"/>
              </w:rPr>
            </w:pPr>
            <w:r>
              <w:rPr>
                <w:rFonts w:ascii="Arial" w:cs="Arial" w:eastAsia="Arial" w:hAnsi="Arial"/>
                <w:sz w:val="18"/>
                <w:szCs w:val="18"/>
                <w:color w:val="auto"/>
              </w:rPr>
              <w:t>Software</w:t>
            </w:r>
          </w:p>
        </w:tc>
        <w:tc>
          <w:tcPr>
            <w:tcW w:w="4260" w:type="dxa"/>
            <w:vAlign w:val="bottom"/>
            <w:shd w:val="clear" w:color="auto" w:fill="CDEEFF"/>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26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Expenditures for major renewals and improvements are capitalized. Expenditures for repairs and maintenance are expensed as incurred. Costs for property and equipment not yet placed into service have been recorded as construction in process and will be depreciated in accordance with the above guidelines once placed into service. When assets are retired or otherwise disposed of, the cost of these assets and related accumulated depreciation and amortization is eliminated from the balance sheet, and any resulting gains or losses are included in the consolidated statements of operations and comprehensive loss in the period of disposal.</w:t>
      </w:r>
    </w:p>
    <w:p>
      <w:pPr>
        <w:sectPr>
          <w:pgSz w:w="11900" w:h="16838" w:orient="portrait"/>
          <w:cols w:equalWidth="0" w:num="1">
            <w:col w:w="11240"/>
          </w:cols>
          <w:pgMar w:left="320" w:top="121"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adopted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effective December 31, 2021, when the Company lost its emerging growth company status. The Company’s adoption of ASU 2016-02 was effective retrospectively to January 1, 2021, the beginning of the year. In accordance with ASU 2016-02, for arrangements in existence as of January 1, 2021 and any new arrangements entered into thereafter, the Company determines if an arrangement is a lease at inception and records right-of-use (“ROU”) assets and lease liabilities on the consolidated balance sheets at lease commencement. The capital lease became a finance lease by establishing the ROU asset and liability which was not material to the consolidated balance sheets as of January 1, 2021. Prior periods presented in the Company’s consolidated financial statements continue to be presented in accordance with the former lease standard, Accounting Standards Codification “ASC” Topic 840, Leases (“ASC 840”).</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lease agreements contain tenant improvement incentives and allowances, rent holidays, or rent escalation clauses. For tenant improvement incentives, if the incentive is determined to be a leasehold improvement owned by the lessee and the Company is reasonably certain to use the incentive, the Company generally records the incentive as a reduction to the fixed lease payments liability as a reduction to lease cost. Reimbursable construction costs incurred are recorded as leasehold improvements and are amortized over the term of the lease.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year ended December 31, 2020, leases were evaluated and classified as operating leases or capital leases for financial reporting purposes. Leases that met one or more of the capital lease criteria under this guidance were recorded as capital leases. All other leases were recorded as operating leases. The Company recorded each capital lease as an asset and an obligation at an amount that is equal to the present value of the minimum lease payments over the lease term. The Company’s operating leases were short term in nature as they had month-to-month rental terms. The Company expensed monthly rental payments as incurred in Selling, general and administrative and in Research and development in the consolidated statements of operations and comprehensive loss. The Company’s lease agreements contain variable lease costs for common area maintenance, utilities, taxes and insurance, which were expensed as incurred. The Company had a capital lease which has been recorded on the consolidated balance sheets as of December 31, 2020 and became a finance lease as of the transition date of January 1, 2021. The capital lease became a finance lease by establishing the ROU asset and liability which was not material to the consolidated balance sheets. There were no finance leases as of December 31, 2022 or 2021.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its adoption of the new lease standard effective January 1, 2021, the Company has implemented new accounting policies and processes which changed the Company’s internal control over financial reporting for lease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which represents the excess of purchase price over the fair value of net assets acquired, is carried at cost. Goodwill is not amortized; rather, it is subject to a periodic assessment for impairment by applying a fair value-based test. Beginning in 2022, the Company reviews goodwill for possible impairment annually during the fourth quarter as of October 1, or whenever events or circumstances indicate that the carrying amount may not be recoverable.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Further testing is only required if the entity determines, based on the qualitative assessment, that it is more likely than not that a reporting unit’s fair value is less than its carrying amount. Otherwise, no further impairment testing is required.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Majelac Technologies LLC (“Majelac”) was fully integrated into the Company after the acquisition. As a result, the Company operates as a single reporting unit. Accordingly, all of the goodwill is associated with the entire Company. The Company performed its annual goodwill impairment test during the fourth quarter of 2022 quantitatively evaluating its reporting unit. The Company determined the fair value of its reporting unit using a combination of the income and market approaches. The Company placed a 100% weighting on the market approach method, as the results of the income approach were not representative of the fair value of the Company. The determination of fair value using a market approach requires management to make significant assumptions related to the determination of an appropriate group of peer companies, and market revenue multiples from within the selected group of peer companies. As of October 1, 2022, the carrying value of the net asset of the Company’s reporting unit exceeded its enterprise wide fair value and the Company recognized a goodwill impairment charge, fully impairing goodwill of $9,483 on the consolidated statements of operations and comprehensive loss for the year ended December 31, 2022. No impairments were recorded for the years ended December 31,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years ended December 31, 2022,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considered costs of software to be sold, leased, or marketed. For the years ended December 31, 2022, 2021 and 2020, the Company had not yet achieved technical feasibility and therefore, all costs were expensed in research and development. With respect to costs of software developed for internal use, the Company determined that all costs for the years ended December 31, 2022, 2021 and 2020 were in the preliminary project stage and not eligible for capitalization and therefore expensed as incurred in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All of our research and development expenses are related to developing new products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primarily consist of personnel costs and benefits, stock-based compensation, patent and filing fees, consulting and professional services,legal and accounting services, facilities costs, depreciation and amortization expense, insurance and office expenses, product advertising and marketing.Advertising costs are expensed as incurred. For the years ended December 31, 2022, 2021 and 2020, advertising expenses were $7, $0 and $87,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without consideration of potentially dilutive securities.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is computed by dividing the net loss attributable to common stockholders by the weighted average number of common shares plus the common equivalent shares of the period, including any dilutive effect from such shares. The Company’s diluted net loss per share is the same as basic net loss per share for all periods presented, since the effect of potentially dilutive securities is anti-dilutive. Refer to Note 11, “Net Loss Per Share”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applied the guidance in ASC Topic 480-10-S99-3A, </w:t>
      </w:r>
      <w:r>
        <w:rPr>
          <w:rFonts w:ascii="Arial" w:cs="Arial" w:eastAsia="Arial" w:hAnsi="Arial"/>
          <w:sz w:val="17"/>
          <w:szCs w:val="17"/>
          <w:i w:val="1"/>
          <w:iCs w:val="1"/>
          <w:color w:val="auto"/>
        </w:rPr>
        <w:t>SEC Staff Announcement: Classification and Measurement of Redeemable Securities</w:t>
      </w:r>
      <w:r>
        <w:rPr>
          <w:rFonts w:ascii="Arial" w:cs="Arial" w:eastAsia="Arial" w:hAnsi="Arial"/>
          <w:sz w:val="17"/>
          <w:szCs w:val="17"/>
          <w:color w:val="auto"/>
        </w:rPr>
        <w:t>, and had therefore classified the Series A, Series B, Series C, Series D, and Series E Convertible Preferred Stock (“Convertible Preferred Stock”) as mezzanine equity. The Convertible Preferred Stock was recorded outside of stockholders’ equity (deficit) because the Convertible Preferred Stock included a redemption provision upon a change of control, which was deemed a liquidation event that was considered outside the Company’s control. The Convertible Preferred Stock was recorded at their original issue price, net of issuance costs. The Company did not adjust the carrying values of the Convertible Preferred Stock to the liquidation price associated with a change of control because a change of control of the Company was not considered probable as of December 31, 2020. Subsequent adjustments to increase or decrease the carrying values to their respective liquidation prices were made when the change of control occurred in June 2021.</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accounted for stock-based compensation to employees, non-employee directors and non-employees granted share-based payments for services in accordance with ASU 2018-07, Compensation — Stock Compensation (Topic 718). After the Business Combination, the Company estimates the fair value of stock option awards using the Black-Scholes option pricing model on the date of the grant. Restricted stock unit awards (“RSUs”) are based on the closing price of the Company’s common stock on the date of the grant. Stock options granted to employees generally fully vest over four years and have a term of ten years. The fair value of awards with market conditions is primarily estimated using the Monte Carlo simulation method and expensed on a straight-line or graded accelerated basis over the requisite service period of the award. The Company accounts for all forfeitures when they occur.</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stock-based compensation expense for stock option grants with only service conditions on a straight-line basis over the requisite service period of the individual grants, which is generally the vesting period, based on the estimated grant date fair values. The Company recognizes stock-based compensation expense for stock option grants subject to non-financing event performance conditions on an accelerated basis as though each separate vesting portion of the award was, in substance, a separate award. Under this guidance, the existing employee guidance will now apply to non-employee share-based transactions. For nonemployee awards that had been issued prior to adoption of ASU 2018-07 and remained outstanding subsequent to adoption, the Company utilized the adoption date fair value of the nonemployee awards as a substitute for grant date fair value for future compensation expense recognition as permitted under the transition guidance. The Company recognizes the effect of forfeiture in compensation costs based on actual forfeitures when they occur.</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the Business Combination, the fair value of the shares of common stock underlying stock options had historically been determined by the Board of Directors (the “Board”), with input from management and contemporaneous third-party valuations, as there was no public market for the common stock. Given the absence of a public trading market for the Company’s common stock, and in accordance with the American Institute of Certified Public Accountants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the Board exercised reasonable judgment and considered numerous objective and subjective factors to determine the best estimate of the fair value of the Company’s common stock at each option grant date.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valuing the Company’s common stock for 2020, the Board determined the value using the market approach-subject company transaction method. Under this method, the Company “solved for” the total equity value which allocates a probability-weighted present value to the Series E convertible preferred stockholders consistent with the investment amount of the financing round that was known at the respective valuation date.</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Application of this approach involves the use of estimates, judgment and assumptions that are highly complex and subjective, such as market multiples, the selection of comparable companies and the probability of possible future events. Changes in any or all these estimates and assumptions or the relationships among those assumptions could have a material impact on the valuation of the Company’s common stock as of each valuation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utilizes the asset and liability method of accounting for income taxes, as set forth in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2022 and 2021, the Company had no uncertain tax positions.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outstanding warrants include publicly 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Company evaluated its warrants under ASC 815-40,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Hedging-Contracts in Entity’s Own Equity </w:t>
      </w:r>
      <w:r>
        <w:rPr>
          <w:rFonts w:ascii="Arial" w:cs="Arial" w:eastAsia="Arial" w:hAnsi="Arial"/>
          <w:sz w:val="17"/>
          <w:szCs w:val="17"/>
          <w:color w:val="auto"/>
        </w:rPr>
        <w:t>(“ASC 815-40”) and concluded that they do not meet the criteria to be classified in stockholders’ equity. Since</w:t>
      </w:r>
      <w:r>
        <w:rPr>
          <w:rFonts w:ascii="Arial" w:cs="Arial" w:eastAsia="Arial" w:hAnsi="Arial"/>
          <w:sz w:val="17"/>
          <w:szCs w:val="17"/>
          <w:i w:val="1"/>
          <w:iCs w:val="1"/>
          <w:color w:val="auto"/>
        </w:rPr>
        <w:t xml:space="preserve"> </w:t>
      </w:r>
      <w:r>
        <w:rPr>
          <w:rFonts w:ascii="Arial" w:cs="Arial" w:eastAsia="Arial" w:hAnsi="Arial"/>
          <w:sz w:val="17"/>
          <w:szCs w:val="17"/>
          <w:color w:val="auto"/>
        </w:rPr>
        <w:t>the Public Warrants and Private Warrants meet the definition of a derivative under ASC 815-40, the Company recorded these warrants as long-term liabilities on the consolidated balance sheet at fair value upon the Closing of the Business Combination, with subsequent changes in their respective fair values recognized in the consolidated statements of operations and comprehensive loss at each reporting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new accounting pronouncement issued or effective during the year ended December 31, 2022 had, or is expected to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 “Organization and Description of Business,” on June 10, 2021, the Company consummated the Business Combination, with Legacy Quantum-Si surviving the Merger as a wholly owned subsidiary of the Company.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Business Combination Agreement, at the effective time of the Merger (the “Effective Time”), each share of Legacy Quantum-Si capital stock (other than shares of Legacy Quantum-Si Series A preferred stock) that was issued and outstanding was automatically cancelled and extinguished and converted into the right to receive 0.7975 (the “Exchange Ratio”) shares of the Company’s Class A common stock, and each share of Legacy Quantum-Si Series A preferred stock that was issued and outstanding was automatically cancelled and extinguished and converted into the right to receive the number of shares of the Company’s Class B common stock equal to the Exchange Ratio.</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shares of the Company’s Class A common stock outstanding immediately following the Closing was 116,463,160, and the total number of the Company’s Class B common stock outstanding immediately following the Closing was 19,937,500.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Business Combination, certain institutional investors purchased from the Company an aggregate of 42,500,000 shares of the Company’s Class A common stock for a purchase price of $10.00 per share and an aggregate purchase price of $425,001 pursuant to separate subscription agreements entered into effective as of February 18, 2021. In addition, pursuant to subscription agreements entered into effective as of February 18, 2021, certain affiliates of Foresite Capital Management, LLC purchased an aggregate of 696,250 shares of the Company’s Class A common stock at a purchase price of $0.001 per share for aggregate purchase price of $1 after a corresponding number of shares of the Company’s Class A common stock was irrevocably forfeited by the Sponsor to HighCape for no consideration and automatically cancelled.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Business Combination was accounted for as a reverse recapitalization in accordance with U.S. GAAP primarily due to the fact that Legacy Quantum-Si stockholders continued to control the Company following the Closing of the Business Combination. Under this method of accounting, HighCape was treated as the “acquired” company for accounting purposes and the Business Combination was treated as the equivalent of Legacy Quantum-Si issuing stock for the net assets of HighCape, accompanied by a recapitalization. The net assets of HighCape were stated at historical cost, with no goodwill or other intangible assets recorded. Reported shares and earnings per share available to holders of the Company’s capital stock and equity awards prior to the Business Combination were retroactively restated reflecting the Exchange Ratio.</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the Company’s certificate of incorporation was amended and restated to, among other things, adopt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and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right="9160" w:firstLine="8"/>
        <w:spacing w:after="0" w:line="503" w:lineRule="auto"/>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Majelac Technologies LLC</w:t>
      </w:r>
    </w:p>
    <w:p>
      <w:pPr>
        <w:jc w:val="both"/>
        <w:spacing w:after="0" w:line="269" w:lineRule="auto"/>
        <w:rPr>
          <w:sz w:val="20"/>
          <w:szCs w:val="20"/>
          <w:color w:val="auto"/>
        </w:rPr>
      </w:pPr>
      <w:r>
        <w:rPr>
          <w:rFonts w:ascii="Arial" w:cs="Arial" w:eastAsia="Arial" w:hAnsi="Arial"/>
          <w:sz w:val="17"/>
          <w:szCs w:val="17"/>
          <w:color w:val="auto"/>
        </w:rPr>
        <w:t>Pursuant to the terms and conditions of an Asset Purchase Agreement by and among the Company, Majelac, and certain other parties, on November 5, 2021 (the “Majelac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initially valued at $471 were issued to Majelac 12 months after the Majelac Closing Date on November 7, 2022. The Company also assumed the legal fees of Majelac of $50. Additional purchase price consideration of $500 in cash was to be paid six months after the Majelac Closing Date less any amount that could be required by the buyer indemnitees to satisfy any unresolved claims for indemnification, if any. The Company agreed to pay additional milestone-based consideration of up to $800, which was fair valued at $531. On May 4, 2022, the Company paid Majelac $900 in cash, which consisted of $500 for the additional purchase price consideration and $400 (fair value of $348 at the Majelac Closing Date) for the first of two milestones that was met.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brought semiconductor chip assembly and packaging capabilities in-house to secure the Company’s supply chain and support its commercialization efforts. Prior to the acquisition, Majelac was a vendor of the Company.</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at the Majelac Closing Date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 Allocation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 w:type="dxa"/>
            <w:vAlign w:val="bottom"/>
            <w:tcBorders>
              <w:top w:val="single" w:sz="8" w:color="auto"/>
            </w:tcBorders>
            <w:gridSpan w:val="2"/>
          </w:tcPr>
          <w:p>
            <w:pPr>
              <w:jc w:val="right"/>
              <w:ind w:right="62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906</w:t>
            </w:r>
          </w:p>
        </w:tc>
      </w:tr>
      <w:tr>
        <w:trPr>
          <w:trHeight w:val="237"/>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10,416</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 w:right="3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 During the fourth quarter ended December 31, 2022, the Company concluded the goodwill from the Majelac acquisition was fully impaired and recorded a charge of $9,483 on the consolidated statements of operations and comprehensive loss.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Acquisition-related costs recognized during the years ended December 31, 2022 and 2021 including transaction costs such as legal, accounting, valuation and other professional services, were $26 and $106, respectively, and are included in Selling, general and administrative on the consolidated statements of operations and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Valuations based on inputs that are supported by little or no market activity and that are significant to the fair value of the assets or liabilities.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value of cash and cash equivalents, accounts payable and accrued expenses and other current liabilities approximates their fair values due to the short-term or on demand nature of these instruments. Fixed income mutual funds were valued using quoted market prices and accordingly were classified as Level 1.There were no transfers between fair value measurement levels during the years ended December 31, 2022 and 2021.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accounted for the warrants as liabilities in accordance with ASC 815-40 and are presented as Warrant liabilities on the consolidated balance sheets. The warrant liabilities are measured at fair value at inception and on a recurring basis, with changes in fair value presented as Change in fair value of warrant liabilities in the consolidated statements of operations and comprehensive loss.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Public Warrants and Private Warrants were carried at fair value as of December 31, 2022 and 2021.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December 31, 2022, the significant assumptions used in preparing the binomial lattice model for valuing the Private Warrants liability include (i) volatility of 75.1%, (ii) risk-free interest rate of 4.10%, (iii) strike price of $11.50, (iv) fair value of common stock of $1.83, and (v) expected life of 3.4 years. As of December 31, 2021, the significant assumptions used in preparing the binomial lattice model for valuing the Private Warrants liability include (i) volatility of 51.4%, (ii) risk-free interest rate of 1.18%, (iii) strike price of $11.50, (iv) fair value of common stock of $7.87, and (v) expected life of 4.4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Money Market</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83,079</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83,079</w:t>
            </w:r>
          </w:p>
        </w:tc>
        <w:tc>
          <w:tcPr>
            <w:tcW w:w="1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266,990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266,990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350,069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350,069</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left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958</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2"/>
              </w:rPr>
              <w:t>Fair Value Measurement Level</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w w:val="98"/>
              </w:rPr>
              <w:t>Level 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Money Market</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33,965</w:t>
            </w: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435,519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435,519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left w:val="single" w:sz="8" w:color="CCEEFF"/>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6,900</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6,900</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7,239</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6,900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00" w:type="dxa"/>
            <w:vAlign w:val="bottom"/>
            <w:gridSpan w:val="5"/>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equipment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(6,203)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left w:val="single" w:sz="8" w:color="CCEEFF"/>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16,849</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 amounted to $2,584, $1,041 and $894 for the years ended December 31, 2022, 2021 and 2020, respectively. The Company had losses on disposals of $91 relating to property and equipment of $347 with accumulated depreciation and amortization of $256 for the year ended December 31, 2022. The Company had losses on disposals of $70 relating to property and equipment of $468 with accumulated depreciation and amortization of $398 for the year ended December 31, 2021. The losses on disposals were not material for the year ended December 31,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Contracted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costs and contingencies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Legal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10,434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7,276</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commitments under lease arrangements for office and manufacturing space and office equipment. The Company’s leases have initial lease terms ranging from one year to 10 years. These leases include options to extend or renew the leases for an additional period of one to 10 years.</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leases are accounted for on the consolidated balance sheets with ROU assets being recognized in “Operating lease right-of-use assets” and lease liabilities recognized in “Short-term operating lease liabilities” and “Operating lease liabilities”. Lease-related costs are included in Research and development and Selling, general and administrative in the consolidated statements of operations and comprehensive loss.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Lease-related costs for the years ended December 31, 2022 and 2021 are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4,997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1,217</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Other information related to operating leases as of December 31, 2022 and 2021 is as follows:</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0" w:type="dxa"/>
            <w:vAlign w:val="bottom"/>
          </w:tcPr>
          <w:p>
            <w:pPr>
              <w:spacing w:after="0"/>
              <w:rPr>
                <w:sz w:val="24"/>
                <w:szCs w:val="2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7.3</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5"/>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68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certain cash flow and supplemental cash flow information related to the Company’s lease liabilities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49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paid to settle operating lease liabilities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9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7,388</w:t>
            </w:r>
          </w:p>
        </w:tc>
      </w:tr>
      <w:tr>
        <w:trPr>
          <w:trHeight w:val="569"/>
        </w:trPr>
        <w:tc>
          <w:tcPr>
            <w:tcW w:w="4940" w:type="dxa"/>
            <w:vAlign w:val="bottom"/>
          </w:tcPr>
          <w:p>
            <w:pPr>
              <w:spacing w:after="0"/>
              <w:rPr>
                <w:sz w:val="24"/>
                <w:szCs w:val="24"/>
                <w:color w:val="auto"/>
              </w:rPr>
            </w:pPr>
          </w:p>
        </w:tc>
        <w:tc>
          <w:tcPr>
            <w:tcW w:w="3820" w:type="dxa"/>
            <w:vAlign w:val="bottom"/>
          </w:tcPr>
          <w:p>
            <w:pPr>
              <w:jc w:val="right"/>
              <w:ind w:right="2979"/>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
        </w:trPr>
        <w:tc>
          <w:tcPr>
            <w:tcW w:w="494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0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leases as of December 31, 2022 are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10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2024</w:t>
            </w:r>
          </w:p>
        </w:tc>
        <w:tc>
          <w:tcPr>
            <w:tcW w:w="9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2026</w:t>
            </w:r>
          </w:p>
        </w:tc>
        <w:tc>
          <w:tcPr>
            <w:tcW w:w="9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9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19"/>
                <w:szCs w:val="19"/>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35,140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Lease incentives (1)</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17,446</w:t>
            </w: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tabs>
          <w:tab w:leader="none" w:pos="32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8"/>
          <w:szCs w:val="18"/>
          <w:color w:val="auto"/>
        </w:rPr>
        <w:t>Includes lease incentives that may be realized in 2023 for the costs of leasehold improvements.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ASC 840 was $483 for the year ended December 31, 2020.</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2021, the Company signed a 10-year lease for approximately 67,000 square feet of space located at 115 Munson Street in New Haven, Connecticut (“New Haven”). The lease commenced on January 8, 2022 with rent payments beginning on July 7, 2022. Under the lease, the landlord agreed to reimburse the Company for up to $9,104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accounted for the $9,104 of lease incentives as an offset to the lease liability recorded at the inception of the lease. The Company has also incurred and recognized leasehold improvements of approximately $1,100 related to reimbursable construction costs included in construction in progress within property and equipment, net on the consolidated balance sheets as of December 31, 2022. Based on the current status of the litigation, the Company cannot determine the likely outcome or estimate the impact on such carrying values.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Company had authorized 600,000,000 shares of Class A common stock at $0.0001 par value per share, of which a total of 120,006,757 and 118,025,410 shares were outstanding,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Class A common stock will be entitled to cast one vote per Class A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will not be entitled to cumulate their votes in the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out of funds legally available therefore,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Company had authorized 27,000,000 shares of Class B common stock at $0.0001 par value per share, of which a total of 19,937,500 shares were outstanding for both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Class B common stock will be entitled to cast 20 votes per share of Class B common stock.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2022 and 2021, the Company had authorized 1,000,000 shares of preferred stock at $0.0001 par value per share, of which a total of 0 shares were outstanding for both years.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Preferred stock may be issued from time to time in one or more series. Any shares of preferred stock which may be redeemed, purchased or acquired by the Company may be reissued except as otherwise provided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December 31, 2022 and 2021, there were 9,133,702 and 11,891,127 shares, respectively, available for issuance under the 2021 Plan.</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9, 2022, the Company granted its Chief Executive Officer two grants of 1,390,000 each for a total of 2,780,000 performance-based stock options to purchase shares of Class A common stock. These awards are inducement awards pursuant to Nasdaq Rule 5635(c)(4) and the stock options were not granted pursuant to the 2013 Plan or the 2021 Plan. There are no other shares available for issuance associated with these inducement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2022, the Company granted 14,271,330 stock option awards to participants with vesting subject to the participant’s continued employment with the Company through the applicable vesting date, which included 2,000,000 and 6,950,000 stock options granted to the President and Chief Operating Officer and Chief Executive Officer of the Company, respectively, subject to service and/or market conditions. The 6,950,000 stock options granted to the Chief Executive Officer include 4,170,000 stock options issued from the 2021 Plan and 2,780,000 stock options which are inducement awards as described above. The service conditions require the participant’s continued employment with the Company through the applicable vesting date. The market conditions require that the Company’s Class A common stock trades above a specified level for a defined period of time. The fair value of awards with market conditions is estimated using the Monte Carlo simulation method.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2021, the Company granted 3,514,510 option awards subject to service and/or performance conditions. The service condition requires the participant’s continued employment with the Company through the applicable vesting date, and the performance condition requires the consummation of a contemplated business combination defined in the option award agreement. For options with performance conditions, stock-based compensation expense is only recognized if the performance conditions become probable to be satisfied. As the performance condition was a business combination, the performance condition would only become probable once a business combination was consummated. Accordingly, the Company recorded stock-based compensation expense of $3,080 for options awards for the year ended December 31, 2021 as the Business Combination was consummated during this time period.</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years ended December 31, 2020 and 2019, the Company granted 59,811 and 478,498 option awards subject to certain performance conditions, respectively. The performance conditions required the Company to announce at the Advances in Genome Biology and Technology conference (“AGBT”) and commence commercial sales during the year ended December 31, 2020. For options with performance conditions, stock-based compensation expense is only recognized if the performance conditions become probable to be satisfied. Upon becoming probable, the Company recognizes compensation expense equal to the grant date fair value of the option awards over the associated service period. If there are changes in the number of option awards that are expected to vest due to changes in the probability of certain performance conditions being satisfied, an adjustment to stock-based compensation expense will be recognized as a change in accounting estimate in the period that such probability changes. The Company accrued $295 of stock compensation expense during the year ended December 31, 2019 as it believed it was probable the performance conditions would be met. This stock compensation expense was then subsequently reversed during the year ended December 31, 2020 as the performance conditions were determined to be improbable to be met. All of the performance-based awards granted during the years ended December 31, 2020 and 2019 were cancelled on December 31, 2020.</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awards discussed in the aforementioned paragraph, during the year ended December 31, 2019 the Company granted approximately 205,000 option awards subject to a single performance-based condition, the completion of a financing event as defined in the option award agreement. The achievement of the performance condition was not deemed satisfied for the years ended December 31, 2020 and 2019, as the completion of a financing event was not deemed probable until consummated. Thus, the Company did not record stock-based compensation expense with regards to these option awards. For the year ended December 31, 2021, the Company recorded stock-based compensation expense of $463 for these option awards as the Business Combination was consummated during this time period and the performance-based condition was met.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related to stock options for the years ended December 31, 2022, 2021 and 2020 was $7,278, $6,059 and $1,924,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 summary of the stock option activity is presented in the table below:</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7.58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14,271,330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(1,123,249)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(1,447,298)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19,427,755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8.68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exercisable at December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4,699,029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16,930,158</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8.57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received cash proceeds from the exercise of stock options of $2,757, $5,618 and $63 during the years ended December 31, 2022, 2021 and 2020, respectively. The total intrinsic value (the amount by which the stock price exceeds the exercise price of the option on the date of exercise) of the stock options exercised during the years ended December 31, 2022, 2021 and 2020, was $1,903, $17,206 and $323, respectively. The weighted-average grant date fair value of options granted during the years ended December 31, 2022, 2021 and 2020, was $1.51, $5.25 and $1.43,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Topic 718, the Company estimates and records the compensation cost associated with the grants described above with an offsetting entry to paid-in capital. The Company utilized the Black-Scholes option pricing model for determining the estimated fair value for service or performance-based stock-based awards. The Black-Scholes option pricing model requires the use of subjective assumptions which determine the fair value of stock-based awards. The assumptions used to value option grants to employees and nonemployees for the years ended December 31, 2022, 2021 and 2020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4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ind w:left="208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 – 4.2%</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 – 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 – 0.6%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40" w:type="dxa"/>
            <w:vAlign w:val="bottom"/>
          </w:tcPr>
          <w:p>
            <w:pPr>
              <w:ind w:left="2080"/>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1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5.5 years –  6.4 years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5.5 years – 6.3 years</w:t>
            </w: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5.0 years –  6.0 years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Expected volatility</w:t>
            </w:r>
          </w:p>
        </w:tc>
        <w:tc>
          <w:tcPr>
            <w:tcW w:w="2140" w:type="dxa"/>
            <w:vAlign w:val="bottom"/>
          </w:tcPr>
          <w:p>
            <w:pPr>
              <w:ind w:left="2080"/>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58% - 64%</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54% - 70%</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risk-free interest rate for periods within the expected term of the awards is based on the U.S. Treasury yield curve in effect at the time of the grant.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dividend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any cash dividends and do not expect to pay any cash dividends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term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awards, we calculate the expected term using the “simplified” method, which is the simple average of the vesting period and the contractual term.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volatility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expected annual equity volatility to be 70% based on the historical volatility of guideline public companies for the year ended December 31, 2020 and from January to June 10, 2021. After June 10, 2021, the volatility is calculated by a third-party professional services firm and reviewed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is taken directly from the grant notice issued to employees and nonemployees.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 Company granted 66,666 restricted stock unit (“RSU”) awards. On February 8, 2022, John Stark, the Company’s former Chief Executive Officer and member of its board of directors, stepped down from all of his positions with the Company. As a result of Mr. Stark not meeting the service conditions of certain awards previously granted to him, 1,731,371 RSU awards were forfeited, resulting in a reversal of stock-based compensation for the year ended December 31, 2022 of $4,742.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year ended December 31, 2021, the Company granted 4,861,315 RSU awards subject to service, performance and/or market conditions. These awards include 1,703,460 and 170,346 RSU awards to the Company’s former Chief Executive Officer and General Counsel, respectively, subject to service and performance conditions, 1,800,000 RSU awards to the Interim Chief Executive Officer and Executive Chairman of the Company and two members of the board of directors subject to service and/or performance conditions, and 453,777 RSU awards to the Company’s former Chief Executive Officer subject to service, market and performance conditions. The service condition requires the participant’s continued employment with the Company through the applicable vesting date, and the performance condition requires the consummation of a contemplated business combination or financing transaction defined in the award agreement. The market condition requires that the Company’s Class A common stock subsequent to a business combination trades above a specified level for a defined period of time, or that a subsequent financing transaction meets defined pricing thresholds and that the Company’s common stock subsequent to a business combination trades above a specified level for a defined period of time. For RSU awards with performance conditions, stock-based compensation expense is only recognized if the performance conditions become probable to be satisfied. As the performance condition is a business combination or financing transaction, the performance condition would only become probable once a business combination or financing transaction was consummated. Accordingly, the Company recorded stock-based compensation expense of $18,587 for the year ended December 31, 2021 related to these RSU awards as the Business Combination was consummated during this time period.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related to RSU awards for the years ended December 31, 2022 and 2021 was $3,928 and $18,859, respectively. The Company did not issue RSU awards in 2020.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color w:val="auto"/>
              </w:rPr>
              <w:t>A summary of the RSU activity is presented in the table below:</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1580" w:type="dxa"/>
            <w:vAlign w:val="bottom"/>
            <w:gridSpan w:val="6"/>
          </w:tcPr>
          <w:p>
            <w:pPr>
              <w:ind w:left="80"/>
              <w:spacing w:after="0"/>
              <w:rPr>
                <w:sz w:val="20"/>
                <w:szCs w:val="20"/>
                <w:color w:val="auto"/>
              </w:rPr>
            </w:pPr>
            <w:r>
              <w:rPr>
                <w:rFonts w:ascii="Arial" w:cs="Arial" w:eastAsia="Arial" w:hAnsi="Arial"/>
                <w:sz w:val="18"/>
                <w:szCs w:val="18"/>
                <w:b w:val="1"/>
                <w:bCs w:val="1"/>
                <w:color w:val="auto"/>
                <w:w w:val="94"/>
              </w:rPr>
              <w:t>Weighted Average</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18"/>
                <w:szCs w:val="18"/>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6"/>
              </w:rPr>
              <w:t>Grant-Date Fair</w:t>
            </w: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Underlying RSUs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4,586,972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(798,575)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(1,836,614)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2022</w:t>
            </w: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2,018,449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520" w:type="dxa"/>
            <w:vAlign w:val="bottom"/>
            <w:gridSpan w:val="6"/>
          </w:tcPr>
          <w:p>
            <w:pPr>
              <w:spacing w:after="0"/>
              <w:rPr>
                <w:sz w:val="20"/>
                <w:szCs w:val="20"/>
                <w:color w:val="auto"/>
              </w:rPr>
            </w:pPr>
            <w:r>
              <w:rPr>
                <w:rFonts w:ascii="Arial" w:cs="Arial" w:eastAsia="Arial" w:hAnsi="Arial"/>
                <w:sz w:val="18"/>
                <w:szCs w:val="18"/>
                <w:color w:val="auto"/>
                <w:w w:val="94"/>
              </w:rPr>
              <w:t>The Company’s stock-based compensation is allocated to the following operating expense categories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gridSpan w:val="12"/>
          </w:tcPr>
          <w:p>
            <w:pPr>
              <w:ind w:left="2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8"/>
                <w:szCs w:val="18"/>
                <w:color w:val="auto"/>
              </w:rPr>
              <w:t>19,200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11,206</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24,918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related tax benefits of the stock-based compensation expense have been recognized and no related tax benefits have been realized from the exercise of stock options due to the Company’s net operating loss carryforwards.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stock-based compensation as of December 31, 2022 and 2021 was $26,387 and $34,058, which will be recognized over the remaining weighted average vesting period of 3.1 and 2.1 years,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(94,989)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(36,613)</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Numerator for basic and diluted EPS - loss attributable to common stockholders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(132,442)</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(94,989)</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(36,613)</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139,255,131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79,578,540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5,355,463</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Denominator for basic and diluted EPS - weighted-average common stock</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139,255,131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79,578,540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5,355,463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Basic and diluted net loss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(0.95)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(6.84)</w:t>
            </w: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was in a net loss position for all periods presented, the basic net loss per share calculation excludes preferred stock as it did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8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89"/>
              </w:rPr>
              <w:t>Years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19,427,755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7,726,972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7,369,541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2,018,449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4,586,972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3,968,319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convertible preferred stock (Series A through 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90,789,268</w:t>
            </w:r>
          </w:p>
        </w:tc>
      </w:tr>
      <w:tr>
        <w:trPr>
          <w:trHeight w:val="256"/>
        </w:trPr>
        <w:tc>
          <w:tcPr>
            <w:tcW w:w="7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25,414,523</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16,282,263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98,158,809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3"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2021, there were an aggregate of 3,833,319 outstanding Public Warrants, respectively,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70"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2022 and 2021, there were 135,000 Private Warrants outstanding, respectively.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warrant liabilities was $996 and $7,239 as of December 31, 2022 and 2021, respectively. The Company recognized gains of $6,243 and $4,379 as a Change in fair value of warrant liabilities in the consolidated statements of operations and comprehensive loss for the years ended December 31, 2022 and 2021, respectively. There were no exercises or redemptions of the Public Warrants or Private Warrants during the years ended December 31, 2022 or 2021. There were no Public Warrants or Private Warrants outstanding during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5 “Fair Value of Financial Instruments” for further detail.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no income tax expense due to federal and state net operating losses incurred for the years ended December 31, 2022, 2021, and 2020. The Company has also not recorded any income tax benefits for its federal and state deferred tax losses incurred in each period due to uncertainty of realizing the benefit from those items. All of the Company’s losses before income taxes were generated in U.S. and non-U.S. jurisdictions for the year ended December 31, 2022 and in the U.S. only for the years ended December 31, 2021 and 2020.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tax rate for the Company for the years ended December 31, 2022, 2021 and 2020 was zero percent. A reconciliation of the income tax expense at the federal statutory tax rate to the Company’s effective income tax rate follows:</w:t>
      </w:r>
    </w:p>
    <w:p>
      <w:pPr>
        <w:spacing w:after="0" w:line="16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 credit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(27.4)</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7"/>
        </w:trPr>
        <w:tc>
          <w:tcPr>
            <w:tcW w:w="7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tax rate</w:t>
            </w:r>
          </w:p>
        </w:tc>
        <w:tc>
          <w:tcPr>
            <w:tcW w:w="7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effective tax rate for December 31, 2022, 2021 and 2020 differs from the federal statutory tax rate of 21% mainly due to the effect of deferred state income tax benefits resulting from state net operating loss carryforwards and the tax benefits related to research and development tax credits. These benefits to the effective tax rate are fully offset by the increase in the Company’s valuation allowance from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(liabilities)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tax assets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 carryforwards</w:t>
            </w:r>
          </w:p>
        </w:tc>
        <w:tc>
          <w:tcPr>
            <w:tcW w:w="4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63,819</w:t>
            </w:r>
          </w:p>
        </w:tc>
        <w:tc>
          <w:tcPr>
            <w:tcW w:w="0" w:type="dxa"/>
            <w:vAlign w:val="bottom"/>
          </w:tcPr>
          <w:p>
            <w:pPr>
              <w:spacing w:after="0"/>
              <w:rPr>
                <w:sz w:val="1"/>
                <w:szCs w:val="1"/>
                <w:color w:val="auto"/>
              </w:rPr>
            </w:pP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Tax credit carryforwards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marketable securities (unrealized)</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Section 174</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4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123,673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85,097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right-of-use assets</w:t>
            </w:r>
          </w:p>
        </w:tc>
        <w:tc>
          <w:tcPr>
            <w:tcW w:w="4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4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4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119,034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82,744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(82,744)</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Net deferred tax assets (liabilities)</w:t>
            </w:r>
          </w:p>
        </w:tc>
        <w:tc>
          <w:tcPr>
            <w:tcW w:w="4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340" w:type="dxa"/>
            <w:vAlign w:val="bottom"/>
            <w:vMerge w:val="restart"/>
          </w:tcPr>
          <w:p>
            <w:pPr>
              <w:jc w:val="right"/>
              <w:ind w:right="2853"/>
              <w:spacing w:after="0"/>
              <w:rPr>
                <w:sz w:val="20"/>
                <w:szCs w:val="20"/>
                <w:color w:val="auto"/>
              </w:rPr>
            </w:pPr>
            <w:r>
              <w:rPr>
                <w:rFonts w:ascii="Arial" w:cs="Arial" w:eastAsia="Arial" w:hAnsi="Arial"/>
                <w:sz w:val="14"/>
                <w:szCs w:val="14"/>
                <w:color w:val="auto"/>
              </w:rPr>
              <w:t>105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3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34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established a full valuation allowance against its net deferred tax assets due to the uncertainty of the Company’s ability to generate sufficient taxable income to realize the deferred tax asset, and therefore has not recognized any benefits from the net operating losses, tax credits and other deferred tax assets. The Company’s valuation allowance was $119,034 and $82,744 for the years ended December 31, 2022 and 2021, respectively. The Company’s valuation allowance increased $36,290 and $31,370 for the years ended December 31, 2022 and 2021, respectively.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the following tax net operating loss carryforwards available to reduce future federal and Connecticut taxable income, and tax credit carryforwards available to offset future federal and Connecticut income taxes: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Begin to</w:t>
            </w: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Expire In</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net operating loss carryforwards: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(pre-2018 NOLs)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Federal (post-2017 NOLs)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219,600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 Expiration</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carryforwards: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Connecticut research and development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Connecticut other credits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Federal contribution carryforward</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 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Internal Revenue Code Section 382, if a corporation undergoes an “ownership change,” the corporation’s ability to use its pre-change net operating loss and tax credit carryforwards to offset its post-change income and tax liabilities may be limited. Generally, an ownership change occurs when certain shareholders increase their aggregated ownership by more than 50 percentage points over their lowest ownership percentage in a testing period (typically three years). As a result of the Business Combination, as well as any other equity issuances during the year, the Company evaluated whether an ownership change occurred under Section 382 of the Internal Revenue Code of 1986, as amended, and whether the Company’s ability to use its pre-change net operating loss and tax credit carryforwards would be limited in future periods. The Company completed its analysis and no ownership change occurred that would limit the use of any net operating losses or tax credit carryforwards as of December 31, 2022 and 2021.</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adopted the accounting guidance within ASC Topic 740 on uncertainties in income taxes. ASC Topic 740 prescribes a recognition threshold and measurement attribute for the financial statement recognition and measurement of a tax position taken or expected to be taken in a tax return.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and 2021, the Company did not have any unrecognized tax benefits. To the extent penalties and interest would be assessed on any underpayment of income tax, the Company’s policy is that such amounts would be accrued and classified as a component of income tax expense in the consolidated financial statements. To date, the Company has not recorded any such interest or penalties.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and various state and foreign jurisdictions. As a result of the Company’s net operating loss carryforwards, the Company’s federal and state statutes of limitations generally remain open for all tax years until its net operating loss and tax credit carryforwards are utilized or expire prior to utilization. The Company does not currently have any federal, state or foreign income tax examinations in progress.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enacted which included provisions related to net operating loss carryovers and carrybacks, refundable payroll tax credits, deferral of payroll taxes, alternative minimum tax credit refunds, modifications to the net interest deduction limitations, and technical corrections to tax depreciation methods for qualified improvement property. The Company has evaluated the relevant provisions of the CARES Act and has not recognized any benefit related to these provisions. Therefore, no related income tax effects have been recognized in the financial statements for the years ended December 31, 2022 and 2021.</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as a result of legislation in the state of Connecticut, companies have the opportunity to exchange certain research and development tax credit carryforwards for a cash payment of 65% of the research and development tax credit. The research and development expenses that qualify for Connecticut credits are limited to those costs incurred within Connecticut. The Company has elected to participate in the exchange program and, as a result, has recognized net benefits of $206, $872 and $182 for the years ended December 31, 2022, 2021 and 2020, respectively, which is included in Research and development in the consolidated statements of operations and comprehensive loss. As of December 31, 2022 and 2021, the Company has recorded $206 and $872 of the research and development tax credit receivables in Prepaid expenses and other current assets on the Company’s consolidated balance sheets, respectively. The Company has recognized a return to provision amount of $375 in the fourth quarter of 2022 related to the year ended December 31, 2021, making the receivable amount $1,247 as of December 31, 2022.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and subleases office and laboratory space in a building owned by a related party. The Company paid $322 under month-to-month lease arrangements for this space for the years ended December 31, 2022, 2021 and 2020,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was a party to an Amended and Restated Technology Services Agreement (the “ARTSA”), most recently amended on November 11, 2020, by and among 4Catalyzer Corporation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$567, $2,009 and $1,516, which included $167, $148 and $155 under month-to-month sublease arrangements for office and laboratory spaces from 4C, during the years ended December 31, 2022, 2021 and 2020, respectively. The amounts advanced and due to 4C at December 31, 2022 and 2021 related to operating expenses were $70, which is included in Accrued expenses and other current liabilities and $128, which is included in Accounts payable on the consolidated balance sheets, respectively. The amounts advanced and due from 4C at December 31, 2022 and 2021, related to operating expenses were $37 and $0, respectively, and are included in Prepaid expenses and other current assets on the consolidated balance sheets.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December 31, 2022 and 2021 were $0 and $17 and are included in Accounts payable on the consolidated balance sheets, respectively. In addition, the Company had transactions with these other entities under common ownership which included payments made by the Company to third parties on behalf of the other entities. The amounts remaining payable at December 31, 2022 and 2021 were in the aggregate $0 and $15, respectively, and are reflected in Prepaid expenses and other current assets on the consolidated balance sheets.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agreed to pay a final payment of $1,135 under the Collaboration for all services rendered. The Company did not make any payments under the Collaboration for the year ended December 31, 2021. There was no amount payable at December 31, 2022 or 2021.</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October 1, 2022, the Company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 amounts advanced and due from PEI at December 31, 2022 related to operating expenses were $45 and are included in Prepaid expenses and other current assets on the consolidated balance sheets.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Rothberg and the Company entered into an Executive Chairman Agreement as of June 10, 2021 (the “Executive Chairman Agreement”) in which Dr. Rothberg provided consulting services to the Company for $400 annually. Effective as of November 1, 2022, the Executive Chairman Agreement was terminated.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November 1, 2022, the Company entered into an Advisory Agreement with Dr. Rothberg (the “Advisory Agreement”), pursuant to which Dr. Rothberg serves as Chairman of the Board and advises the Chief Executive Officer and the Board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the Company will grant Dr. Rothberg an option to purchase 250,000 shares of Class A common stock pursuant to the 2021 Plan. In connection with the Advisory Agreement, Dr. Rothberg’s title was changed from Executive Chairman to Chairman of the Board.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Rothberg also receives fees as the Company’s Chairman of the Board of Directors and a member of the Board and Nominating and Corporate Governance Committee. The Company paid $397 and $139 to Dr. Rothberg for the years ended December 31, 2022 and 2021, respectively, for all services provided to the Company. Dr. Rothberg did not receive any additional compensation for serving as the Company’s Interim Chief Executive Officer in 2022.</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licenses certain intellectual property, some of which may be utilized in its future product offering. To preserve the right to use such intellectual property, the Company is required to make annual minimum fixed payments totaling $190. Once the Company commercializes its product and begins to generate revenues, there will be royalties payable by the Company based on the current anticipated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years ended December 31, 2022,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results of operations, or cash flows. The Company accrues contingent liabilities to the extent that the liability is probable and estimable.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consolidated statements of operations and comprehensive loss in connection with the indemnification provisions have not been material.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30, 2023, the Company committed to an organizational restructuring designed to decrease its costs and create a more streamlined organization to support its business. As a result, the Company is terminating approximately 12% of its workforce, effective in the first quarter of 2023. In connection with the restructuring, the Company currently estimates it will incur up to $1,000 of costs, consisting primarily of cash severance costs and other severance benefits. The Company expects to substantially complete the restructuring in the first quarter of 2023. The estimates of costs and expenses that the Company expects to incur in connection with the restructuring are subject to a number of assumptions and actual results may differ materially. The Company may also incur additional costs not currently contemplated due to events that may occur as a result of, or that are associated with, the restructuring.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Section 205 Petition: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9, 2021, HighCape held a special meeting of stockholders (the “Special Meeting”) to approve certain matters relating to the Business Combination. Among these matters was a proposal to amend HighCape’s then effective Amended and Restated Certificate of Incorporation, to, among other things, (i) increase the total number of authorized shares of Class A common stock from 380,000,000 shares to 600,000,000 shares and (ii) opt out of the separate class voting requirements of Section 242(b)(2) of the Delaware General Corporation Law (the “DGCL”), providing that future increases or decreases to the authorized shares of the Company would not require a separate vote of the applicable class (collectively, the “Charter Amendments”). The Charter Amendments were approved by a majority of the shares of the Company’s Class A common stock and Class B common stock that were outstanding as of the record date for the Special Meeting, voting together as a single class. At the Special Meeting, the stockholders also voted to approve the Business Combination and, on that same date, the Company filed its Second Amended and Restated Certificate of Incorporation with the Office of the Secretary of State of the State of Delaware.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recent ruling by the Court of Chancery in December 2022 introduced uncertainty as to whether Section 242(b)(2) of the DGCL would have required the Charter Amendments to be approved by a separate vote of the majority of the Company’s then-outstanding shares of Class A common stock, voting as a single class.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been proceeding with the understanding that the Charter Amendments and Second Amended and Restated Certificate of Incorporation are valid. To resolve potential uncertainty with respect to the Company’s capital structure, and consistent with the approach taken by other similarly situated companies, on February 28, 2023, the Company filed a petition (the “Petition”) in the Court of Chancery pursuant to Section 205 of the DGCL seeking an order: (i) validating the Charter Amendments and the effectiveness of its Second Amended and Restated Certificate of Incorporation implementing the Charter Amendments, retroactive to the date of its original filing, and all amendments effected thereby, and (ii) validating and declaring effective any securities issued in reliance on the validity of the Second Amended and Restated Certificate of Incorporation, effective as of the original date of issuance of such securities. Section 205 of the DGCL permits the Court of Chancery, in its discretion, to ratify and validate potentially defective corporate acts after considering a variety of factors.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14, 2023, the Court of Chancery approved the Company’s request for relief and entered an order under Section 205 of the DGCL (i) declaring the Company’s Second Amended and Restated Certificate of Incorporation, including the filing and effectiveness thereof, as validated and effective retroactive to the date of its filing with the Office of the Secretary of State of the State of Delaware on June 10, 2021, and all amendments effected thereby and (ii) ordering that the Company’s securities (and the issuance of the securities) described in the Petition and any other securities issued in reliance on the validity of the Second Amended and Restated Certificate of Incorporation are validated and declared effective, each as of the original issuance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The following summary of the material terms of the capital stock of Quantum-Si Incorporated (formerly HighCape Capital Acquisition Corp.) is not intended to be a complete summary of the rights and preferences of such securities, and is qualified by reference to our Second Amended and Restated Certificate of Incorporation (the “</w:t>
      </w:r>
      <w:r>
        <w:rPr>
          <w:rFonts w:ascii="Arial" w:cs="Arial" w:eastAsia="Arial" w:hAnsi="Arial"/>
          <w:sz w:val="21"/>
          <w:szCs w:val="21"/>
          <w:i w:val="1"/>
          <w:iCs w:val="1"/>
          <w:u w:val="single" w:color="auto"/>
          <w:color w:val="auto"/>
        </w:rPr>
        <w:t>Charter</w:t>
      </w:r>
      <w:r>
        <w:rPr>
          <w:rFonts w:ascii="Arial" w:cs="Arial" w:eastAsia="Arial" w:hAnsi="Arial"/>
          <w:sz w:val="21"/>
          <w:szCs w:val="21"/>
          <w:i w:val="1"/>
          <w:iCs w:val="1"/>
          <w:color w:val="auto"/>
        </w:rPr>
        <w:t>”), our Amended and Restated Bylaws (the “</w:t>
      </w:r>
      <w:r>
        <w:rPr>
          <w:rFonts w:ascii="Arial" w:cs="Arial" w:eastAsia="Arial" w:hAnsi="Arial"/>
          <w:sz w:val="21"/>
          <w:szCs w:val="21"/>
          <w:i w:val="1"/>
          <w:iCs w:val="1"/>
          <w:u w:val="single" w:color="auto"/>
          <w:color w:val="auto"/>
        </w:rPr>
        <w:t>Bylaws</w:t>
      </w:r>
      <w:r>
        <w:rPr>
          <w:rFonts w:ascii="Arial" w:cs="Arial" w:eastAsia="Arial" w:hAnsi="Arial"/>
          <w:sz w:val="21"/>
          <w:szCs w:val="21"/>
          <w:i w:val="1"/>
          <w:iCs w:val="1"/>
          <w:color w:val="auto"/>
        </w:rPr>
        <w:t>”) and the warrant-related documents described herein, each of which are incorporated by reference as an exhibit to the Annual Report on Form 10-K of which this Exhibit is a part, and certain provisions of Delaware law. We urge you to read each of our Charter, our Bylaws and the warrant-related documents described herein in their entirety for a complete description of the rights and preferences of our securities. Unless the context requires otherwise, all references to “we”, “us,” “our,” the “Company” and “Quantum-Si” in this section refer solely to Quantum-Si Incorporated (formerly HighCape Capital Acquisition Corp.) and not to our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We are authorized to issue 628,000,000 shares, consisting of 600,000,000 shares of Class A common stock, par value $0.0001 per share (the “</w:t>
      </w:r>
      <w:r>
        <w:rPr>
          <w:rFonts w:ascii="Arial" w:cs="Arial" w:eastAsia="Arial" w:hAnsi="Arial"/>
          <w:sz w:val="21"/>
          <w:szCs w:val="21"/>
          <w:u w:val="single" w:color="auto"/>
          <w:color w:val="auto"/>
        </w:rPr>
        <w:t>Class A common stock</w:t>
      </w:r>
      <w:r>
        <w:rPr>
          <w:rFonts w:ascii="Arial" w:cs="Arial" w:eastAsia="Arial" w:hAnsi="Arial"/>
          <w:sz w:val="21"/>
          <w:szCs w:val="21"/>
          <w:color w:val="auto"/>
        </w:rPr>
        <w:t>”), 27,000,000 shares of Class B common stock, par value $0.0001 per share (the “</w:t>
      </w:r>
      <w:r>
        <w:rPr>
          <w:rFonts w:ascii="Arial" w:cs="Arial" w:eastAsia="Arial" w:hAnsi="Arial"/>
          <w:sz w:val="21"/>
          <w:szCs w:val="21"/>
          <w:u w:val="single" w:color="auto"/>
          <w:color w:val="auto"/>
        </w:rPr>
        <w:t>Class B</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common stock</w:t>
      </w:r>
      <w:r>
        <w:rPr>
          <w:rFonts w:ascii="Arial" w:cs="Arial" w:eastAsia="Arial" w:hAnsi="Arial"/>
          <w:sz w:val="21"/>
          <w:szCs w:val="21"/>
          <w:color w:val="auto"/>
        </w:rPr>
        <w:t>”), and 1,000,000 shares of preferred stock, par value $0.0001 per share.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Holders of Class A common stock are entitled to cast one vote per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are not entitled to cumulate their votes in the 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 Rights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of Directors of Quantum-Si (the “</w:t>
      </w:r>
      <w:r>
        <w:rPr>
          <w:rFonts w:ascii="Arial" w:cs="Arial" w:eastAsia="Arial" w:hAnsi="Arial"/>
          <w:sz w:val="19"/>
          <w:szCs w:val="19"/>
          <w:u w:val="single" w:color="auto"/>
          <w:color w:val="auto"/>
        </w:rPr>
        <w:t>Board</w:t>
      </w:r>
      <w:r>
        <w:rPr>
          <w:rFonts w:ascii="Arial" w:cs="Arial" w:eastAsia="Arial" w:hAnsi="Arial"/>
          <w:sz w:val="19"/>
          <w:szCs w:val="19"/>
          <w:color w:val="auto"/>
        </w:rPr>
        <w:t>”)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i w:val="1"/>
          <w:iCs w:val="1"/>
          <w:color w:val="auto"/>
        </w:rPr>
        <w:t>Liquidation, Dissolution and Winding Up</w:t>
      </w:r>
    </w:p>
    <w:p>
      <w:pPr>
        <w:spacing w:after="0" w:line="23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On the liquidation, dissolution, distribution of assets or winding up of Quantum-Si, each holder of Class A common stock, together with each holder of Class B common stock, will be entitled, pro rata on a per share basis, to all assets of Quantum-Si of whatever kind available for distribution to the holders of common stock, subject to the designations, preferences, limitations, restrictions and relative rights of any other class or series of preferred stock of Quantum-Si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Matters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Holders of shares of Class A common stock do not have subscription, redemption or conversion rights. All the outstanding shares of Class A common stock are validly issued, 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B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Holders of Class B common stock are entitled to cast 20 votes per share of Class B common stock. Generally, holders of all classes of our common stock vote together as a single class, and an action is approved by Quantum-Si stockholders if a majority of votes cast affirmatively or negatively on the action are cast in favor of the action, while directors are elected by a plurality of the votes cast. Holders of Class B common stock are not entitled to cumulate their votes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 Rights</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Optional Conversion</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Holders of Class B common stock have the right to convert shares of their Class B common stock into fully paid and non-assessable shares of Class A common stock, on a one-to-one basis, at the option of the holder at any time upon written notice to Quantum-Si.</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i w:val="1"/>
          <w:iCs w:val="1"/>
          <w:color w:val="auto"/>
        </w:rPr>
        <w:t>Mandatory Conversion</w:t>
      </w:r>
    </w:p>
    <w:p>
      <w:pPr>
        <w:spacing w:after="0" w:line="234"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Holders of Class B common stock will have their Class B common stock automatically converted into Class A common stock, on a one-to-one basis, upon the occurrence of any of the events described below:</w:t>
      </w:r>
    </w:p>
    <w:p>
      <w:pPr>
        <w:spacing w:after="0" w:line="209" w:lineRule="exact"/>
        <w:rPr>
          <w:sz w:val="20"/>
          <w:szCs w:val="20"/>
          <w:color w:val="auto"/>
        </w:rPr>
      </w:pPr>
    </w:p>
    <w:p>
      <w:pPr>
        <w:jc w:val="both"/>
        <w:ind w:left="820" w:hanging="488"/>
        <w:spacing w:after="0" w:line="25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sale, assignment, transfer, conveyance, hypothecation, or other transfer or disposition, directly or indirectly, of any Class B common stock or any legal or beneficial interest in such share, whether or not for value and whether voluntary or involuntary or by operation of law (including by merger, consolidation, or otherwise), including, without limitation the transfer of a share of Class B common stock to a broker or other nominee or the transfer of, or entering into a binding agreement with respect to, voting control over such share by proxy or otherwise, other than a permitted transfer.</w:t>
      </w:r>
    </w:p>
    <w:p>
      <w:pPr>
        <w:spacing w:after="0" w:line="214" w:lineRule="exact"/>
        <w:rPr>
          <w:rFonts w:ascii="Arial" w:cs="Arial" w:eastAsia="Arial" w:hAnsi="Arial"/>
          <w:sz w:val="18"/>
          <w:szCs w:val="18"/>
          <w:color w:val="auto"/>
        </w:rPr>
      </w:pPr>
    </w:p>
    <w:p>
      <w:pPr>
        <w:jc w:val="both"/>
        <w:ind w:left="820" w:hanging="488"/>
        <w:spacing w:after="0" w:line="259"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first date on which Dr. Rothberg, together with all other qualified stockholders, collectively cease to beneficially own at least 20% of the number of Class B common stock (as such number of shares is equitably adjusted in respect of any reclassification, stock dividend, subdivision, combination, or recapitalization of the Class B common stock) collectively beneficially owned by Dr. Rothberg and permitted transferees of Class B common stock as of the effective time of the Merger (defined below).</w:t>
      </w:r>
    </w:p>
    <w:p>
      <w:pPr>
        <w:spacing w:after="0" w:line="213"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date specified by the affirmative vote of the holders of at least two-thirds (2/3) of the outstanding shares of Class B common stock, voting as a separate class.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Rights</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On the liquidation, dissolution, distribution of assets or winding up of Quantum-Si, each holder of Class B common stock, together with each holder of Class A common stock, will be entitled, pro rata on a per share basis, to all assets of Quantum-Si of whatever kind available for distribution to the holders of common stock, subject to the designations, preferences, limitations, restrictions and relative rights of any other class or series of preferred stock of Quantum-Si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Our Charter provides that the Board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dividend rates, conversion rights, exchange rights, voting rights, rights and terms of redemption, dissolution preferences, and treatment in the case of a merger, business combination transaction, or sale of Quantum-Si’s assets, which rights may be greater than the rights of the holders of the common stock. There are no shares of preferred stock outstanding as of December 31, 2022.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both"/>
        <w:ind w:firstLine="324"/>
        <w:spacing w:after="0" w:line="275" w:lineRule="auto"/>
        <w:rPr>
          <w:sz w:val="20"/>
          <w:szCs w:val="20"/>
          <w:color w:val="auto"/>
        </w:rPr>
      </w:pPr>
      <w:r>
        <w:rPr>
          <w:rFonts w:ascii="Arial" w:cs="Arial" w:eastAsia="Arial" w:hAnsi="Arial"/>
          <w:sz w:val="19"/>
          <w:szCs w:val="19"/>
          <w:color w:val="auto"/>
        </w:rPr>
        <w:t>The purpose of authorizing the Board to issue preferred stock and determine the rights and preferences of any classes or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dividend or liquidation rights of our common stock. As a result of these or other factors, the issuance of preferred stock could have an adverse impact on the market price of our common stock.</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In June 2021, we completed the transactions (the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contemplated by that certain Business Combination Agreement, dated as of February 18, 2021 (the “</w:t>
      </w:r>
      <w:r>
        <w:rPr>
          <w:rFonts w:ascii="Arial" w:cs="Arial" w:eastAsia="Arial" w:hAnsi="Arial"/>
          <w:sz w:val="19"/>
          <w:szCs w:val="19"/>
          <w:u w:val="single" w:color="auto"/>
          <w:color w:val="auto"/>
        </w:rPr>
        <w:t>Business Combination Agreement</w:t>
      </w:r>
      <w:r>
        <w:rPr>
          <w:rFonts w:ascii="Arial" w:cs="Arial" w:eastAsia="Arial" w:hAnsi="Arial"/>
          <w:sz w:val="19"/>
          <w:szCs w:val="19"/>
          <w:color w:val="auto"/>
        </w:rPr>
        <w:t>”), by and among HighCape Capital Acquisition Corp., a Delaware corporation (which we refer to as “</w:t>
      </w:r>
      <w:r>
        <w:rPr>
          <w:rFonts w:ascii="Arial" w:cs="Arial" w:eastAsia="Arial" w:hAnsi="Arial"/>
          <w:sz w:val="19"/>
          <w:szCs w:val="19"/>
          <w:u w:val="single" w:color="auto"/>
          <w:color w:val="auto"/>
        </w:rPr>
        <w:t>HighCape</w:t>
      </w:r>
      <w:r>
        <w:rPr>
          <w:rFonts w:ascii="Arial" w:cs="Arial" w:eastAsia="Arial" w:hAnsi="Arial"/>
          <w:sz w:val="19"/>
          <w:szCs w:val="19"/>
          <w:color w:val="auto"/>
        </w:rPr>
        <w:t>” prior to the Business Combination and “</w:t>
      </w:r>
      <w:r>
        <w:rPr>
          <w:rFonts w:ascii="Arial" w:cs="Arial" w:eastAsia="Arial" w:hAnsi="Arial"/>
          <w:sz w:val="19"/>
          <w:szCs w:val="19"/>
          <w:u w:val="single" w:color="auto"/>
          <w:color w:val="auto"/>
        </w:rPr>
        <w:t>Quantum-Si</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following the Business Combination), Tenet Merger Sub, Inc., a Delaware corporation and wholly owned subsidiary of HighCape (“</w:t>
      </w:r>
      <w:r>
        <w:rPr>
          <w:rFonts w:ascii="Arial" w:cs="Arial" w:eastAsia="Arial" w:hAnsi="Arial"/>
          <w:sz w:val="19"/>
          <w:szCs w:val="19"/>
          <w:u w:val="single" w:color="auto"/>
          <w:color w:val="auto"/>
        </w:rPr>
        <w:t>Merger Sub</w:t>
      </w:r>
      <w:r>
        <w:rPr>
          <w:rFonts w:ascii="Arial" w:cs="Arial" w:eastAsia="Arial" w:hAnsi="Arial"/>
          <w:sz w:val="19"/>
          <w:szCs w:val="19"/>
          <w:color w:val="auto"/>
        </w:rPr>
        <w:t>”), and Q-SI Operations Inc. (formerly Quantum-Si Incorporated) (“</w:t>
      </w:r>
      <w:r>
        <w:rPr>
          <w:rFonts w:ascii="Arial" w:cs="Arial" w:eastAsia="Arial" w:hAnsi="Arial"/>
          <w:sz w:val="19"/>
          <w:szCs w:val="19"/>
          <w:u w:val="single" w:color="auto"/>
          <w:color w:val="auto"/>
        </w:rPr>
        <w:t>Legacy</w:t>
      </w:r>
      <w:r>
        <w:rPr>
          <w:rFonts w:ascii="Arial" w:cs="Arial" w:eastAsia="Arial" w:hAnsi="Arial"/>
          <w:sz w:val="19"/>
          <w:szCs w:val="19"/>
          <w:color w:val="auto"/>
        </w:rPr>
        <w:t xml:space="preserve"> </w:t>
      </w:r>
      <w:r>
        <w:rPr>
          <w:rFonts w:ascii="Arial" w:cs="Arial" w:eastAsia="Arial" w:hAnsi="Arial"/>
          <w:sz w:val="19"/>
          <w:szCs w:val="19"/>
          <w:u w:val="single" w:color="auto"/>
          <w:color w:val="auto"/>
        </w:rPr>
        <w:t>Quantum-Si</w:t>
      </w:r>
      <w:r>
        <w:rPr>
          <w:rFonts w:ascii="Arial" w:cs="Arial" w:eastAsia="Arial" w:hAnsi="Arial"/>
          <w:sz w:val="19"/>
          <w:szCs w:val="19"/>
          <w:color w:val="auto"/>
        </w:rPr>
        <w:t>”), including the merger of Merger Sub with and into Legacy Quantum-Si, pursuant to which Legacy Quantum-Si survived the merger as a wholly owned subsidiary of HighCape (the “</w:t>
      </w:r>
      <w:r>
        <w:rPr>
          <w:rFonts w:ascii="Arial" w:cs="Arial" w:eastAsia="Arial" w:hAnsi="Arial"/>
          <w:sz w:val="19"/>
          <w:szCs w:val="19"/>
          <w:u w:val="single" w:color="auto"/>
          <w:color w:val="auto"/>
        </w:rPr>
        <w:t>Merger</w:t>
      </w:r>
      <w:r>
        <w:rPr>
          <w:rFonts w:ascii="Arial" w:cs="Arial" w:eastAsia="Arial" w:hAnsi="Arial"/>
          <w:sz w:val="19"/>
          <w:szCs w:val="19"/>
          <w:color w:val="auto"/>
        </w:rPr>
        <w:t>”). In connection with the Merger, HighCape changed its name to “Quantum-Si Incorporated” and Legacy Quantum-Si changed its name to “Q-SI Operations Inc.”</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9"/>
          <w:szCs w:val="19"/>
          <w:color w:val="auto"/>
        </w:rPr>
        <w:t>As a consequence of the Merger, at the effective time of the Merger (the “</w:t>
      </w:r>
      <w:r>
        <w:rPr>
          <w:rFonts w:ascii="Arial" w:cs="Arial" w:eastAsia="Arial" w:hAnsi="Arial"/>
          <w:sz w:val="19"/>
          <w:szCs w:val="19"/>
          <w:u w:val="single" w:color="auto"/>
          <w:color w:val="auto"/>
        </w:rPr>
        <w:t>Effective Time</w:t>
      </w:r>
      <w:r>
        <w:rPr>
          <w:rFonts w:ascii="Arial" w:cs="Arial" w:eastAsia="Arial" w:hAnsi="Arial"/>
          <w:sz w:val="19"/>
          <w:szCs w:val="19"/>
          <w:color w:val="auto"/>
        </w:rPr>
        <w:t>”), (i) each share of Legacy Quantum-Si capital stock (other than the Legacy Quantum-Si Series A preferred stock) that was issued and outstanding immediately prior to the Effective Time was automatically canceled and converted into the right to receive 0.7975 shares of the Company’s Class A common stock, rounded down to the nearest whole number of shares; (ii) each share of Legacy Quantum-Si Series A preferred stock that was issued and outstanding immediately prior to the Effective Time was automatically canceled and converted into the right to receive 0.7975 shares of the Company’s Class B common stock, rounded down to the nearest whole number of shares; (iii) each option to purchase shares of Legacy Quantum-Si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Quantum-Si common stock subject to such option immediately prior to the Effective Time multiplied by 0.7975, rounded down to the nearest whole number of shares, at an exercise price per share equal to the exercise price per share of such option immediately prior to the Effective Time divided by 0.7975 and rounded up to the nearest whole cent; and</w:t>
      </w:r>
    </w:p>
    <w:p>
      <w:pPr>
        <w:spacing w:after="0" w:line="6" w:lineRule="exact"/>
        <w:rPr>
          <w:sz w:val="20"/>
          <w:szCs w:val="20"/>
          <w:color w:val="auto"/>
        </w:rPr>
      </w:pPr>
    </w:p>
    <w:p>
      <w:pPr>
        <w:jc w:val="both"/>
        <w:ind w:firstLine="8"/>
        <w:spacing w:after="0" w:line="246" w:lineRule="auto"/>
        <w:tabs>
          <w:tab w:leader="none" w:pos="4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Legacy Quantum-Si restricted stock unit outstanding immediately prior to the Effective Time was assumed by the Company and became a restricted stock unit with respect to a number of shares of the Company’s Class A common stock, rounded to the nearest whole share, equal to the number of shares of Legacy Quantum-Si common stock subject to such Legacy Quantum-Si restricted stock unit immediately prior to the Effective Time multiplied by 0.7975.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Warrants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Stockholders’ Warrants</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As of December 31,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May 26, 2021. A holder may exercise its warrants only for a whole number of shares of Class A common stock. This means only a whole warrant may be exercised at a given time by a warrant holder. No fractional warrants will be issued upon separation of the units and only whole warrants will trade. The warrants will expire on February 12, 2026 at 5:00 p.m., New York City time, or earlier upon redemption or liquidation.</w:t>
      </w:r>
    </w:p>
    <w:p>
      <w:pPr>
        <w:spacing w:after="0" w:line="21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Quantum-Si will not be obligated to deliver any shares of Class A common stock pursuant to the exercise of a warrant and will have no obligation to settle such warrant exercise unless a registration statement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covering the issuance of the shares of Class A common issuable upon exercise of the warrants is then effective and a current prospectus relating to those shares of Class A common stock is available, subject to Quantum-Si satisfying its obligations described below with respect to registration. No warrant will be exercisable for cash or on a cashless basis, and Quantum-Si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Quantum-Si may call the warrants for redemption for cash:</w:t>
      </w:r>
    </w:p>
    <w:p>
      <w:pPr>
        <w:spacing w:after="0" w:line="240" w:lineRule="exact"/>
        <w:rPr>
          <w:sz w:val="20"/>
          <w:szCs w:val="20"/>
          <w:color w:val="auto"/>
        </w:rPr>
      </w:pPr>
    </w:p>
    <w:p>
      <w:pPr>
        <w:ind w:left="820" w:hanging="488"/>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u w:val="single" w:color="auto"/>
          <w:color w:val="auto"/>
        </w:rPr>
        <w:t>30-day redemption period</w:t>
      </w:r>
      <w:r>
        <w:rPr>
          <w:rFonts w:ascii="Arial" w:cs="Arial" w:eastAsia="Arial" w:hAnsi="Arial"/>
          <w:sz w:val="18"/>
          <w:szCs w:val="18"/>
          <w:color w:val="auto"/>
        </w:rPr>
        <w:t>”) to each warrant holder; and</w:t>
      </w:r>
    </w:p>
    <w:p>
      <w:pPr>
        <w:spacing w:after="0" w:line="252" w:lineRule="exact"/>
        <w:rPr>
          <w:rFonts w:ascii="Arial" w:cs="Arial" w:eastAsia="Arial" w:hAnsi="Arial"/>
          <w:sz w:val="18"/>
          <w:szCs w:val="18"/>
          <w:color w:val="auto"/>
        </w:rPr>
      </w:pPr>
    </w:p>
    <w:p>
      <w:pPr>
        <w:jc w:val="both"/>
        <w:ind w:left="820" w:hanging="488"/>
        <w:spacing w:after="0" w:line="263"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stock splits, stock capitalizations, reorganizations, recapitalizations and the like) for any 20 trading days within a 30-trading day period ending three business days before Quantum-Si sends the notice of redemption to the warrant holders.</w:t>
      </w:r>
    </w:p>
    <w:p>
      <w:pPr>
        <w:spacing w:after="0" w:line="203" w:lineRule="exact"/>
        <w:rPr>
          <w:sz w:val="20"/>
          <w:szCs w:val="20"/>
          <w:color w:val="auto"/>
        </w:rPr>
      </w:pPr>
    </w:p>
    <w:p>
      <w:pPr>
        <w:ind w:right="20" w:firstLine="324"/>
        <w:spacing w:after="0" w:line="274" w:lineRule="auto"/>
        <w:rPr>
          <w:sz w:val="20"/>
          <w:szCs w:val="20"/>
          <w:color w:val="auto"/>
        </w:rPr>
      </w:pPr>
      <w:r>
        <w:rPr>
          <w:rFonts w:ascii="Arial" w:cs="Arial" w:eastAsia="Arial" w:hAnsi="Arial"/>
          <w:sz w:val="21"/>
          <w:szCs w:val="21"/>
          <w:color w:val="auto"/>
        </w:rPr>
        <w:t>If and when the warrants become redeemable by Quantum-Si, Quantum-Si may exercise its redemption right even if Quantum-Si is unable to register or qualify the underlying securities for sale under all applicable state securities laws.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5" w:name="page116"/>
    <w:bookmarkEnd w:id="115"/>
    <w:p>
      <w:pPr>
        <w:jc w:val="both"/>
        <w:ind w:firstLine="324"/>
        <w:spacing w:after="0" w:line="234" w:lineRule="auto"/>
        <w:rPr>
          <w:sz w:val="20"/>
          <w:szCs w:val="20"/>
          <w:color w:val="auto"/>
        </w:rPr>
      </w:pPr>
      <w:r>
        <w:rPr>
          <w:rFonts w:ascii="Arial" w:cs="Arial" w:eastAsia="Arial" w:hAnsi="Arial"/>
          <w:sz w:val="22"/>
          <w:szCs w:val="22"/>
          <w:color w:val="auto"/>
        </w:rPr>
        <w:t>Quantum-Si has established the last of the redemption criterion discussed above to prevent a redemption call unless there is at the time of the call a significant premium to the warrant exercise price. If the foregoing conditions are satisfied and Quantum-Si issues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dividends, reorganizations, recapitalizations and the like and for certain issuances of Class A common stock and equity-linked securities as described below) as well as the $11.50 warrant exercise price after the redemption notice is issued.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 procedures and cashless exercise</w:t>
      </w:r>
    </w:p>
    <w:p>
      <w:pPr>
        <w:spacing w:after="0" w:line="2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If Quantum-Si calls the warrants for redemption as described above, Quantum-Si management will have the option to require any holder that wishes to exercise his, her or its warrant to do so on a “cashless basis.” In determining whether to require all holders to exercise their warrants on a “cashless basis,” Quantum-Si’s management will consider, among other factors, Quantum-Si’s cash position, the number of warrants that are outstanding and the dilutive effect on Quantum-Si’s stockholders of issuing the maximum number of shares of Class A common stock issuable upon the exercise of its warrants. If Quantum-Si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of the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redemption is sent to the holders of warrants. If the Quantum-Si management takes advantage of this option, the notice of redemption will contain the information necessary to calculate the number of shares of Quantum-Si Class A common stock to be received upon exercise of the warrants, including the “fair market value” in such case. Requiring a cashless exercise in this manner will reduce the number of shares to be issued and thereby lessen the dilutive effect of a warrant redemption. Quantum-Si believes this feature is an attractive option to Quantum-Si if Quantum-Si does not need the cash from the exercise of the warrants. If Quantum-Si calls the warrants for redemption and Quantum-Si management does not take advantage of this option, the holders of the private placement warrants,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9"/>
          <w:szCs w:val="19"/>
          <w:color w:val="auto"/>
        </w:rPr>
        <w:t>A holder of a warrant may notify Quantum-Si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both"/>
        <w:ind w:firstLine="324"/>
        <w:spacing w:after="0" w:line="271" w:lineRule="auto"/>
        <w:rPr>
          <w:sz w:val="20"/>
          <w:szCs w:val="20"/>
          <w:color w:val="auto"/>
        </w:rPr>
      </w:pPr>
      <w:r>
        <w:rPr>
          <w:rFonts w:ascii="Arial" w:cs="Arial" w:eastAsia="Arial" w:hAnsi="Arial"/>
          <w:sz w:val="19"/>
          <w:szCs w:val="19"/>
          <w:color w:val="auto"/>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share capitalization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 (2) the quotient of (x) the price per share of Class A common stock paid in such rights offering and (y)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addition, if Quantum-Si, at any time while the warrants are outstanding and unexpired, pays a dividend or makes a distribution in cash, securities or other assets to the holders of Class A common stock on account of such shares of Class A common stock (or other securities into which the warrants are convertible), other than (a) as described above, (b) certain ordinary cash dividends, (c) to satisfy the redemption rights of the holders of shares of Class A common stock in connection with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1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21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both"/>
        <w:ind w:firstLine="324"/>
        <w:spacing w:after="0" w:line="270" w:lineRule="auto"/>
        <w:rPr>
          <w:sz w:val="20"/>
          <w:szCs w:val="20"/>
          <w:color w:val="auto"/>
        </w:rPr>
      </w:pPr>
      <w:r>
        <w:rPr>
          <w:rFonts w:ascii="Arial" w:cs="Arial" w:eastAsia="Arial" w:hAnsi="Arial"/>
          <w:sz w:val="19"/>
          <w:szCs w:val="19"/>
          <w:color w:val="auto"/>
        </w:rPr>
        <w:t>In case of any reclassification or reorganization of the outstanding shares of Class A common stock (other than those described above or that solely affect the par value of such shares of Class A common stock), or in the case of any merger or consolidation of Quantum-Si with or into another corporation (other than a consolidation or merger in which Quantum-Si is the continuing corporation and that does not result in any reclassification or reorganization of outstanding shares of Class A common stock), or in the case of any sale or conveyance to another corporation or entity of the assets or other property of Quantum-Si as an entirety or substantially as an entirety in connection with which Quantum-Si is dissolved, the holders of the warrants will thereafter have the right to purchase and receive, upon the basis and upon the terms and conditions specified in the warrants and in lieu of the shares of the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0" w:lineRule="exact"/>
        <w:rPr>
          <w:sz w:val="20"/>
          <w:szCs w:val="20"/>
          <w:color w:val="auto"/>
        </w:rPr>
      </w:pPr>
    </w:p>
    <w:p>
      <w:pPr>
        <w:spacing w:after="0" w:line="23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warrants are issued in registered form under a warrant agreement between Continental Stock Transfer &amp; Trust Company, as warrant agent, and Quantum-Si.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w:t>
      </w:r>
    </w:p>
    <w:p>
      <w:pPr>
        <w:spacing w:after="0" w:line="21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Quantum-Si,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 No fractional shares will be issued upon exercise of the warrants. If, upon exercise of the warrants, a holder would be entitled to receive a fractional interest in a share, Quantum-Si will, upon exercise, round down to the nearest whole number the number of shares of Class A common stock to be issued to the warrant holder.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i w:val="1"/>
          <w:iCs w:val="1"/>
          <w:color w:val="auto"/>
        </w:rPr>
        <w:t>Private Placement Warrants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December 31, 2022, there were 135,000 private placement warrants outstanding. The private placement warrants are not redeemable by Quantum-Si for cash so long as they are held by the initial stockholders or their permitted transferees. The initial purchasers of the private placement warrants, or their permitted transferees, have the option to exercise the private placement warrants on a cashless basis. Except as described in this section, the private placement warrants have terms and provisions that are identical to those of the public warrants sold in HighCape’s initial public offering, including that they may be redeemed for shares of Class A common stock. If the private placement warrants are held by holders other than the initial purchasers of the private placement warrants or their permitted transferees, the private placement warrants will be redeemable by Quantum-Si and exercisable by the holders on the same basis as the warrants included in the units sold in the initial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Pursuant to subscription agreements entered into on February 18, 2021, certain institutional investors (the “</w:t>
      </w:r>
      <w:r>
        <w:rPr>
          <w:rFonts w:ascii="Arial" w:cs="Arial" w:eastAsia="Arial" w:hAnsi="Arial"/>
          <w:sz w:val="19"/>
          <w:szCs w:val="19"/>
          <w:u w:val="single" w:color="auto"/>
          <w:color w:val="auto"/>
        </w:rPr>
        <w:t>PIPE Investors</w:t>
      </w:r>
      <w:r>
        <w:rPr>
          <w:rFonts w:ascii="Arial" w:cs="Arial" w:eastAsia="Arial" w:hAnsi="Arial"/>
          <w:sz w:val="19"/>
          <w:szCs w:val="19"/>
          <w:color w:val="auto"/>
        </w:rPr>
        <w:t>”) purchased shares of HighCape Class A common stock immediately prior to the closing of the Business Combination (the “</w:t>
      </w:r>
      <w:r>
        <w:rPr>
          <w:rFonts w:ascii="Arial" w:cs="Arial" w:eastAsia="Arial" w:hAnsi="Arial"/>
          <w:sz w:val="19"/>
          <w:szCs w:val="19"/>
          <w:u w:val="single" w:color="auto"/>
          <w:color w:val="auto"/>
        </w:rPr>
        <w:t>PIPE</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w:t>
      </w:r>
      <w:r>
        <w:rPr>
          <w:rFonts w:ascii="Arial" w:cs="Arial" w:eastAsia="Arial" w:hAnsi="Arial"/>
          <w:sz w:val="19"/>
          <w:szCs w:val="19"/>
          <w:color w:val="auto"/>
        </w:rPr>
        <w:t>”) and the PIPE Investors are entitled to certain registration rights. Additionally, pursuant to subscription agreements entered into on February 18, 2021, certain affiliates of Foresite Capital Management, LLC (the “F</w:t>
      </w:r>
      <w:r>
        <w:rPr>
          <w:rFonts w:ascii="Arial" w:cs="Arial" w:eastAsia="Arial" w:hAnsi="Arial"/>
          <w:sz w:val="19"/>
          <w:szCs w:val="19"/>
          <w:u w:val="single" w:color="auto"/>
          <w:color w:val="auto"/>
        </w:rPr>
        <w:t>oresite Funds</w:t>
      </w:r>
      <w:r>
        <w:rPr>
          <w:rFonts w:ascii="Arial" w:cs="Arial" w:eastAsia="Arial" w:hAnsi="Arial"/>
          <w:sz w:val="19"/>
          <w:szCs w:val="19"/>
          <w:color w:val="auto"/>
        </w:rPr>
        <w:t>”) purchased shares of HighCape Class A common stock immediately prior to the closing of the Business Combination and the Foresite Funds are entitled to certain registration rights. In particular, Quantum-Si agreed to, within forty-five (45) calendar days after the closing of the Business Combination, file with the SEC (at Quantum-Si’s sole cost and expense) a registration statement registering the resale of the shares of Class A common stock issued to the PIPE Investors and Foresite Funds, and to use its commercially reasonable efforts to have such registration statement declared effective as soon as practicable after the filing thereof, but no later than the earlier of (i) the 90th calendar day (or the 120th calendar day if the SEC notified Quantum-Si that it would “review” such registration statement) following the closing of the Business Combination and (ii) the 10th business day after the date Quantum-Si was notified (orally or in writing) by the SEC that such registration statement would not be “reviewed” or will not be subject to further review.</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At the closing of the Business Combination, Quantum-Si, the initial stockholders, including the Sponsor, certain affiliates of Glenview Capital Management, LLC (the “</w:t>
      </w:r>
      <w:r>
        <w:rPr>
          <w:rFonts w:ascii="Arial" w:cs="Arial" w:eastAsia="Arial" w:hAnsi="Arial"/>
          <w:sz w:val="19"/>
          <w:szCs w:val="19"/>
          <w:u w:val="single" w:color="auto"/>
          <w:color w:val="auto"/>
        </w:rPr>
        <w:t>Sponsor Group Holders</w:t>
      </w:r>
      <w:r>
        <w:rPr>
          <w:rFonts w:ascii="Arial" w:cs="Arial" w:eastAsia="Arial" w:hAnsi="Arial"/>
          <w:sz w:val="19"/>
          <w:szCs w:val="19"/>
          <w:color w:val="auto"/>
        </w:rPr>
        <w:t>”) and certain holders of Legacy Quantum-Si capital stock (the “</w:t>
      </w:r>
      <w:r>
        <w:rPr>
          <w:rFonts w:ascii="Arial" w:cs="Arial" w:eastAsia="Arial" w:hAnsi="Arial"/>
          <w:sz w:val="19"/>
          <w:szCs w:val="19"/>
          <w:u w:val="single" w:color="auto"/>
          <w:color w:val="auto"/>
        </w:rPr>
        <w:t>Quantum-Si Holders</w:t>
      </w:r>
      <w:r>
        <w:rPr>
          <w:rFonts w:ascii="Arial" w:cs="Arial" w:eastAsia="Arial" w:hAnsi="Arial"/>
          <w:sz w:val="19"/>
          <w:szCs w:val="19"/>
          <w:color w:val="auto"/>
        </w:rPr>
        <w:t>”) entered into an amended and restated registration rights agreement (the “</w:t>
      </w:r>
      <w:r>
        <w:rPr>
          <w:rFonts w:ascii="Arial" w:cs="Arial" w:eastAsia="Arial" w:hAnsi="Arial"/>
          <w:sz w:val="19"/>
          <w:szCs w:val="19"/>
          <w:u w:val="single" w:color="auto"/>
          <w:color w:val="auto"/>
        </w:rPr>
        <w:t>Amended and Restated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pursuant to which, among other things, the Sponsor Group Holders and the Legacy Quantum-Si Holders agreed not to effect any sale or distribution of any equity securities of Quantum-Si held by any of them (except with respect to shares of Class A common stock acquired in open market transactions or by Sponsor Group Holders pursuant to the PIPE Financing) during the lock-up period described therein and below and were granted certain registration rights with respect to their respective shares of our common stock, in each case, on the terms and subject to the conditions therein. In particular, the Amended and Restated Registration Rights Agreement provides for the following registration rights: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both"/>
        <w:ind w:left="820" w:hanging="488"/>
        <w:spacing w:after="0" w:line="287" w:lineRule="auto"/>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Registration rights. Promptly, but in any event within 60 days following the closing of the Business Combination, Quantum-Si was required to use its commercially reasonable efforts to file a registration statement under the Securities Act to permit the public resale of all registrable securities as permitted by Rule 415 of the Securities Act and to cause such registration statement to be declared effective as soon as practicable after the filing thereof, but in no event later than 60 days following the filing deadline (or 90 days following the filing deadline if the registration statement is reviewed by and receives comments from the SEC). At any time at which Quantum-Si has an effective shelf registration statement with respect to a holder’s registrable securities, any such holder may request to sell all or a portion of their registrable securities pursuant to an underwritten offering pursuant to such shelf registration statement, provided that such holder(s) reasonably expect any such sales to generate aggregate gross proceeds in excess of $25 million or reasonably expect to sell all of the registrable securities held by such holder, but in no event for aggregate gross proceeds of less than $5 million in gross proceeds. Quantum-Si will enter into an underwriting agreement with a managing underwriter or underwriters selected by the initiating holder(s), after consultation with Quantum-Si, and will take all such other reasonable actions as are requested by the managing underwriter to expedite or facilitate the disposition of such registrable securities.</w:t>
      </w:r>
    </w:p>
    <w:p>
      <w:pPr>
        <w:spacing w:after="0" w:line="198" w:lineRule="exact"/>
        <w:rPr>
          <w:rFonts w:ascii="Arial" w:cs="Arial" w:eastAsia="Arial" w:hAnsi="Arial"/>
          <w:sz w:val="16"/>
          <w:szCs w:val="16"/>
          <w:color w:val="auto"/>
        </w:rPr>
      </w:pPr>
    </w:p>
    <w:p>
      <w:pPr>
        <w:jc w:val="both"/>
        <w:ind w:left="820" w:hanging="488"/>
        <w:spacing w:after="0" w:line="296" w:lineRule="auto"/>
        <w:tabs>
          <w:tab w:leader="none" w:pos="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Demand registration rights. At any time after the closing of the Business Combination, if Quantum-Si does not have an effective registration statement outstanding, Quantum-Si will be required, upon the written request of the holders of at least a majority-in-interest of the then-outstanding registrable securities held by the Sponsor Group Holders or the Quantum-Si Holders, as soon as practicable but not more than 45 days after receipt of such written request, to file a registration statement and to effect the registration of all or part of their registrable securities. Quantum-Si is not obligated to effect more than an aggregate of three registrations pursuant to a demand registration request.</w:t>
      </w:r>
    </w:p>
    <w:p>
      <w:pPr>
        <w:spacing w:after="0" w:line="188" w:lineRule="exact"/>
        <w:rPr>
          <w:rFonts w:ascii="Arial" w:cs="Arial" w:eastAsia="Arial" w:hAnsi="Arial"/>
          <w:sz w:val="16"/>
          <w:szCs w:val="16"/>
          <w:color w:val="auto"/>
        </w:rPr>
      </w:pPr>
    </w:p>
    <w:p>
      <w:pPr>
        <w:jc w:val="both"/>
        <w:ind w:left="820" w:hanging="488"/>
        <w:spacing w:after="0" w:line="270"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Piggyback registration rights. At any time after the closing of the Business Combination, if Quantum-Si proposes to file a registration statement under the Securities Act to register any of its equity securities, or securities or other obligations exchangeable or convertible into equity securities, or to conduct a public offering, either for its own account or for the account of any other person, subject to certain exceptions and reductions as described in the Amended and Restated Registration Rights Agreement, then Quantum-Si will give written notice of such proposed filing to the holders of registrable securities as soon as practicable but not less than 10 days before the anticipated filing of such registration statement. Upon the written request of any holder of registrable securities in response to such written notice, Quantum-Si will, in good faith, cause such registrable securities to be included in the registration statement and use its commercially reasonable efforts to cause the underwriters of any proposed underwritten offering to include such holders’ registrable securities on the same terms and conditions as any similar securities of Quantum-Si included in such registration.</w:t>
      </w:r>
    </w:p>
    <w:p>
      <w:pPr>
        <w:spacing w:after="0" w:line="20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addition, Quantum-Si agreed that as soon as practicable, but in no event later than 15 business days after the closing of the Business Combination, it would use its best efforts to file with the SEC a registration statement registering the issuance, under the Securities Act, of the shares of Class A common stock issuable upon exercise of the public warrants, as described above under “-Warrants - Public Stockholders’ Warrants.”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Exclusive Forum</w:t>
      </w:r>
    </w:p>
    <w:p>
      <w:pPr>
        <w:spacing w:after="0" w:line="2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Our Charter provides that, to the fullest extent permitted by law, unless Quantum-Si otherwise consents in writing, the Court of Chancery (the “</w:t>
      </w:r>
      <w:r>
        <w:rPr>
          <w:rFonts w:ascii="Arial" w:cs="Arial" w:eastAsia="Arial" w:hAnsi="Arial"/>
          <w:sz w:val="19"/>
          <w:szCs w:val="19"/>
          <w:u w:val="single" w:color="auto"/>
          <w:color w:val="auto"/>
        </w:rPr>
        <w:t>Chancery Court</w:t>
      </w:r>
      <w:r>
        <w:rPr>
          <w:rFonts w:ascii="Arial" w:cs="Arial" w:eastAsia="Arial" w:hAnsi="Arial"/>
          <w:sz w:val="19"/>
          <w:szCs w:val="19"/>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Quantum-Si,</w:t>
      </w:r>
    </w:p>
    <w:p>
      <w:pPr>
        <w:spacing w:after="0" w:line="3" w:lineRule="exact"/>
        <w:rPr>
          <w:sz w:val="20"/>
          <w:szCs w:val="20"/>
          <w:color w:val="auto"/>
        </w:rPr>
      </w:pPr>
    </w:p>
    <w:p>
      <w:pPr>
        <w:jc w:val="both"/>
        <w:ind w:firstLine="8"/>
        <w:spacing w:after="0" w:line="231" w:lineRule="auto"/>
        <w:tabs>
          <w:tab w:leader="none" w:pos="3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action asserting a claim of breach of a fiduciary duty owed by, or any other wrongdoing by, any current or former director, officer, other employee or stockholder of Quantum-Si, (3) any action asserting a claim against Quantum-Si arising pursuant to any provision of the Delaware General Corporation Law (the “</w:t>
      </w:r>
      <w:r>
        <w:rPr>
          <w:rFonts w:ascii="Arial" w:cs="Arial" w:eastAsia="Arial" w:hAnsi="Arial"/>
          <w:sz w:val="22"/>
          <w:szCs w:val="22"/>
          <w:u w:val="single" w:color="auto"/>
          <w:color w:val="auto"/>
        </w:rPr>
        <w:t>DGCL</w:t>
      </w:r>
      <w:r>
        <w:rPr>
          <w:rFonts w:ascii="Arial" w:cs="Arial" w:eastAsia="Arial" w:hAnsi="Arial"/>
          <w:sz w:val="22"/>
          <w:szCs w:val="22"/>
          <w:color w:val="auto"/>
        </w:rPr>
        <w:t>”), the Charter or Bylaws, or as to which the DGCL confers jurisdiction on the Court of Chancery, (4) any action to interpret, apply, enforce or determine the validity of any provisions of the Charter or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and the provisions of our Charter described above will not apply to claims arising under the Exchange Act or other federal securities laws for which there is exclusive federal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the Charter, Bylaws and Applicable Law</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Certain provisions of the Charter, Bylaws, and laws of the State of Delaware, where Quantum-Si is incorporated, may discourage or make more difficult a takeover attempt that a stockholder might consider in his or her best interest. These provisions may also adversely affect prevailing market prices for the Class A common stock and the Class B common stock. Quantum-Si believes that the benefits of increased protection give Quantum-Si the potential ability to negotiate with the proponent of an unsolicited proposal to acquire or restructure Quantum-Si and outweigh the disadvantage of discouraging those proposals because negotiation of the proposals could result in an improvement of their terms.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Delaware law does not require stockholder approval for any issuance of authorized shares. However, the listing requirements of The Nasdaq Stock Market, which would apply if and so long as the Class A common stock remains listed on The Nasdaq Stock Market,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Quantum-Si by means of a proxy contest, tender offer, merger,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Dual Class Stock</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As described above, the Charter provides for a dual class common stock structure which provides Dr. Rothberg with the ability to control the outcome of matters requiring stockholder approval, even though he owns significantly less than a majority of the shares of our outstanding common stock, including the election of directors and significant corporate transactions, such as a merger or other sale of Quantum-Si or its assets.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b w:val="1"/>
          <w:bCs w:val="1"/>
          <w:i w:val="1"/>
          <w:iCs w:val="1"/>
          <w:color w:val="auto"/>
        </w:rPr>
        <w:t>Blank Check Preferred Stock</w:t>
      </w:r>
    </w:p>
    <w:p>
      <w:pPr>
        <w:spacing w:after="0" w:line="23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The Charter provides for 1,000,000 authorized shares of preferred stock. The existence of authorized but unissued shares of preferred stock may enable the Board to render more difficult or to discourage an attempt to obtain control of us by means of a merger, tender offer, proxy contest or otherwise. For example, if in the due exercise of its fiduciary obligations, the Board were to determine that a takeover proposal is not in the best interests of Quantum-Si or its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 holders of shares of common stock and may have the effect of delaying, deterring or preventing a change in control of Quantum-Si.</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Number of Directors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Charter and Bylaws provide that, subject to any rights of holders of preferred stock to elect additional directors under specified circumstances, the number of directors may be fixed from time to time solely pursuant to a resolution adopted by the Board; provided, however, that prior to the first date on which the issued and outstanding shares of Class B common stock represent less than 50% of the voting power of the then outstanding shares of capital stock of Quantum-Si that would be entitled to vote for the election of directors at an annual meeting of stockholders, unless approved by the holders of a majority in voting power of the shares of capital stock of Quantum-Si that would then be entitled to vote in the election of directors at an annual meeting or by written consent, the number of directors may not exceed nine (9).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Requirements for Advance Notification of Stockholder Meetings, Nominations and Proposals</w:t>
      </w:r>
    </w:p>
    <w:p>
      <w:pPr>
        <w:spacing w:after="0" w:line="2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Quantum-Si with certain information. Generally, to be timely, a stockholder’s notice must be delivered to, or mailed and received at Quantum-Si’s principal executive offices not less than 90 days nor more than 120 days prior to the first anniversary of the immediately preceding annual meeting of stockholders. The Bylaws also specify requirements as to the form and content of a stockholder’s notice. The Bylaws allow the chairman of the meeting at a meeting of the stockholders to determine whether a proposal to the meeting was properly brought and to adopt rules and regulations for the conduct of meetings, except to the extent inconsistent with such rules, regulations and procedures as adopted by the Board,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Quantum-Si.</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b w:val="1"/>
          <w:bCs w:val="1"/>
          <w:i w:val="1"/>
          <w:iCs w:val="1"/>
          <w:color w:val="auto"/>
        </w:rPr>
        <w:t>Limitations on Stockholder Action by Written Consent</w:t>
      </w:r>
    </w:p>
    <w:p>
      <w:pPr>
        <w:spacing w:after="0" w:line="2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 xml:space="preserve">The Charter provides that, subject to the terms of any series of Quantum-Si preferred stock, any action required or permitted to be taken by the stockholders of Quantum-Si must be effected at an annual or special meeting of the stockholders and may not be effected by written consent in lieu of a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first date on which the issued and outstanding shares of Class B common stock represent less than 50% of the voting power of the then outstanding shares of capital stock of Quantum-Si that would then be entitled to vote for the election of directors, any action required or permitted to be taken at any annual or special meeting of stockholders, may be taken by written consent if such written consent is signed by the holders of the outstanding stock having not less than the minimum number of votes that would be necessary to authorize or take such action at a meeting at which all shares entitled to vote on such matter were present and voted.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of the Charter and Bylaws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DGCL provides generally that the affirmative vote of a majority of the outstanding shares entitled to vote thereon, voting together a single class, is required to amend a corporation’s certificate of incorporation, unless the certificate of incorporation requires a greater percentage.</w:t>
      </w:r>
    </w:p>
    <w:p>
      <w:pPr>
        <w:spacing w:after="0" w:line="2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Charter provides that it may be amended by Quantum-Si in the manners provided therein or prescribed by statute. The Charter provides that the affirmative vote of the holders of a majority of the voting power of the then-outstanding shares of capital stock entitled to vote generally in the election of directors, voting together as a single class, will be required to amend or repeal any provision of the Charter, or adopt any provision of the Charter inconsistent therewith.</w:t>
      </w:r>
    </w:p>
    <w:p>
      <w:pPr>
        <w:spacing w:after="0" w:line="17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If any of the Class B common stock shares are outstanding, in addition to any vote required by Delaware law, the affirmative vote of the holders of two-thirds (2/3) of the outstanding shares of Class B common stock, voting as a separate class, is required to amend the Charter (1) in a manner that changes any of the voting, conversion, dividend or liquidation provisions of the shares of Class B common stock, (2) to provide for each share of Class A common stock or any preferred stock to have more than one vote per share or any rights to a separate class vote of the holders of shares of Class A common stock other than as provided by the Charter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w:t>
      </w:r>
    </w:p>
    <w:p>
      <w:pPr>
        <w:spacing w:after="0" w:line="20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If any shares of Class A common stock are outstanding, Quantum-Si will not, without the prior affirmative vote of the holders of a majority of the outstanding shares of Class A common stock, voting as a separate class, in addition to any other vote required by applicable law or the Charter, directly or indirectly, whether by amendment, or through merger, recapitalization, consolidation or otherwise amend, alter, change, repeal or adopt any provision of the Charter (1) in a manner that is inconsistent with, or that otherwise alters or changes the powers, preferences, or special rights of the shares of Class A common stock so as to affect them adversely; or (2) to provide for each share of Class B common stock to have more than twenty (20) votes per share or any rights to a separate class vote of the holders of shares of Class B common stock other than as provided by the Charter or required by the DGCL.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both"/>
        <w:ind w:firstLine="324"/>
        <w:spacing w:after="0" w:line="273" w:lineRule="auto"/>
        <w:rPr>
          <w:sz w:val="20"/>
          <w:szCs w:val="20"/>
          <w:color w:val="auto"/>
        </w:rPr>
      </w:pPr>
      <w:r>
        <w:rPr>
          <w:rFonts w:ascii="Arial" w:cs="Arial" w:eastAsia="Arial" w:hAnsi="Arial"/>
          <w:sz w:val="19"/>
          <w:szCs w:val="19"/>
          <w:color w:val="auto"/>
        </w:rPr>
        <w:t>The Charter also provides that the Board will have the power to adopt, amend, alter, or repeal the Bylaws by the affirmative vote of a majority of the directors present at any regular or special meeting of the Board at which a quorum is present in any manner not inconsistent with the laws of the State of Delaware or the Charter. The stockholders of Quantum-Si are prohibited from adopting, amending, altering, or repealing the Bylaws, or to adopt any provision inconsistent with the Bylaws, unless such action is approved, in addition to any other vote required by the Charter, by (i) prior to the date on which the issued and outstanding shares of Class B common stock represent less than 50% of the total voting power of the then outstanding shares of our capital stock that would then be entitled to vote in the election of directors at an annual meeting of stockholders, the holders of a majority in voting power of the shares of our capital stock that would then be entitled to vote in the election of directors at an annual meeting of stockholders, and (ii) on and after such date, the holders of two-thirds (2/3rds) of the voting power of the shares of our capital stock that would then be entitled to vote in the election of directors at an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220" w:lineRule="exact"/>
        <w:rPr>
          <w:sz w:val="20"/>
          <w:szCs w:val="20"/>
          <w:color w:val="auto"/>
        </w:rPr>
      </w:pPr>
    </w:p>
    <w:p>
      <w:pPr>
        <w:ind w:left="820" w:right="20" w:hanging="488"/>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jc w:val="both"/>
        <w:ind w:left="820" w:hanging="488"/>
        <w:spacing w:after="0" w:line="275"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3" w:lineRule="exact"/>
        <w:rPr>
          <w:rFonts w:ascii="Arial" w:cs="Arial" w:eastAsia="Arial" w:hAnsi="Arial"/>
          <w:sz w:val="17"/>
          <w:szCs w:val="17"/>
          <w:color w:val="auto"/>
        </w:rPr>
      </w:pPr>
    </w:p>
    <w:p>
      <w:pPr>
        <w:jc w:val="both"/>
        <w:ind w:left="820" w:hanging="488"/>
        <w:spacing w:after="0" w:line="263"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Quantum-Si’s outstanding voting stock. For purposes of this section only, “voting stock” has the meaning given to it in Section 203 of the DGCL.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firstLine="324"/>
        <w:spacing w:after="0" w:line="247" w:lineRule="auto"/>
        <w:rPr>
          <w:sz w:val="20"/>
          <w:szCs w:val="20"/>
          <w:color w:val="auto"/>
        </w:rPr>
      </w:pPr>
      <w:r>
        <w:rPr>
          <w:rFonts w:ascii="Arial" w:cs="Arial" w:eastAsia="Arial" w:hAnsi="Arial"/>
          <w:sz w:val="21"/>
          <w:szCs w:val="21"/>
          <w:color w:val="auto"/>
        </w:rPr>
        <w:t>Since Quantum-Si has not opted out of Section 203 of the DGCL, it will apply to Quantum-Si. As a result, this provision will make it more difficult for a person who would be an “interested stockholder” to effect various business combinations with Quantum-Si for a three-year period. This provision may encourage companies interested in acquiring Quantum-Si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Cumulative Voting</w:t>
      </w:r>
    </w:p>
    <w:p>
      <w:pPr>
        <w:spacing w:after="0" w:line="23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Under Delaware law, the right to vote cumulatively does not exist unless the charter specifically authorizes cumulative voting. The Charter does not authorize cumulative voting.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Officers and Directors</w:t>
      </w:r>
    </w:p>
    <w:p>
      <w:pPr>
        <w:spacing w:after="0" w:line="2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Quantum-Si or, in criminal proceedings, where the person had no reasonable cause to believe that his or her conduct was unlawful.</w:t>
      </w:r>
    </w:p>
    <w:p>
      <w:pPr>
        <w:spacing w:after="0" w:line="21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Bylaws provide that Quantum-Si shall indemnify and advance expenses to Quantum-Si’s directors and officers to the fullest extent authorized by the DGCL. Quantum-Si also is expressly authorized to carry directors’ and officers’ liability insurance providing indemnification for Quantum-Si directors, officers, and certain employees for some liabilities. Quantum-Si believes that these indemnification and advancement provisions and insurance are useful to attract and retain qualified directors and executive officers.</w:t>
      </w:r>
    </w:p>
    <w:p>
      <w:pPr>
        <w:spacing w:after="0" w:line="21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limitation of liability, advancement and indemnification provisions in the Charter and Bylaws may discourage stockholders from bringing lawsuits against directors for any alleged breach of their fiduciary duty. These provisions also may have the effect of reducing the likelihood of derivative litigation against directors and officers, even though such an action, if successful, might otherwise benefit Quantum-Si and its stockholders. In addition, your investment may be adversely affected to the extent Quantum-Si pays the costs of settlement and damage awards against directors and officer pursuant to these indemnification provisions.</w:t>
      </w:r>
    </w:p>
    <w:p>
      <w:pPr>
        <w:spacing w:after="0" w:line="21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There is currently no pending material litigation or proceeding involving any of Quantum-Si’s directors, officers, or employees for which indemnification is sought.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Corporate Opportunities</w:t>
      </w:r>
    </w:p>
    <w:p>
      <w:pPr>
        <w:spacing w:after="0" w:line="24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Charter provides for the renouncement by Quantum-Si of any interest or expectancy of Quantum-Si in, or being offered an opportunity to participate in any matter, transaction, or interest that is presented to, or acquired, created, or developed by, or which otherwise comes into possession of, any director of Quantum-Si who is not an employee of Quantum-Si or any of its subsidiaries, unless such matter, transaction, or interest is presented to, or acquired, created, or developed by, or otherwise comes into the possession of a director of Quantum-Si expressly and solely in that director’s capacity as a director of Quantum-Si.</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Dissenters’ Rights of Appraisal and Payment</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Under the DGCL, with certain exceptions, Quantum-Si’s stockholders will have appraisal rights in connection with a merger or consolidation of Quantum-Si.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Derivative Actions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Under the DGCL, any of Quantum-Si’s stockholders may bring an action in Quantum-Si’s name to procure a judgment in Quantum-Si’s favor, also known as a derivative action, provided that the stockholder bringing the action is a holder of Quantum-Si’s shares at the time of the transaction to which the action relates or such stockholder’s stock thereafter devolved by operation of law.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transfer agent for Quantum-Si capital stock is Continental Stock Transfer &amp; Trust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2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Quantum-Si’s Class A common stock and warrants to purchase Class A common stock are listed for trading on The Nasdaq Stock Market under the symbol “QSI” and “QSIAW”, respectively.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ADVISORY AGREEMENT</w:t>
      </w:r>
    </w:p>
    <w:p>
      <w:pPr>
        <w:spacing w:after="0" w:line="246"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This ADVISORY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Quantum-Si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Jonathan Rothberg, PhD. (“</w:t>
      </w:r>
      <w:r>
        <w:rPr>
          <w:rFonts w:ascii="Arial" w:cs="Arial" w:eastAsia="Arial" w:hAnsi="Arial"/>
          <w:sz w:val="18"/>
          <w:szCs w:val="18"/>
          <w:u w:val="single" w:color="auto"/>
          <w:color w:val="auto"/>
        </w:rPr>
        <w:t>Dr. Rothberg</w:t>
      </w:r>
      <w:r>
        <w:rPr>
          <w:rFonts w:ascii="Arial" w:cs="Arial" w:eastAsia="Arial" w:hAnsi="Arial"/>
          <w:sz w:val="18"/>
          <w:szCs w:val="18"/>
          <w:color w:val="auto"/>
        </w:rPr>
        <w: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WHEREAS, Dr. Rothberg serves on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and as the Chairman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Board; and</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21"/>
          <w:szCs w:val="21"/>
          <w:color w:val="auto"/>
        </w:rPr>
        <w:t>WHEREAS, the Company and Dr. Rothberg desire to entire into this Agreement setting forth the terms of Dr.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Rothberg’s consulting relationship with the Company and certain other matters relating to his advisor role.</w:t>
      </w:r>
    </w:p>
    <w:p>
      <w:pPr>
        <w:spacing w:after="0" w:line="215" w:lineRule="exact"/>
        <w:rPr>
          <w:sz w:val="20"/>
          <w:szCs w:val="20"/>
          <w:color w:val="auto"/>
        </w:rPr>
      </w:pPr>
    </w:p>
    <w:p>
      <w:pPr>
        <w:ind w:firstLine="972"/>
        <w:spacing w:after="0" w:line="250" w:lineRule="auto"/>
        <w:rPr>
          <w:sz w:val="20"/>
          <w:szCs w:val="20"/>
          <w:color w:val="auto"/>
        </w:rPr>
      </w:pPr>
      <w:r>
        <w:rPr>
          <w:rFonts w:ascii="Arial" w:cs="Arial" w:eastAsia="Arial" w:hAnsi="Arial"/>
          <w:sz w:val="22"/>
          <w:szCs w:val="22"/>
          <w:color w:val="auto"/>
        </w:rPr>
        <w:t>NOW, THEREFORE, in consideration of the premises and the mutual covenants and agreements herein contained, the parties hereto agree as follows:</w:t>
      </w:r>
    </w:p>
    <w:p>
      <w:pPr>
        <w:spacing w:after="0" w:line="196" w:lineRule="exact"/>
        <w:rPr>
          <w:sz w:val="20"/>
          <w:szCs w:val="20"/>
          <w:color w:val="auto"/>
        </w:rPr>
      </w:pPr>
    </w:p>
    <w:p>
      <w:pPr>
        <w:jc w:val="both"/>
        <w:ind w:firstLine="332"/>
        <w:spacing w:after="0" w:line="273" w:lineRule="auto"/>
        <w:tabs>
          <w:tab w:leader="none" w:pos="1323"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Consulting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Dr. Rothberg agrees to advise the Company’s Chief Executive Officer and the Board on</w:t>
      </w:r>
      <w:r>
        <w:rPr>
          <w:rFonts w:ascii="Arial" w:cs="Arial" w:eastAsia="Arial" w:hAnsi="Arial"/>
          <w:sz w:val="19"/>
          <w:szCs w:val="19"/>
          <w:b w:val="1"/>
          <w:bCs w:val="1"/>
          <w:color w:val="auto"/>
        </w:rPr>
        <w:t xml:space="preserve"> </w:t>
      </w:r>
      <w:r>
        <w:rPr>
          <w:rFonts w:ascii="Arial" w:cs="Arial" w:eastAsia="Arial" w:hAnsi="Arial"/>
          <w:sz w:val="19"/>
          <w:szCs w:val="19"/>
          <w:color w:val="auto"/>
        </w:rPr>
        <w:t>strategic matters, and to provide consulting, business development and similar services to the Company’s Chief Executive Officer and the Board relating to the Company’s current, future and potential scientific and strategic initiatives and such other consulting services to be reasonably requested and authorized by the Company’s Chief Executive Officer or the Board from time to time (in the aggregate, the “</w:t>
      </w:r>
      <w:r>
        <w:rPr>
          <w:rFonts w:ascii="Arial" w:cs="Arial" w:eastAsia="Arial" w:hAnsi="Arial"/>
          <w:sz w:val="19"/>
          <w:szCs w:val="19"/>
          <w:u w:val="single" w:color="auto"/>
          <w:color w:val="auto"/>
        </w:rPr>
        <w:t>Services</w:t>
      </w:r>
      <w:r>
        <w:rPr>
          <w:rFonts w:ascii="Arial" w:cs="Arial" w:eastAsia="Arial" w:hAnsi="Arial"/>
          <w:sz w:val="19"/>
          <w:szCs w:val="19"/>
          <w:color w:val="auto"/>
        </w:rPr>
        <w:t>”). Dr. Rothberg will be reasonably available to consult by phone, email or in person at the Company, or another mutually agreeable site with Company personnel, and any dates for visits to the Company’s offices will be arranged by mutual agreement. The term of this Agreement will commence on the Effective Date and continue until terminated as provided herein (the “</w:t>
      </w:r>
      <w:r>
        <w:rPr>
          <w:rFonts w:ascii="Arial" w:cs="Arial" w:eastAsia="Arial" w:hAnsi="Arial"/>
          <w:sz w:val="19"/>
          <w:szCs w:val="19"/>
          <w:u w:val="single" w:color="auto"/>
          <w:color w:val="auto"/>
        </w:rPr>
        <w:t>Service Period</w:t>
      </w:r>
      <w:r>
        <w:rPr>
          <w:rFonts w:ascii="Arial" w:cs="Arial" w:eastAsia="Arial" w:hAnsi="Arial"/>
          <w:sz w:val="19"/>
          <w:szCs w:val="19"/>
          <w:color w:val="auto"/>
        </w:rPr>
        <w:t>”). Dr. Rothberg agrees to devote that amount of time as is reasonably required by the Company for him to perform the Services, taking into account his other business obligations as in effect from time to time. Dr. Rothberg represents that he has the qualifications, the experience and the ability to properly perform the Services, and that he will use his best efforts to perform the Services such that the results are satisfactory to the Company.</w:t>
      </w:r>
    </w:p>
    <w:p>
      <w:pPr>
        <w:spacing w:after="0" w:line="182" w:lineRule="exact"/>
        <w:rPr>
          <w:rFonts w:ascii="Arial" w:cs="Arial" w:eastAsia="Arial" w:hAnsi="Arial"/>
          <w:sz w:val="19"/>
          <w:szCs w:val="19"/>
          <w:color w:val="auto"/>
        </w:rPr>
      </w:pPr>
    </w:p>
    <w:p>
      <w:pPr>
        <w:jc w:val="both"/>
        <w:ind w:firstLine="332"/>
        <w:spacing w:after="0" w:line="245" w:lineRule="auto"/>
        <w:tabs>
          <w:tab w:leader="none" w:pos="1080"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Independent Contractor</w:t>
      </w:r>
      <w:r>
        <w:rPr>
          <w:rFonts w:ascii="Arial" w:cs="Arial" w:eastAsia="Arial" w:hAnsi="Arial"/>
          <w:sz w:val="21"/>
          <w:szCs w:val="21"/>
          <w:b w:val="1"/>
          <w:bCs w:val="1"/>
          <w:color w:val="auto"/>
        </w:rPr>
        <w:t xml:space="preserve">. </w:t>
      </w:r>
      <w:r>
        <w:rPr>
          <w:rFonts w:ascii="Arial" w:cs="Arial" w:eastAsia="Arial" w:hAnsi="Arial"/>
          <w:sz w:val="21"/>
          <w:szCs w:val="21"/>
          <w:color w:val="auto"/>
        </w:rPr>
        <w:t>Dr. Rothberg’s relationship with the Company will be that of an independent contractor</w:t>
      </w:r>
      <w:r>
        <w:rPr>
          <w:rFonts w:ascii="Arial" w:cs="Arial" w:eastAsia="Arial" w:hAnsi="Arial"/>
          <w:sz w:val="21"/>
          <w:szCs w:val="21"/>
          <w:b w:val="1"/>
          <w:bCs w:val="1"/>
          <w:color w:val="auto"/>
        </w:rPr>
        <w:t xml:space="preserve"> </w:t>
      </w:r>
      <w:r>
        <w:rPr>
          <w:rFonts w:ascii="Arial" w:cs="Arial" w:eastAsia="Arial" w:hAnsi="Arial"/>
          <w:sz w:val="21"/>
          <w:szCs w:val="21"/>
          <w:color w:val="auto"/>
        </w:rPr>
        <w:t>and not that of an employee. Dr. Rothberg will be solely responsible for determining the method, details and means of performing the Services. Dr. Rothberg acknowledges and agrees that he will not be eligible for any benefits available to employees of the Company. Dr. Rothberg will perform those Services that are agreed upon by and between Dr. Rothberg and the Board and/or the Company’s Chief Executive Officer, and Dr. Rothberg will be required to report only to the Board concerning the Services performed under this Agreement. The nature and frequency of these reports will be left to the discretion of the Board. Dr. Rothberg will have full responsibility for applicable withholding taxes for all compensation paid to Dr. Rothberg under this Agreement, and will have full responsibility for compliance with all applicable labor and employment legal requirements with respect to Dr. Rothberg’s self-employment. Dr. Rothberg agrees to indemnify, defend and hold the Company harmless from any liability for, or assessment of, any claims or penalties with respect to such withholding taxes and labor or employment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7" w:name="page128"/>
    <w:bookmarkEnd w:id="127"/>
    <w:p>
      <w:pPr>
        <w:ind w:left="1080" w:hanging="748"/>
        <w:spacing w:after="0"/>
        <w:tabs>
          <w:tab w:leader="none" w:pos="1080"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Other Benefits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color w:val="auto"/>
        </w:rPr>
      </w:pPr>
    </w:p>
    <w:p>
      <w:pPr>
        <w:jc w:val="both"/>
        <w:ind w:firstLine="980"/>
        <w:spacing w:after="0" w:line="249" w:lineRule="auto"/>
        <w:tabs>
          <w:tab w:leader="none" w:pos="1752" w:val="left"/>
        </w:tabs>
        <w:numPr>
          <w:ilvl w:val="1"/>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Option Award</w:t>
      </w:r>
      <w:r>
        <w:rPr>
          <w:rFonts w:ascii="Arial" w:cs="Arial" w:eastAsia="Arial" w:hAnsi="Arial"/>
          <w:sz w:val="21"/>
          <w:szCs w:val="21"/>
          <w:b w:val="1"/>
          <w:bCs w:val="1"/>
          <w:color w:val="auto"/>
        </w:rPr>
        <w:t xml:space="preserve">. </w:t>
      </w:r>
      <w:r>
        <w:rPr>
          <w:rFonts w:ascii="Arial" w:cs="Arial" w:eastAsia="Arial" w:hAnsi="Arial"/>
          <w:sz w:val="21"/>
          <w:szCs w:val="21"/>
          <w:color w:val="auto"/>
        </w:rPr>
        <w:t>As compensation for the Services provided hereunder, subject to the approval of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grant to Dr. Rothberg an option to purchase 250,000 shares of the Company’s Class A common stock, par value $0.0001 per share, pursuant to the Company’s 2021 Equity Incentive Plan (the “</w:t>
      </w:r>
      <w:r>
        <w:rPr>
          <w:rFonts w:ascii="Arial" w:cs="Arial" w:eastAsia="Arial" w:hAnsi="Arial"/>
          <w:sz w:val="21"/>
          <w:szCs w:val="21"/>
          <w:u w:val="single" w:color="auto"/>
          <w:color w:val="auto"/>
        </w:rPr>
        <w:t>2021 Plan</w:t>
      </w:r>
      <w:r>
        <w:rPr>
          <w:rFonts w:ascii="Arial" w:cs="Arial" w:eastAsia="Arial" w:hAnsi="Arial"/>
          <w:sz w:val="21"/>
          <w:szCs w:val="21"/>
          <w:color w:val="auto"/>
        </w:rPr>
        <w:t>”), as of the date of the second business day following the Company’s earnings call with respect to the fiscal year ended December 31, 2022 (the “</w:t>
      </w:r>
      <w:r>
        <w:rPr>
          <w:rFonts w:ascii="Arial" w:cs="Arial" w:eastAsia="Arial" w:hAnsi="Arial"/>
          <w:sz w:val="21"/>
          <w:szCs w:val="21"/>
          <w:u w:val="single" w:color="auto"/>
          <w:color w:val="auto"/>
        </w:rPr>
        <w:t>Grant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at an exercise price equal to the fair market value on the Grant Date as determined under the 2021 Plan, such option to be for a period of ten years and to be immediately fully vested (the ‘Option”).</w:t>
      </w:r>
    </w:p>
    <w:p>
      <w:pPr>
        <w:spacing w:after="0" w:line="204" w:lineRule="exact"/>
        <w:rPr>
          <w:sz w:val="20"/>
          <w:szCs w:val="20"/>
          <w:color w:val="auto"/>
        </w:rPr>
      </w:pPr>
    </w:p>
    <w:p>
      <w:pPr>
        <w:ind w:firstLine="972"/>
        <w:spacing w:after="0" w:line="328" w:lineRule="auto"/>
        <w:rPr>
          <w:sz w:val="20"/>
          <w:szCs w:val="20"/>
          <w:color w:val="auto"/>
        </w:rPr>
      </w:pPr>
      <w:r>
        <w:rPr>
          <w:rFonts w:ascii="Arial" w:cs="Arial" w:eastAsia="Arial" w:hAnsi="Arial"/>
          <w:sz w:val="19"/>
          <w:szCs w:val="19"/>
          <w:color w:val="auto"/>
        </w:rPr>
        <w:t>The Company will reimburse Dr. Rothberg for his reasonable out-of-pocket expenses incurred in connection with the provision of the Services, pursuant to the terms and conditions of applicable Company policies and requirements.</w:t>
      </w:r>
    </w:p>
    <w:p>
      <w:pPr>
        <w:spacing w:after="0" w:line="126" w:lineRule="exact"/>
        <w:rPr>
          <w:sz w:val="20"/>
          <w:szCs w:val="20"/>
          <w:color w:val="auto"/>
        </w:rPr>
      </w:pPr>
    </w:p>
    <w:p>
      <w:pPr>
        <w:jc w:val="both"/>
        <w:ind w:firstLine="980"/>
        <w:spacing w:after="0" w:line="243" w:lineRule="auto"/>
        <w:tabs>
          <w:tab w:leader="none" w:pos="1723" w:val="left"/>
        </w:tabs>
        <w:numPr>
          <w:ilvl w:val="1"/>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Office Space, etc</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Service Period, the Company will provide Dr. Rothberg with reasonable office</w:t>
      </w:r>
      <w:r>
        <w:rPr>
          <w:rFonts w:ascii="Arial" w:cs="Arial" w:eastAsia="Arial" w:hAnsi="Arial"/>
          <w:sz w:val="22"/>
          <w:szCs w:val="22"/>
          <w:b w:val="1"/>
          <w:bCs w:val="1"/>
          <w:color w:val="auto"/>
        </w:rPr>
        <w:t xml:space="preserve"> </w:t>
      </w:r>
      <w:r>
        <w:rPr>
          <w:rFonts w:ascii="Arial" w:cs="Arial" w:eastAsia="Arial" w:hAnsi="Arial"/>
          <w:sz w:val="22"/>
          <w:szCs w:val="22"/>
          <w:color w:val="auto"/>
        </w:rPr>
        <w:t>space at the Company’s headquarters and access to secretarial and administrative assistance as needed so that he may perform his duties hereunder.</w:t>
      </w:r>
    </w:p>
    <w:p>
      <w:pPr>
        <w:spacing w:after="0" w:line="203" w:lineRule="exact"/>
        <w:rPr>
          <w:rFonts w:ascii="Arial" w:cs="Arial" w:eastAsia="Arial" w:hAnsi="Arial"/>
          <w:sz w:val="22"/>
          <w:szCs w:val="22"/>
          <w:color w:val="auto"/>
        </w:rPr>
      </w:pPr>
    </w:p>
    <w:p>
      <w:pPr>
        <w:jc w:val="both"/>
        <w:ind w:firstLine="980"/>
        <w:spacing w:after="0" w:line="260" w:lineRule="auto"/>
        <w:tabs>
          <w:tab w:leader="none" w:pos="1873" w:val="left"/>
        </w:tabs>
        <w:numPr>
          <w:ilvl w:val="1"/>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Prior Equity Awards</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avoidance of doubt, Dr. Rothberg’s outstanding Company equity awards,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the restricted stock unit grant under the Quantum-Si Incorporated 2013 Equity Incentive Plan, shall remain outstanding and administered in accordance with the terms and conditions of each award’s grant documentation.</w:t>
      </w:r>
    </w:p>
    <w:p>
      <w:pPr>
        <w:spacing w:after="0" w:line="187" w:lineRule="exact"/>
        <w:rPr>
          <w:rFonts w:ascii="Arial" w:cs="Arial" w:eastAsia="Arial" w:hAnsi="Arial"/>
          <w:sz w:val="21"/>
          <w:szCs w:val="21"/>
          <w:color w:val="auto"/>
        </w:rPr>
      </w:pPr>
    </w:p>
    <w:p>
      <w:pPr>
        <w:jc w:val="both"/>
        <w:ind w:firstLine="332"/>
        <w:spacing w:after="0" w:line="243" w:lineRule="auto"/>
        <w:tabs>
          <w:tab w:leader="none" w:pos="1026"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Either party may terminate this Agreement for any reason upon giving thirty (30) days’ advance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of such termination. In the event of such termination of this Agreement, Dr. Rothberg’s entitlements under the Option and Sections 3(c) of this Agreement will survive the termination of this Agreement.</w:t>
      </w:r>
    </w:p>
    <w:p>
      <w:pPr>
        <w:spacing w:after="0" w:line="203" w:lineRule="exact"/>
        <w:rPr>
          <w:rFonts w:ascii="Arial" w:cs="Arial" w:eastAsia="Arial" w:hAnsi="Arial"/>
          <w:sz w:val="22"/>
          <w:szCs w:val="22"/>
          <w:color w:val="auto"/>
        </w:rPr>
      </w:pPr>
    </w:p>
    <w:p>
      <w:pPr>
        <w:jc w:val="both"/>
        <w:ind w:firstLine="332"/>
        <w:spacing w:after="0" w:line="237" w:lineRule="auto"/>
        <w:tabs>
          <w:tab w:leader="none" w:pos="1066"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Dr. Rothberg hereby reaffirms and agrees to comply with the policies and procedures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affiliates for protecting confidential information and will never disclose to any person (except as required by applicable law or for the proper performance of his duties and responsibilities to the Company and its affiliates), or use for his own benefit or gain, any confidential information obtained by Dr. Rothberg incident to his association with the Company or any of its affiliates.</w:t>
      </w:r>
    </w:p>
    <w:p>
      <w:pPr>
        <w:spacing w:after="0" w:line="208" w:lineRule="exact"/>
        <w:rPr>
          <w:rFonts w:ascii="Arial" w:cs="Arial" w:eastAsia="Arial" w:hAnsi="Arial"/>
          <w:sz w:val="22"/>
          <w:szCs w:val="22"/>
          <w:color w:val="auto"/>
        </w:rPr>
      </w:pPr>
    </w:p>
    <w:p>
      <w:pPr>
        <w:jc w:val="both"/>
        <w:ind w:firstLine="332"/>
        <w:spacing w:after="0" w:line="273" w:lineRule="auto"/>
        <w:tabs>
          <w:tab w:leader="none" w:pos="1431"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Conflicts with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Dr. Rothberg represents and warrants that he is not under any pre-existing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in conflict or in any way inconsistent with the provisions of this Agreement. Dr. Rothberg represents and warrants that Dr. Rothberg’s performance of all the terms of this Agreement will not breach any agreement to keep in confidence proprietary information acquired by Dr. Rothberg in confidence or in trust prior to commencement of this Agreement. Dr. Rothberg warrants that Dr. Rothberg has the right to disclose and/or or use all ideas, processes, techniques and other information, if any, which Dr. Rothberg has gained from third parties, and which Dr. Rothberg discloses to the Company or uses in the course of performance of this Agreement, without liability to such third parties. Notwithstanding the foregoing, Dr. Rothberg agrees that he will not bundle with or incorporate into any deliveries provided to the Company herewith any third party products, ideas, processes, or other techniques, without the express, written prior approval of the Company. Dr. Rothberg represents and warrants that he has not granted and will not grant any rights or licenses to any intellectual property or technology that would conflict with his obligations under this Agreement. Dr. Rothberg will not knowingly infringe upon any copyright, patent, trade secret or other property right of any former client, employer or third party in the performance of the Services required by this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8" w:name="page129"/>
    <w:bookmarkEnd w:id="128"/>
    <w:p>
      <w:pPr>
        <w:jc w:val="both"/>
        <w:ind w:firstLine="332"/>
        <w:spacing w:after="0" w:line="254" w:lineRule="auto"/>
        <w:tabs>
          <w:tab w:leader="none" w:pos="1053"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intended to comply with, or be exempt from, the requirements of Section 409A of</w:t>
      </w:r>
      <w:r>
        <w:rPr>
          <w:rFonts w:ascii="Arial" w:cs="Arial" w:eastAsia="Arial" w:hAnsi="Arial"/>
          <w:sz w:val="21"/>
          <w:szCs w:val="21"/>
          <w:b w:val="1"/>
          <w:bCs w:val="1"/>
          <w:color w:val="auto"/>
        </w:rPr>
        <w:t xml:space="preserve"> </w:t>
      </w:r>
      <w:r>
        <w:rPr>
          <w:rFonts w:ascii="Arial" w:cs="Arial" w:eastAsia="Arial" w:hAnsi="Arial"/>
          <w:sz w:val="21"/>
          <w:szCs w:val="21"/>
          <w:color w:val="auto"/>
        </w:rPr>
        <w:t>the Internal Revenue Code of 1986, as amended, and shall be construed consistent with such intent. Notwithstanding the foregoing, in no event shall the Company have any liability relating to the failure or alleged failure of any payment or benefit under this Agreement to comply with, or be exempt from, the requirements of Section 409A.</w:t>
      </w:r>
    </w:p>
    <w:p>
      <w:pPr>
        <w:spacing w:after="0" w:line="193" w:lineRule="exact"/>
        <w:rPr>
          <w:rFonts w:ascii="Arial" w:cs="Arial" w:eastAsia="Arial" w:hAnsi="Arial"/>
          <w:sz w:val="21"/>
          <w:szCs w:val="21"/>
          <w:color w:val="auto"/>
        </w:rPr>
      </w:pPr>
    </w:p>
    <w:p>
      <w:pPr>
        <w:ind w:left="1080" w:hanging="748"/>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color w:val="auto"/>
        </w:rPr>
      </w:pPr>
    </w:p>
    <w:p>
      <w:pPr>
        <w:jc w:val="both"/>
        <w:ind w:firstLine="980"/>
        <w:spacing w:after="0" w:line="283" w:lineRule="auto"/>
        <w:tabs>
          <w:tab w:leader="none" w:pos="1725" w:val="left"/>
        </w:tabs>
        <w:numPr>
          <w:ilvl w:val="1"/>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and Termination of Executive Chairman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w:t>
      </w:r>
      <w:r>
        <w:rPr>
          <w:rFonts w:ascii="Arial" w:cs="Arial" w:eastAsia="Arial" w:hAnsi="Arial"/>
          <w:sz w:val="19"/>
          <w:szCs w:val="19"/>
          <w:b w:val="1"/>
          <w:bCs w:val="1"/>
          <w:color w:val="auto"/>
        </w:rPr>
        <w:t xml:space="preserve"> </w:t>
      </w:r>
      <w:r>
        <w:rPr>
          <w:rFonts w:ascii="Arial" w:cs="Arial" w:eastAsia="Arial" w:hAnsi="Arial"/>
          <w:sz w:val="19"/>
          <w:szCs w:val="19"/>
          <w:color w:val="auto"/>
        </w:rPr>
        <w:t>sole agreement of the parties and supersedes all oral negotiations and prior writings with respect to the subject matter hereof, including the Executive Chairman Agreement between Dr. Rothberg and the Company dated as of June 10, 2021 (the “Executive Chairman Agreement’). The parties acknowledge and agree that the Executive Chairman Agreement is terminated as of the Effective Date, and waive any advance notice of termination provision included in the Executive Chairman Agreement.</w:t>
      </w:r>
    </w:p>
    <w:p>
      <w:pPr>
        <w:spacing w:after="0" w:line="169" w:lineRule="exact"/>
        <w:rPr>
          <w:rFonts w:ascii="Arial" w:cs="Arial" w:eastAsia="Arial" w:hAnsi="Arial"/>
          <w:sz w:val="19"/>
          <w:szCs w:val="19"/>
          <w:color w:val="auto"/>
        </w:rPr>
      </w:pPr>
    </w:p>
    <w:p>
      <w:pPr>
        <w:ind w:right="20" w:firstLine="980"/>
        <w:spacing w:after="0" w:line="256" w:lineRule="auto"/>
        <w:tabs>
          <w:tab w:leader="none" w:pos="1791" w:val="left"/>
        </w:tabs>
        <w:numPr>
          <w:ilvl w:val="1"/>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and Waivers</w:t>
      </w:r>
      <w:r>
        <w:rPr>
          <w:rFonts w:ascii="Arial" w:cs="Arial" w:eastAsia="Arial" w:hAnsi="Arial"/>
          <w:sz w:val="22"/>
          <w:szCs w:val="22"/>
          <w:b w:val="1"/>
          <w:bCs w:val="1"/>
          <w:color w:val="auto"/>
        </w:rPr>
        <w:t xml:space="preserve">. </w:t>
      </w:r>
      <w:r>
        <w:rPr>
          <w:rFonts w:ascii="Arial" w:cs="Arial" w:eastAsia="Arial" w:hAnsi="Arial"/>
          <w:sz w:val="22"/>
          <w:szCs w:val="22"/>
          <w:color w:val="auto"/>
        </w:rPr>
        <w:t>Any term of this Agreement may be amended or waived only with the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parties.</w:t>
      </w:r>
    </w:p>
    <w:p>
      <w:pPr>
        <w:spacing w:after="0" w:line="189" w:lineRule="exact"/>
        <w:rPr>
          <w:rFonts w:ascii="Arial" w:cs="Arial" w:eastAsia="Arial" w:hAnsi="Arial"/>
          <w:sz w:val="22"/>
          <w:szCs w:val="22"/>
          <w:color w:val="auto"/>
        </w:rPr>
      </w:pPr>
    </w:p>
    <w:p>
      <w:pPr>
        <w:ind w:firstLine="980"/>
        <w:spacing w:after="0" w:line="256" w:lineRule="auto"/>
        <w:tabs>
          <w:tab w:leader="none" w:pos="1995" w:val="left"/>
        </w:tabs>
        <w:numPr>
          <w:ilvl w:val="1"/>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Choice of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validity, interpretation, construction and performance of this Agreement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Connecticut, without giving effect to the principles of conflict of laws.</w:t>
      </w:r>
    </w:p>
    <w:p>
      <w:pPr>
        <w:spacing w:after="0" w:line="189" w:lineRule="exact"/>
        <w:rPr>
          <w:rFonts w:ascii="Arial" w:cs="Arial" w:eastAsia="Arial" w:hAnsi="Arial"/>
          <w:sz w:val="22"/>
          <w:szCs w:val="22"/>
          <w:color w:val="auto"/>
        </w:rPr>
      </w:pPr>
    </w:p>
    <w:p>
      <w:pPr>
        <w:jc w:val="both"/>
        <w:ind w:firstLine="980"/>
        <w:spacing w:after="0" w:line="239" w:lineRule="auto"/>
        <w:tabs>
          <w:tab w:leader="none" w:pos="1683" w:val="left"/>
        </w:tabs>
        <w:numPr>
          <w:ilvl w:val="1"/>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one or more provisions of this Agreement are held to be unenforceable under applicable law,</w:t>
      </w:r>
      <w:r>
        <w:rPr>
          <w:rFonts w:ascii="Arial" w:cs="Arial" w:eastAsia="Arial" w:hAnsi="Arial"/>
          <w:sz w:val="22"/>
          <w:szCs w:val="22"/>
          <w:b w:val="1"/>
          <w:bCs w:val="1"/>
          <w:color w:val="auto"/>
        </w:rPr>
        <w:t xml:space="preserve"> </w:t>
      </w:r>
      <w:r>
        <w:rPr>
          <w:rFonts w:ascii="Arial" w:cs="Arial" w:eastAsia="Arial" w:hAnsi="Arial"/>
          <w:sz w:val="22"/>
          <w:szCs w:val="22"/>
          <w:color w:val="auto"/>
        </w:rPr>
        <w:t>such portion will be deemed to be modified or altered to the extent necessary to conform thereto or, if that is not possible, to be omitted from this Agreement. The invalidity of any such portion will not affect the force, effect, and validity of the remaining portion hereof.</w:t>
      </w:r>
    </w:p>
    <w:p>
      <w:pPr>
        <w:spacing w:after="0" w:line="207" w:lineRule="exact"/>
        <w:rPr>
          <w:rFonts w:ascii="Arial" w:cs="Arial" w:eastAsia="Arial" w:hAnsi="Arial"/>
          <w:sz w:val="22"/>
          <w:szCs w:val="22"/>
          <w:color w:val="auto"/>
        </w:rPr>
      </w:pPr>
    </w:p>
    <w:p>
      <w:pPr>
        <w:ind w:right="20" w:firstLine="980"/>
        <w:spacing w:after="0" w:line="256" w:lineRule="auto"/>
        <w:tabs>
          <w:tab w:leader="none" w:pos="1738" w:val="left"/>
        </w:tabs>
        <w:numPr>
          <w:ilvl w:val="1"/>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each of which will be deemed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but all of which together will constitute one and the same instrument.</w:t>
      </w:r>
    </w:p>
    <w:p>
      <w:pPr>
        <w:spacing w:after="0" w:line="189" w:lineRule="exact"/>
        <w:rPr>
          <w:rFonts w:ascii="Arial" w:cs="Arial" w:eastAsia="Arial" w:hAnsi="Arial"/>
          <w:sz w:val="22"/>
          <w:szCs w:val="22"/>
          <w:color w:val="auto"/>
        </w:rPr>
      </w:pPr>
    </w:p>
    <w:p>
      <w:pPr>
        <w:jc w:val="both"/>
        <w:ind w:firstLine="980"/>
        <w:spacing w:after="0" w:line="236" w:lineRule="auto"/>
        <w:tabs>
          <w:tab w:leader="none" w:pos="1998" w:val="left"/>
        </w:tabs>
        <w:numPr>
          <w:ilvl w:val="1"/>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personal to Dr. Rothberg and, without the prior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will not be assignable by Dr. Rothberg otherwise than by will or the laws of descent and distribution. This Agreement will inure to the benefit of and be enforceable by Dr. Rothberg’s legal representatives. This Agreement will inure to the benefit of and be binding upon the Company and its successors and assigns. As used in this Agreement, “the Company” will mean both the Company as defined above and any such successor that assumes and agrees to perform this Agreement, by operation of law or otherwise.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p>
      <w:pPr>
        <w:jc w:val="both"/>
        <w:ind w:left="-20" w:firstLine="980"/>
        <w:spacing w:after="0" w:line="237" w:lineRule="auto"/>
        <w:tabs>
          <w:tab w:leader="none" w:pos="1798"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Advice of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ACKNOWLEDGES THAT, IN EXECUTING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HAS HAD THE OPPORTUNITY TO SEEK THE ADVICE OF INDEPENDENT LEGAL COUNSEL, AND HAS READ AND UNDERSTOOD ALL OF THE TERMS AND PROVISIONS OF THIS AGREEMENT. THIS AGREEMENT SHALL NOT BE CONSTRUED AGAINST ANY PARTY BY REASON OF THE DRAFTING OR PREPARATION 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9"/>
          <w:szCs w:val="19"/>
          <w:color w:val="auto"/>
        </w:rPr>
        <w:t>This Agreement has been executed as a sealed instrument by the Company, by its duly authorized representative and by Dr.</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Rothberg.</w:t>
      </w:r>
    </w:p>
    <w:p>
      <w:pPr>
        <w:spacing w:after="0" w:line="22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QUANTUM-SI INCORPORATED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Christian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23495</wp:posOffset>
            </wp:positionV>
            <wp:extent cx="263144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Christian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23495</wp:posOffset>
            </wp:positionV>
            <wp:extent cx="24942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5360"/>
        <w:spacing w:after="0"/>
        <w:tabs>
          <w:tab w:leader="none" w:pos="5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23495</wp:posOffset>
            </wp:positionV>
            <wp:extent cx="24942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Advisory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600" w:top="118" w:right="61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This Agreement has been executed as a sealed instrument by the Company, by its duly authorized representative and by Dr.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Rothberg.</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JONATHAN ROTHBERG, PH.D.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Jonathan Rothberg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to Advisory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8" w:right="89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10.9</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December 8,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GRACE JOHNSTON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Grace:</w:t>
      </w:r>
    </w:p>
    <w:p>
      <w:pPr>
        <w:spacing w:after="0" w:line="233"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On behalf of Quantum-Si, I am pleased to offer you a position as Chief Commercial Officer beginning as soon as practical. You will report to Jeff Hawkins. Your annualized compensation in this position will consist of an annual base salary of $420,000 paid in twice monthly pay periods, less required deductions.</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For calendar year 2023, you will receive a discretionary bonus with a target of 50% of base salary based on goals, objectives, and performance metrics to be determined by Quantum-Si’s management. Such bonus will be paid in March, 2024. It will be a condition of your eligibility to receive any bonus that you remain employed with Quantum-Si through the scheduled date of payment of such bonus.</w:t>
      </w:r>
    </w:p>
    <w:p>
      <w:pPr>
        <w:spacing w:after="0" w:line="212"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In addition to the outlined cash compensation, you will receive 350,000 stock options in Quantum-Si, that (i) will be subject to the approval of the Quantum-Si’s Board of Directors, (ii) will be subject to the terms of the grant documents therefore, (iii) subject to continued service and the specific terms of your grant, will vest over a four year period with the following schedule: 25% on the last day of the calendar quarter of the one year anniversary of your start date, and 2.083% at the end of each month thereafter.</w:t>
      </w:r>
    </w:p>
    <w:p>
      <w:pPr>
        <w:spacing w:after="0" w:line="214"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You will be based out of your home office in Massachusetts until relocating to Quantum-Si’s facility in San Diego, CA. Relocation is expected within 9 months of your start date. You will receive a one-time taxable payment of $150,000 within 30 days following your move, less required deductions, for relocation costs. The Company will need supporting documentation that shows you have moved prior to payment being paid. Such $150,000 payment will be recoverable in full by the company in the event you voluntarily terminate your employment or are terminated with cause prior to 12 months following payment.</w:t>
      </w:r>
    </w:p>
    <w:p>
      <w:pPr>
        <w:spacing w:after="0" w:line="17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Quantum-Si recognizes the need for employees to take time away from the office to creatively recharge. We also believe in taking personal responsibility for managing our own time, workload and results. For these reasons our Flexible Paid Time Off (FPTO) policy affords eligible employees the flexibility to be given an indeterminate amount of paid time off from work for vacation, personal or family obligations and other personal requirements, subject to the requirements of the policy, including advance notice and prior approval in Quantum-Si’s discretion. In no event will any employee be compensated for unused vacation time. You will also be eligible to participate in medical and other benefit plans in accordance with the rules and eligibility of those plans currently in effect. Health insurance shall commence on your start date. Further, while we expect you to remain with Quantum-Si for a long time, this letter is not an employment contract and you will be an at-will employee. This letter is subject to successful completion of a background check. By signing this letter, you authorize Quantum-Si to conduct such background and reference check Quantum-Si considers the protection of its confidential information, proprietary materials and goodwill to be extremely important. As a condition of this offer of employment, you are required to sign Quantum-Si’s Non-solicit, Confidentiality and Intellectual Property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3" w:name="page134"/>
    <w:bookmarkEnd w:id="133"/>
    <w:p>
      <w:pPr>
        <w:spacing w:after="0" w:line="248" w:lineRule="auto"/>
        <w:rPr>
          <w:sz w:val="20"/>
          <w:szCs w:val="20"/>
          <w:color w:val="auto"/>
        </w:rPr>
      </w:pPr>
      <w:r>
        <w:rPr>
          <w:rFonts w:ascii="Arial" w:cs="Arial" w:eastAsia="Arial" w:hAnsi="Arial"/>
          <w:sz w:val="21"/>
          <w:szCs w:val="21"/>
          <w:color w:val="auto"/>
        </w:rPr>
        <w:t>We appreciate your exceptional talent and are very excited about you joining our growing and dynamic team at Quantum-Si. We firmly believe that Quantum-Si offers a unique combination of emotional, intellectual, and interpersonal stimulation that will be truly enjoyable. As a member of our growing team you will be in the rare position of helping to shape the culture and direction of our organization. We have tremendous opportunities ahead of us, and I am confident you have the expertise required to help us achieve our objectives. If you have any questions regarding this offer, the position, or the company’s benefits programs, please do not hesitate to reach out.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Please note that this offer will expire on December 12, 2022 unless accepted by you in writing prior to such date.</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Quantum-Si, Incorporated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23495</wp:posOffset>
            </wp:positionV>
            <wp:extent cx="33686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Jeff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22860</wp:posOffset>
            </wp:positionV>
            <wp:extent cx="30600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Grace Johnston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Grace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Work Order No.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Protein Engineering Collaboration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March 13, 2023</w:t>
      </w:r>
    </w:p>
    <w:p>
      <w:pPr>
        <w:spacing w:after="0" w:line="215"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This Services Work Order (“Work Order”) is made pursuant to, and is governed by, the Technology and Services Exchange Agreement (“</w:t>
      </w:r>
      <w:r>
        <w:rPr>
          <w:rFonts w:ascii="Arial" w:cs="Arial" w:eastAsia="Arial" w:hAnsi="Arial"/>
          <w:sz w:val="19"/>
          <w:szCs w:val="19"/>
          <w:b w:val="1"/>
          <w:bCs w:val="1"/>
          <w:color w:val="auto"/>
        </w:rPr>
        <w:t>TSEA</w:t>
      </w:r>
      <w:r>
        <w:rPr>
          <w:rFonts w:ascii="Arial" w:cs="Arial" w:eastAsia="Arial" w:hAnsi="Arial"/>
          <w:sz w:val="19"/>
          <w:szCs w:val="19"/>
          <w:color w:val="auto"/>
        </w:rPr>
        <w:t>”) between Quantum-Si Incorporated (“</w:t>
      </w:r>
      <w:r>
        <w:rPr>
          <w:rFonts w:ascii="Arial" w:cs="Arial" w:eastAsia="Arial" w:hAnsi="Arial"/>
          <w:sz w:val="19"/>
          <w:szCs w:val="19"/>
          <w:b w:val="1"/>
          <w:bCs w:val="1"/>
          <w:color w:val="auto"/>
        </w:rPr>
        <w:t>Q-Si</w:t>
      </w:r>
      <w:r>
        <w:rPr>
          <w:rFonts w:ascii="Arial" w:cs="Arial" w:eastAsia="Arial" w:hAnsi="Arial"/>
          <w:sz w:val="19"/>
          <w:szCs w:val="19"/>
          <w:color w:val="auto"/>
        </w:rPr>
        <w:t>”) and Protein Evolution, Inc. (“</w:t>
      </w:r>
      <w:r>
        <w:rPr>
          <w:rFonts w:ascii="Arial" w:cs="Arial" w:eastAsia="Arial" w:hAnsi="Arial"/>
          <w:sz w:val="19"/>
          <w:szCs w:val="19"/>
          <w:b w:val="1"/>
          <w:bCs w:val="1"/>
          <w:color w:val="auto"/>
        </w:rPr>
        <w:t>PEI</w:t>
      </w:r>
      <w:r>
        <w:rPr>
          <w:rFonts w:ascii="Arial" w:cs="Arial" w:eastAsia="Arial" w:hAnsi="Arial"/>
          <w:sz w:val="19"/>
          <w:szCs w:val="19"/>
          <w:color w:val="auto"/>
        </w:rPr>
        <w:t>”), joined by PEI on August 11, 2021 and made effective as of the Effective Time (as defined in the TSEA). As used herein, a “</w:t>
      </w:r>
      <w:r>
        <w:rPr>
          <w:rFonts w:ascii="Arial" w:cs="Arial" w:eastAsia="Arial" w:hAnsi="Arial"/>
          <w:sz w:val="19"/>
          <w:szCs w:val="19"/>
          <w:b w:val="1"/>
          <w:bCs w:val="1"/>
          <w:color w:val="auto"/>
        </w:rPr>
        <w:t>Party</w:t>
      </w:r>
      <w:r>
        <w:rPr>
          <w:rFonts w:ascii="Arial" w:cs="Arial" w:eastAsia="Arial" w:hAnsi="Arial"/>
          <w:sz w:val="19"/>
          <w:szCs w:val="19"/>
          <w:color w:val="auto"/>
        </w:rPr>
        <w:t>” means Q-Si (and its wholly owned subsidiary, Quantum-Si France) or PEI, and the “</w:t>
      </w:r>
      <w:r>
        <w:rPr>
          <w:rFonts w:ascii="Arial" w:cs="Arial" w:eastAsia="Arial" w:hAnsi="Arial"/>
          <w:sz w:val="19"/>
          <w:szCs w:val="19"/>
          <w:b w:val="1"/>
          <w:bCs w:val="1"/>
          <w:color w:val="auto"/>
        </w:rPr>
        <w:t>Parties</w:t>
      </w:r>
      <w:r>
        <w:rPr>
          <w:rFonts w:ascii="Arial" w:cs="Arial" w:eastAsia="Arial" w:hAnsi="Arial"/>
          <w:sz w:val="19"/>
          <w:szCs w:val="19"/>
          <w:color w:val="auto"/>
        </w:rPr>
        <w:t>” means Q-Si and PEI. This Work Order is made effective as of October 1, 2022 on the last date of signature below, having been signed by both Parties.</w:t>
      </w:r>
    </w:p>
    <w:p>
      <w:pPr>
        <w:spacing w:after="0" w:line="17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Work Order</w:t>
      </w:r>
    </w:p>
    <w:p>
      <w:pPr>
        <w:spacing w:after="0" w:line="249" w:lineRule="exact"/>
        <w:rPr>
          <w:sz w:val="20"/>
          <w:szCs w:val="20"/>
          <w:color w:val="auto"/>
        </w:rPr>
      </w:pPr>
    </w:p>
    <w:p>
      <w:pPr>
        <w:ind w:left="340" w:right="100"/>
        <w:spacing w:after="0" w:line="279" w:lineRule="auto"/>
        <w:rPr>
          <w:sz w:val="20"/>
          <w:szCs w:val="20"/>
          <w:color w:val="auto"/>
        </w:rPr>
      </w:pPr>
      <w:r>
        <w:rPr>
          <w:rFonts w:ascii="Arial" w:cs="Arial" w:eastAsia="Arial" w:hAnsi="Arial"/>
          <w:sz w:val="19"/>
          <w:szCs w:val="19"/>
          <w:color w:val="auto"/>
        </w:rPr>
        <w:t>The objective of the Work Order is to develop technology and methods in the field of nanobodies and potentially other binders to produce novel biological reagents and data relating thereto (as more specifically defined in the Work Plan, the “</w:t>
      </w:r>
      <w:r>
        <w:rPr>
          <w:rFonts w:ascii="Arial" w:cs="Arial" w:eastAsia="Arial" w:hAnsi="Arial"/>
          <w:sz w:val="19"/>
          <w:szCs w:val="19"/>
          <w:b w:val="1"/>
          <w:bCs w:val="1"/>
          <w:color w:val="auto"/>
        </w:rPr>
        <w:t>Reagents</w:t>
      </w:r>
      <w:r>
        <w:rPr>
          <w:rFonts w:ascii="Arial" w:cs="Arial" w:eastAsia="Arial" w:hAnsi="Arial"/>
          <w:sz w:val="19"/>
          <w:szCs w:val="19"/>
          <w:color w:val="auto"/>
        </w:rPr>
        <w:t>”) useful to Q-Si and PEI in their respective core business areas. Q-Si will provide research and development services (the “</w:t>
      </w:r>
      <w:r>
        <w:rPr>
          <w:rFonts w:ascii="Arial" w:cs="Arial" w:eastAsia="Arial" w:hAnsi="Arial"/>
          <w:sz w:val="19"/>
          <w:szCs w:val="19"/>
          <w:b w:val="1"/>
          <w:bCs w:val="1"/>
          <w:color w:val="auto"/>
        </w:rPr>
        <w:t>Services</w:t>
      </w:r>
      <w:r>
        <w:rPr>
          <w:rFonts w:ascii="Arial" w:cs="Arial" w:eastAsia="Arial" w:hAnsi="Arial"/>
          <w:sz w:val="19"/>
          <w:szCs w:val="19"/>
          <w:color w:val="auto"/>
        </w:rPr>
        <w:t>”) and (i) deliver all Reagents and (ii) disclose all other biological materials, data, written materials, methods, processes, technologies and other results of the Services (the “Process Results,” and collectively with the Reagents, the “</w:t>
      </w:r>
      <w:r>
        <w:rPr>
          <w:rFonts w:ascii="Arial" w:cs="Arial" w:eastAsia="Arial" w:hAnsi="Arial"/>
          <w:sz w:val="19"/>
          <w:szCs w:val="19"/>
          <w:b w:val="1"/>
          <w:bCs w:val="1"/>
          <w:color w:val="auto"/>
        </w:rPr>
        <w:t>Results</w:t>
      </w:r>
      <w:r>
        <w:rPr>
          <w:rFonts w:ascii="Arial" w:cs="Arial" w:eastAsia="Arial" w:hAnsi="Arial"/>
          <w:sz w:val="19"/>
          <w:szCs w:val="19"/>
          <w:color w:val="auto"/>
        </w:rPr>
        <w:t>”) to PEI. The Services will be described in a Work Plan that is approved by both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Work Plan and Budget</w:t>
      </w:r>
    </w:p>
    <w:p>
      <w:pPr>
        <w:spacing w:after="0" w:line="249" w:lineRule="exact"/>
        <w:rPr>
          <w:sz w:val="20"/>
          <w:szCs w:val="20"/>
          <w:color w:val="auto"/>
        </w:rPr>
      </w:pPr>
    </w:p>
    <w:p>
      <w:pPr>
        <w:ind w:left="340" w:right="100"/>
        <w:spacing w:after="0" w:line="246" w:lineRule="auto"/>
        <w:rPr>
          <w:sz w:val="20"/>
          <w:szCs w:val="20"/>
          <w:color w:val="auto"/>
        </w:rPr>
      </w:pPr>
      <w:r>
        <w:rPr>
          <w:rFonts w:ascii="Arial" w:cs="Arial" w:eastAsia="Arial" w:hAnsi="Arial"/>
          <w:sz w:val="21"/>
          <w:szCs w:val="21"/>
          <w:color w:val="auto"/>
        </w:rPr>
        <w:t>The Parties will cooperate to develop a mutually acceptable, reasonably detailed description of the research and development activities, timelines, responsibilities, and deliverables (the “</w:t>
      </w:r>
      <w:r>
        <w:rPr>
          <w:rFonts w:ascii="Arial" w:cs="Arial" w:eastAsia="Arial" w:hAnsi="Arial"/>
          <w:sz w:val="21"/>
          <w:szCs w:val="21"/>
          <w:b w:val="1"/>
          <w:bCs w:val="1"/>
          <w:color w:val="auto"/>
        </w:rPr>
        <w:t>Work Plan</w:t>
      </w:r>
      <w:r>
        <w:rPr>
          <w:rFonts w:ascii="Arial" w:cs="Arial" w:eastAsia="Arial" w:hAnsi="Arial"/>
          <w:sz w:val="21"/>
          <w:szCs w:val="21"/>
          <w:color w:val="auto"/>
        </w:rPr>
        <w:t>”). The Work Plan will include a detailed budget that includes FTEs, materials and any other significant expenditures, all of which shall be charged at cost except as otherwise expressly agreed (the “</w:t>
      </w:r>
      <w:r>
        <w:rPr>
          <w:rFonts w:ascii="Arial" w:cs="Arial" w:eastAsia="Arial" w:hAnsi="Arial"/>
          <w:sz w:val="21"/>
          <w:szCs w:val="21"/>
          <w:b w:val="1"/>
          <w:bCs w:val="1"/>
          <w:color w:val="auto"/>
        </w:rPr>
        <w:t>Budget</w:t>
      </w:r>
      <w:r>
        <w:rPr>
          <w:rFonts w:ascii="Arial" w:cs="Arial" w:eastAsia="Arial" w:hAnsi="Arial"/>
          <w:sz w:val="21"/>
          <w:szCs w:val="21"/>
          <w:color w:val="auto"/>
        </w:rPr>
        <w:t>”). The Services will be performed over a 24 month period, subject to extensions as may be agreed by the Parties. Q-Si will provide PEI monthly written updates with respect to progress under the Work Plan and expenditures against the Budget and quarterly advances described below. Expenditures against quarterly advances will be accompanied by supporting documentation as reasonably requested by PEI. The Work Plan will specify the content of the updates in more detail.</w:t>
      </w:r>
    </w:p>
    <w:p>
      <w:pPr>
        <w:spacing w:after="0" w:line="207" w:lineRule="exact"/>
        <w:rPr>
          <w:sz w:val="20"/>
          <w:szCs w:val="20"/>
          <w:color w:val="auto"/>
        </w:rPr>
      </w:pPr>
    </w:p>
    <w:p>
      <w:pPr>
        <w:ind w:left="340" w:right="160"/>
        <w:spacing w:after="0" w:line="279" w:lineRule="auto"/>
        <w:rPr>
          <w:sz w:val="20"/>
          <w:szCs w:val="20"/>
          <w:color w:val="auto"/>
        </w:rPr>
      </w:pPr>
      <w:r>
        <w:rPr>
          <w:rFonts w:ascii="Arial" w:cs="Arial" w:eastAsia="Arial" w:hAnsi="Arial"/>
          <w:sz w:val="19"/>
          <w:szCs w:val="19"/>
          <w:color w:val="auto"/>
        </w:rPr>
        <w:t>PEI will pay Q-Si for the Services in accordance with the Budget in an amount of €56,201.60 plus $3,932.69 (converted to Euros on March 1, 2023) for October 1, 2022 to December 31, 2022, and beginning as of January 1, 2023 an annual amount (pro-rated for 2024) not to exceed €193,895.52, unless otherwise agreed by PEI in its sole discretion. Q-Si will invoice PEI quarterly in advance or as soon as practicable thereafter for the Services. Only specific costs or fees in Q-Si’s invoices accompanied by supporting documentation, as reasonably requested by PEI, shall be paid. PEI will have the right to conduct annual audits of Q-Si’s expenditures in connection with the Services and the invoices issued by Q-Si to PEI.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5" w:name="page136"/>
    <w:bookmarkEnd w:id="135"/>
    <w:p>
      <w:pPr>
        <w:ind w:left="332" w:hanging="332"/>
        <w:spacing w:after="0"/>
        <w:tabs>
          <w:tab w:leader="none" w:pos="3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Results and intellectual property rights</w:t>
      </w:r>
    </w:p>
    <w:p>
      <w:pPr>
        <w:spacing w:after="0" w:line="248"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Definitions</w:t>
      </w:r>
    </w:p>
    <w:p>
      <w:pPr>
        <w:spacing w:after="0" w:line="227" w:lineRule="exact"/>
        <w:rPr>
          <w:sz w:val="20"/>
          <w:szCs w:val="20"/>
          <w:color w:val="auto"/>
        </w:rPr>
      </w:pPr>
    </w:p>
    <w:p>
      <w:pPr>
        <w:ind w:left="3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Results</w:t>
      </w:r>
      <w:r>
        <w:rPr>
          <w:rFonts w:ascii="Arial" w:cs="Arial" w:eastAsia="Arial" w:hAnsi="Arial"/>
          <w:sz w:val="22"/>
          <w:szCs w:val="22"/>
          <w:color w:val="auto"/>
        </w:rPr>
        <w:t>,” “</w:t>
      </w:r>
      <w:r>
        <w:rPr>
          <w:rFonts w:ascii="Arial" w:cs="Arial" w:eastAsia="Arial" w:hAnsi="Arial"/>
          <w:sz w:val="22"/>
          <w:szCs w:val="22"/>
          <w:b w:val="1"/>
          <w:bCs w:val="1"/>
          <w:color w:val="auto"/>
        </w:rPr>
        <w:t>Reagents</w:t>
      </w:r>
      <w:r>
        <w:rPr>
          <w:rFonts w:ascii="Arial" w:cs="Arial" w:eastAsia="Arial" w:hAnsi="Arial"/>
          <w:sz w:val="22"/>
          <w:szCs w:val="22"/>
          <w:color w:val="auto"/>
        </w:rPr>
        <w:t>” and “</w:t>
      </w:r>
      <w:r>
        <w:rPr>
          <w:rFonts w:ascii="Arial" w:cs="Arial" w:eastAsia="Arial" w:hAnsi="Arial"/>
          <w:sz w:val="22"/>
          <w:szCs w:val="22"/>
          <w:b w:val="1"/>
          <w:bCs w:val="1"/>
          <w:color w:val="auto"/>
        </w:rPr>
        <w:t>Results</w:t>
      </w:r>
      <w:r>
        <w:rPr>
          <w:rFonts w:ascii="Arial" w:cs="Arial" w:eastAsia="Arial" w:hAnsi="Arial"/>
          <w:sz w:val="22"/>
          <w:szCs w:val="22"/>
          <w:color w:val="auto"/>
        </w:rPr>
        <w:t>” are defined above in Section I.</w:t>
      </w:r>
    </w:p>
    <w:p>
      <w:pPr>
        <w:spacing w:after="0" w:line="233" w:lineRule="exact"/>
        <w:rPr>
          <w:sz w:val="20"/>
          <w:szCs w:val="20"/>
          <w:color w:val="auto"/>
        </w:rPr>
      </w:pPr>
    </w:p>
    <w:p>
      <w:pPr>
        <w:ind w:left="332" w:right="20" w:firstLine="5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Competitive Platform</w:t>
      </w:r>
      <w:r>
        <w:rPr>
          <w:rFonts w:ascii="Arial" w:cs="Arial" w:eastAsia="Arial" w:hAnsi="Arial"/>
          <w:sz w:val="22"/>
          <w:szCs w:val="22"/>
          <w:color w:val="auto"/>
        </w:rPr>
        <w:t>” means any device, software or service that competes with, or that is substantially similar to, any Q-Si Platform.</w:t>
      </w:r>
    </w:p>
    <w:p>
      <w:pPr>
        <w:spacing w:after="0" w:line="198" w:lineRule="exact"/>
        <w:rPr>
          <w:sz w:val="20"/>
          <w:szCs w:val="20"/>
          <w:color w:val="auto"/>
        </w:rPr>
      </w:pPr>
    </w:p>
    <w:p>
      <w:pPr>
        <w:ind w:left="332"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PEI Field</w:t>
      </w:r>
      <w:r>
        <w:rPr>
          <w:rFonts w:ascii="Arial" w:cs="Arial" w:eastAsia="Arial" w:hAnsi="Arial"/>
          <w:sz w:val="18"/>
          <w:szCs w:val="18"/>
          <w:color w:val="auto"/>
        </w:rPr>
        <w:t>" means the field of protein and/or molecule design, evolution, discovery, application, and/or characterization, including, but not limited to, for therapeutics, diagnostics, agriculture, and/or industrial purposes.</w:t>
      </w:r>
    </w:p>
    <w:p>
      <w:pPr>
        <w:spacing w:after="0" w:line="179" w:lineRule="exact"/>
        <w:rPr>
          <w:sz w:val="20"/>
          <w:szCs w:val="20"/>
          <w:color w:val="auto"/>
        </w:rPr>
      </w:pPr>
    </w:p>
    <w:p>
      <w:pPr>
        <w:ind w:left="332" w:right="4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Results Collaboration Patent Rights</w:t>
      </w:r>
      <w:r>
        <w:rPr>
          <w:rFonts w:ascii="Arial" w:cs="Arial" w:eastAsia="Arial" w:hAnsi="Arial"/>
          <w:sz w:val="22"/>
          <w:szCs w:val="22"/>
          <w:color w:val="auto"/>
        </w:rPr>
        <w:t>" shall mean any patents and patent applications claiming the Process Results (or any portion thereof) and/or disclosing any data within the Process Results, and any divisional, continuation, continuation-in-part, reissue, reexamination, confirmation, revalidation, registration, patent of addition, renewal, extension or substitute thereof, or any patent issuing therefrom or any supplementary protection certificates related thereto, in every jurisdiction throughout the world.</w:t>
      </w:r>
    </w:p>
    <w:p>
      <w:pPr>
        <w:spacing w:after="0" w:line="209" w:lineRule="exact"/>
        <w:rPr>
          <w:sz w:val="20"/>
          <w:szCs w:val="20"/>
          <w:color w:val="auto"/>
        </w:rPr>
      </w:pPr>
    </w:p>
    <w:p>
      <w:pPr>
        <w:ind w:left="332" w:right="5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Q-Si Customer Product</w:t>
      </w:r>
      <w:r>
        <w:rPr>
          <w:rFonts w:ascii="Arial" w:cs="Arial" w:eastAsia="Arial" w:hAnsi="Arial"/>
          <w:sz w:val="22"/>
          <w:szCs w:val="22"/>
          <w:color w:val="auto"/>
        </w:rPr>
        <w:t>” means any diagnostic, prognostic, therapeutic or other product that is initially discovered or developed by a Q-Si customer with the use of a Q-Si Platform.</w:t>
      </w:r>
    </w:p>
    <w:p>
      <w:pPr>
        <w:spacing w:after="0" w:line="198"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 xml:space="preserve">“Q-Si Field” </w:t>
      </w:r>
      <w:r>
        <w:rPr>
          <w:rFonts w:ascii="Arial" w:cs="Arial" w:eastAsia="Arial" w:hAnsi="Arial"/>
          <w:sz w:val="18"/>
          <w:szCs w:val="18"/>
          <w:color w:val="auto"/>
        </w:rPr>
        <w:t>means all fields other than the PEI Field.</w:t>
      </w:r>
    </w:p>
    <w:p>
      <w:pPr>
        <w:spacing w:after="0" w:line="252" w:lineRule="exact"/>
        <w:rPr>
          <w:sz w:val="20"/>
          <w:szCs w:val="20"/>
          <w:color w:val="auto"/>
        </w:rPr>
      </w:pPr>
    </w:p>
    <w:p>
      <w:pPr>
        <w:ind w:left="332"/>
        <w:spacing w:after="0" w:line="266" w:lineRule="auto"/>
        <w:rPr>
          <w:sz w:val="20"/>
          <w:szCs w:val="20"/>
          <w:color w:val="auto"/>
        </w:rPr>
      </w:pPr>
      <w:r>
        <w:rPr>
          <w:rFonts w:ascii="Arial" w:cs="Arial" w:eastAsia="Arial" w:hAnsi="Arial"/>
          <w:sz w:val="18"/>
          <w:szCs w:val="18"/>
          <w:b w:val="1"/>
          <w:bCs w:val="1"/>
          <w:color w:val="auto"/>
        </w:rPr>
        <w:t>“Q-Si Platforms</w:t>
      </w:r>
      <w:r>
        <w:rPr>
          <w:rFonts w:ascii="Arial" w:cs="Arial" w:eastAsia="Arial" w:hAnsi="Arial"/>
          <w:sz w:val="18"/>
          <w:szCs w:val="18"/>
          <w:color w:val="auto"/>
        </w:rPr>
        <w:t>” means Q-Si’s technology platforms, including devices, software and services, in existence as of the Effective Time or developed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by or on behalf of Q-Si. The Q-Si Platform as of the Effective Time includes the platform known as Platinum, Carbon and Cloud, which is a protein sequencing and analysis platform with the following features:</w:t>
      </w:r>
    </w:p>
    <w:p>
      <w:pPr>
        <w:spacing w:after="0" w:line="180" w:lineRule="exact"/>
        <w:rPr>
          <w:sz w:val="20"/>
          <w:szCs w:val="20"/>
          <w:color w:val="auto"/>
        </w:rPr>
      </w:pPr>
    </w:p>
    <w:p>
      <w:pPr>
        <w:ind w:left="1292" w:hanging="320"/>
        <w:spacing w:after="0"/>
        <w:tabs>
          <w:tab w:leader="none" w:pos="12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time domain sequencing</w:t>
      </w:r>
    </w:p>
    <w:p>
      <w:pPr>
        <w:spacing w:after="0" w:line="23" w:lineRule="exact"/>
        <w:rPr>
          <w:rFonts w:ascii="Arial" w:cs="Arial" w:eastAsia="Arial" w:hAnsi="Arial"/>
          <w:sz w:val="18"/>
          <w:szCs w:val="18"/>
          <w:color w:val="auto"/>
        </w:rPr>
      </w:pPr>
    </w:p>
    <w:p>
      <w:pPr>
        <w:ind w:left="1292" w:hanging="320"/>
        <w:spacing w:after="0"/>
        <w:tabs>
          <w:tab w:leader="none" w:pos="12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single molecule resolution</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application agnostic</w:t>
      </w:r>
    </w:p>
    <w:p>
      <w:pPr>
        <w:spacing w:after="0" w:line="1" w:lineRule="exact"/>
        <w:rPr>
          <w:sz w:val="20"/>
          <w:szCs w:val="20"/>
          <w:color w:val="auto"/>
        </w:rPr>
      </w:pPr>
    </w:p>
    <w:p>
      <w:pPr>
        <w:ind w:left="332"/>
        <w:spacing w:after="0"/>
        <w:rPr>
          <w:sz w:val="20"/>
          <w:szCs w:val="20"/>
          <w:color w:val="auto"/>
        </w:rPr>
      </w:pPr>
      <w:r>
        <w:rPr>
          <w:rFonts w:ascii="Arial" w:cs="Arial" w:eastAsia="Arial" w:hAnsi="Arial"/>
          <w:sz w:val="22"/>
          <w:szCs w:val="22"/>
          <w:color w:val="auto"/>
        </w:rPr>
        <w:t>and with known applications in the areas of:</w:t>
      </w: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Proteomics</w:t>
      </w:r>
    </w:p>
    <w:p>
      <w:pPr>
        <w:spacing w:after="0" w:line="7" w:lineRule="exact"/>
        <w:rPr>
          <w:rFonts w:ascii="Arial" w:cs="Arial" w:eastAsia="Arial" w:hAnsi="Arial"/>
          <w:sz w:val="18"/>
          <w:szCs w:val="18"/>
          <w:color w:val="auto"/>
        </w:rPr>
      </w:pP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Single cell</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Transcriptomics</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Genomics</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Metabolomics</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Drug testing and screening</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36" w:name="page137"/>
    <w:bookmarkEnd w:id="136"/>
    <w:p>
      <w:pPr>
        <w:ind w:left="8" w:right="4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Reagents Collaboration Patent Rights</w:t>
      </w:r>
      <w:r>
        <w:rPr>
          <w:rFonts w:ascii="Arial" w:cs="Arial" w:eastAsia="Arial" w:hAnsi="Arial"/>
          <w:sz w:val="22"/>
          <w:szCs w:val="22"/>
          <w:color w:val="auto"/>
        </w:rPr>
        <w:t>" shall mean any patents and patent applications claiming the Reagents and/or disclosing any data within the Results relating to the Reagents, and any divisional, continuation, continuation-in-part, reissue, reexamination, confirmation, revalidation, registration, patent of addition, renewal, extension or substitute thereof, or any patent issuing therefrom or any supplementary protection certificates related thereto, in every jurisdiction throughout the world.</w:t>
      </w:r>
    </w:p>
    <w:p>
      <w:pPr>
        <w:spacing w:after="0" w:line="215" w:lineRule="exact"/>
        <w:rPr>
          <w:sz w:val="20"/>
          <w:szCs w:val="20"/>
          <w:color w:val="auto"/>
        </w:rPr>
      </w:pPr>
    </w:p>
    <w:p>
      <w:pPr>
        <w:ind w:left="8"/>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Ownership of Results</w:t>
      </w:r>
    </w:p>
    <w:p>
      <w:pPr>
        <w:spacing w:after="0" w:line="233" w:lineRule="exact"/>
        <w:rPr>
          <w:sz w:val="20"/>
          <w:szCs w:val="20"/>
          <w:color w:val="auto"/>
        </w:rPr>
      </w:pPr>
    </w:p>
    <w:p>
      <w:pPr>
        <w:ind w:left="8" w:right="20"/>
        <w:spacing w:after="0" w:line="328" w:lineRule="auto"/>
        <w:rPr>
          <w:sz w:val="20"/>
          <w:szCs w:val="20"/>
          <w:color w:val="auto"/>
        </w:rPr>
      </w:pPr>
      <w:r>
        <w:rPr>
          <w:rFonts w:ascii="Arial" w:cs="Arial" w:eastAsia="Arial" w:hAnsi="Arial"/>
          <w:sz w:val="19"/>
          <w:szCs w:val="19"/>
          <w:color w:val="auto"/>
        </w:rPr>
        <w:t>The parties agree that, notwithstanding Section 3.2 of the TSEA, Q-Si will own all rights, including intellectual property rights, in and to the Reagents, and PEI will own all rights, including intellectual property rights, in and to the Process Results.</w:t>
      </w:r>
    </w:p>
    <w:p>
      <w:pPr>
        <w:spacing w:after="0" w:line="132" w:lineRule="exact"/>
        <w:rPr>
          <w:sz w:val="20"/>
          <w:szCs w:val="20"/>
          <w:color w:val="auto"/>
        </w:rPr>
      </w:pPr>
    </w:p>
    <w:p>
      <w:pPr>
        <w:ind w:left="308" w:hanging="308"/>
        <w:spacing w:after="0"/>
        <w:tabs>
          <w:tab w:leader="none" w:pos="30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Patent Prosecution, Maintenance and Enforcement</w:t>
      </w:r>
    </w:p>
    <w:p>
      <w:pPr>
        <w:spacing w:after="0" w:line="233" w:lineRule="exact"/>
        <w:rPr>
          <w:rFonts w:ascii="Arial" w:cs="Arial" w:eastAsia="Arial" w:hAnsi="Arial"/>
          <w:sz w:val="22"/>
          <w:szCs w:val="22"/>
          <w:color w:val="auto"/>
        </w:rPr>
      </w:pPr>
    </w:p>
    <w:p>
      <w:pPr>
        <w:ind w:left="588" w:hanging="264"/>
        <w:spacing w:after="0"/>
        <w:tabs>
          <w:tab w:leader="none" w:pos="588"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The Reagents Collaboration Patent Rights</w:t>
      </w:r>
    </w:p>
    <w:p>
      <w:pPr>
        <w:spacing w:after="0" w:line="233" w:lineRule="exact"/>
        <w:rPr>
          <w:sz w:val="20"/>
          <w:szCs w:val="20"/>
          <w:color w:val="auto"/>
        </w:rPr>
      </w:pPr>
    </w:p>
    <w:p>
      <w:pPr>
        <w:ind w:left="8"/>
        <w:spacing w:after="0" w:line="277" w:lineRule="auto"/>
        <w:rPr>
          <w:sz w:val="20"/>
          <w:szCs w:val="20"/>
          <w:color w:val="auto"/>
        </w:rPr>
      </w:pPr>
      <w:r>
        <w:rPr>
          <w:rFonts w:ascii="Arial" w:cs="Arial" w:eastAsia="Arial" w:hAnsi="Arial"/>
          <w:sz w:val="19"/>
          <w:szCs w:val="19"/>
          <w:color w:val="auto"/>
        </w:rPr>
        <w:t>Q-Si will have sole control over patent prosecution and sole rights to enforce any patents directed to the Reagents, at its own expense. To the extent reasonably possible in light of filing deadlines, Q-Si will provide PEI with advance copies of any draft patent applications directed to the Reagents and responses to office actions or similar communications, and Q-Si will reasonably consider PEI’s comments. Q-Si shall have the right to retain all proceeds of any enforcement of the Reagents, including any damages awards and settlements. PEI will cooperate with Q-Si, including executing documents and joining any enforcement or patent defense proceedings where required for standing or otherwise deemed advisable by Q-Si, and Q-Si will reimburse PEI for its reasonable, documented out-of-pocket expenses incurred as a result of such cooperation.</w:t>
      </w:r>
    </w:p>
    <w:p>
      <w:pPr>
        <w:spacing w:after="0" w:line="179" w:lineRule="exact"/>
        <w:rPr>
          <w:sz w:val="20"/>
          <w:szCs w:val="20"/>
          <w:color w:val="auto"/>
        </w:rPr>
      </w:pPr>
    </w:p>
    <w:p>
      <w:pPr>
        <w:ind w:left="588" w:hanging="264"/>
        <w:spacing w:after="0"/>
        <w:tabs>
          <w:tab w:leader="none" w:pos="5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The Process Results Collaboration Patent Rights</w:t>
      </w:r>
    </w:p>
    <w:p>
      <w:pPr>
        <w:spacing w:after="0" w:line="233" w:lineRule="exact"/>
        <w:rPr>
          <w:sz w:val="20"/>
          <w:szCs w:val="20"/>
          <w:color w:val="auto"/>
        </w:rPr>
      </w:pPr>
    </w:p>
    <w:p>
      <w:pPr>
        <w:ind w:left="8" w:right="20"/>
        <w:spacing w:after="0" w:line="277" w:lineRule="auto"/>
        <w:rPr>
          <w:sz w:val="20"/>
          <w:szCs w:val="20"/>
          <w:color w:val="auto"/>
        </w:rPr>
      </w:pPr>
      <w:r>
        <w:rPr>
          <w:rFonts w:ascii="Arial" w:cs="Arial" w:eastAsia="Arial" w:hAnsi="Arial"/>
          <w:sz w:val="19"/>
          <w:szCs w:val="19"/>
          <w:color w:val="auto"/>
        </w:rPr>
        <w:t>PEI will have sole control over patent prosecution and sole rights to enforce any patents directed to the Process Results, at its own expense. To the extent reasonably possible in light of filing deadlines, PEI will provide Q-Si with advance copies of any draft patent applications directed to the Process Results and responses to office actions or similar communications, and PEI will reasonably consider Q-Si’s comments. PEI shall have the right to retain all proceeds of any enforcement of the Process Results, including any damages awards and settlements. Q-Si will cooperate with PEI, including executing documents and joining any enforcement or patent defense proceedings where required for standing or otherwise deemed advisable by PEI, and PEI will reimburse Q-Si for its reasonable, documented out-of-pocket expenses incurred as a result of such cooperation.</w:t>
      </w:r>
    </w:p>
    <w:p>
      <w:pPr>
        <w:spacing w:after="0" w:line="179" w:lineRule="exact"/>
        <w:rPr>
          <w:sz w:val="20"/>
          <w:szCs w:val="20"/>
          <w:color w:val="auto"/>
        </w:rPr>
      </w:pPr>
    </w:p>
    <w:p>
      <w:pPr>
        <w:ind w:left="8" w:right="140"/>
        <w:spacing w:after="0" w:line="250" w:lineRule="auto"/>
        <w:rPr>
          <w:sz w:val="20"/>
          <w:szCs w:val="20"/>
          <w:color w:val="auto"/>
        </w:rPr>
      </w:pPr>
      <w:r>
        <w:rPr>
          <w:rFonts w:ascii="Arial" w:cs="Arial" w:eastAsia="Arial" w:hAnsi="Arial"/>
          <w:sz w:val="22"/>
          <w:szCs w:val="22"/>
          <w:color w:val="auto"/>
        </w:rPr>
        <w:t>The Parties agree that the license granted to the Originating Party in Section 3.2 of the TSEA does not apply to the Reagents or Process Results under this Work Order.</w:t>
      </w:r>
    </w:p>
    <w:p>
      <w:pPr>
        <w:spacing w:after="0" w:line="380" w:lineRule="exact"/>
        <w:rPr>
          <w:sz w:val="20"/>
          <w:szCs w:val="20"/>
          <w:color w:val="auto"/>
        </w:rPr>
      </w:pPr>
    </w:p>
    <w:p>
      <w:pPr>
        <w:jc w:val="center"/>
        <w:ind w:right="292"/>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11" w:right="359" w:bottom="1440" w:gutter="0" w:footer="0" w:header="0"/>
        </w:sectPr>
      </w:pPr>
    </w:p>
    <w:bookmarkStart w:id="137" w:name="page138"/>
    <w:bookmarkEnd w:id="137"/>
    <w:p>
      <w:pPr>
        <w:ind w:left="640" w:hanging="308"/>
        <w:spacing w:after="0"/>
        <w:tabs>
          <w:tab w:leader="none" w:pos="6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Licenses</w:t>
      </w:r>
    </w:p>
    <w:p>
      <w:pPr>
        <w:spacing w:after="0" w:line="241" w:lineRule="exact"/>
        <w:rPr>
          <w:sz w:val="20"/>
          <w:szCs w:val="20"/>
          <w:color w:val="auto"/>
        </w:rPr>
      </w:pPr>
    </w:p>
    <w:p>
      <w:pPr>
        <w:ind w:left="340" w:right="40"/>
        <w:spacing w:after="0" w:line="275" w:lineRule="auto"/>
        <w:rPr>
          <w:sz w:val="20"/>
          <w:szCs w:val="20"/>
          <w:color w:val="auto"/>
        </w:rPr>
      </w:pPr>
      <w:r>
        <w:rPr>
          <w:rFonts w:ascii="Arial" w:cs="Arial" w:eastAsia="Arial" w:hAnsi="Arial"/>
          <w:sz w:val="17"/>
          <w:szCs w:val="17"/>
          <w:color w:val="auto"/>
        </w:rPr>
        <w:t>PEI hereby grants Q-Si a royalty-free, fully-paid up, perpetual, worldwide, non-exclusive, sublicensable license under the PEI’s rights in the Process Results, including under any Process Result Collaboration Patents, to make, have made, use, have used, import, have imported, export, have exported, sell, offer for sale and have sold products and services, and to copy, create derivative works from and otherwise exploit the Process Results in the Q-Si Field. PEI covenants that it and its successors will not grant a license under PEI’s rights in the Process Results, including under any Process Result Collaboration Patents, to any entity that is developing or commercializing a Competitive Platform.</w:t>
      </w:r>
    </w:p>
    <w:p>
      <w:pPr>
        <w:spacing w:after="0" w:line="196" w:lineRule="exact"/>
        <w:rPr>
          <w:sz w:val="20"/>
          <w:szCs w:val="20"/>
          <w:color w:val="auto"/>
        </w:rPr>
      </w:pPr>
    </w:p>
    <w:p>
      <w:pPr>
        <w:ind w:left="340" w:right="100"/>
        <w:spacing w:after="0" w:line="238" w:lineRule="auto"/>
        <w:rPr>
          <w:sz w:val="20"/>
          <w:szCs w:val="20"/>
          <w:color w:val="auto"/>
        </w:rPr>
      </w:pPr>
      <w:r>
        <w:rPr>
          <w:rFonts w:ascii="Arial" w:cs="Arial" w:eastAsia="Arial" w:hAnsi="Arial"/>
          <w:sz w:val="22"/>
          <w:szCs w:val="22"/>
          <w:color w:val="auto"/>
        </w:rPr>
        <w:t>PEI hereby grants Q-Si a royalty-free, fully-paid up, perpetual, worldwide, non-exclusive, sublicensable license under PEI’s rights in the Process Results, including under any Process Result Collaboration Patents, to make, have made, use, have used, import, have imported, export, have exported, sell, offer for sale and have sold the Q-Si Platforms and Q-Si Customer Products.</w:t>
      </w:r>
    </w:p>
    <w:p>
      <w:pPr>
        <w:spacing w:after="0" w:line="212" w:lineRule="exact"/>
        <w:rPr>
          <w:sz w:val="20"/>
          <w:szCs w:val="20"/>
          <w:color w:val="auto"/>
        </w:rPr>
      </w:pPr>
    </w:p>
    <w:p>
      <w:pPr>
        <w:ind w:left="340"/>
        <w:spacing w:after="0" w:line="248" w:lineRule="auto"/>
        <w:rPr>
          <w:sz w:val="20"/>
          <w:szCs w:val="20"/>
          <w:color w:val="auto"/>
        </w:rPr>
      </w:pPr>
      <w:r>
        <w:rPr>
          <w:rFonts w:ascii="Arial" w:cs="Arial" w:eastAsia="Arial" w:hAnsi="Arial"/>
          <w:sz w:val="21"/>
          <w:szCs w:val="21"/>
          <w:color w:val="auto"/>
        </w:rPr>
        <w:t>Q-Si hereby grants PEI a royalty-free, fully-paid up, perpetual, worldwide, co-exclusive, sublicensable license under the rights in the Reagents, including under any Reagents Collaboration Patents, to make, have made, use, have used, import, have imported, export, have exported, sell, offer for sale and have sold products and services, and to copy, create derivative works from and otherwise exploit the Process Results in the PEI Field. “Co-exclusive” means that Q-Si retains the rights to use the Reagents in the PEI Field in connection with the Q-Si Platforms, but other than licenses with respect to Q-Si Customer Products, Q-Si will not grant any other licenses to third parties.</w:t>
      </w:r>
    </w:p>
    <w:p>
      <w:pPr>
        <w:spacing w:after="0" w:line="204" w:lineRule="exact"/>
        <w:rPr>
          <w:sz w:val="20"/>
          <w:szCs w:val="20"/>
          <w:color w:val="auto"/>
        </w:rPr>
      </w:pPr>
    </w:p>
    <w:p>
      <w:pPr>
        <w:ind w:left="620" w:hanging="288"/>
        <w:spacing w:after="0"/>
        <w:tabs>
          <w:tab w:leader="none" w:pos="62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 implied licenses</w:t>
      </w:r>
    </w:p>
    <w:p>
      <w:pPr>
        <w:spacing w:after="0" w:line="233" w:lineRule="exact"/>
        <w:rPr>
          <w:sz w:val="20"/>
          <w:szCs w:val="20"/>
          <w:color w:val="auto"/>
        </w:rPr>
      </w:pPr>
    </w:p>
    <w:p>
      <w:pPr>
        <w:ind w:left="340" w:right="400"/>
        <w:spacing w:after="0" w:line="297" w:lineRule="auto"/>
        <w:rPr>
          <w:sz w:val="20"/>
          <w:szCs w:val="20"/>
          <w:color w:val="auto"/>
        </w:rPr>
      </w:pPr>
      <w:r>
        <w:rPr>
          <w:rFonts w:ascii="Arial" w:cs="Arial" w:eastAsia="Arial" w:hAnsi="Arial"/>
          <w:sz w:val="19"/>
          <w:szCs w:val="19"/>
          <w:color w:val="auto"/>
        </w:rPr>
        <w:t>Nothing in this Work Order affects the parties’ respective rights with respect to Q-Si’s Platinum platform or any improvements thereto, which are the subject of a separate agreement between the parties. The only rights granted by one Party to the other Party under this Work Order are the rights expressly set forth herein. There are no implied licenses.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Termination and Winding Down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This Work Order will continue until one Party terminates the Work Order by giving 180 days’ written termination notice.</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notice of termination, Q-Si will initiate an orderly wind-down of activities.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Accepted and agreed by the Parties by their duly authorized representatives:</w:t>
      </w:r>
    </w:p>
    <w:p>
      <w:pPr>
        <w:sectPr>
          <w:pgSz w:w="11900" w:h="16838" w:orient="portrait"/>
          <w:cols w:equalWidth="0" w:num="1">
            <w:col w:w="10139"/>
          </w:cols>
          <w:pgMar w:left="320" w:top="118"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QUANTUM-SI INCORPORATED</w:t>
      </w:r>
    </w:p>
    <w:p>
      <w:pPr>
        <w:spacing w:after="0" w:line="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Christian LaPointe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Christian LaPointe</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3/13/2023</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PROTEIN EVOLUTION, INC.</w:t>
      </w:r>
    </w:p>
    <w:p>
      <w:pPr>
        <w:spacing w:after="0" w:line="3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Connor Lynn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Connor Lynn</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Business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3/13/2023</w:t>
      </w:r>
    </w:p>
    <w:p>
      <w:pPr>
        <w:spacing w:after="0" w:line="200" w:lineRule="exact"/>
        <w:rPr>
          <w:sz w:val="20"/>
          <w:szCs w:val="20"/>
          <w:color w:val="auto"/>
        </w:rPr>
      </w:pPr>
    </w:p>
    <w:p>
      <w:pPr>
        <w:sectPr>
          <w:pgSz w:w="11900" w:h="16838" w:orient="portrait"/>
          <w:cols w:equalWidth="0" w:num="2">
            <w:col w:w="4920" w:space="720"/>
            <w:col w:w="4499"/>
          </w:cols>
          <w:pgMar w:left="320" w:top="118" w:right="1440"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QUANTUM-SI FRANCE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Christian LaPointe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20"/>
                <w:szCs w:val="20"/>
                <w:color w:val="auto"/>
              </w:rPr>
            </w:pPr>
            <w:r>
              <w:rPr>
                <w:rFonts w:ascii="Arial" w:cs="Arial" w:eastAsia="Arial" w:hAnsi="Arial"/>
                <w:sz w:val="18"/>
                <w:szCs w:val="18"/>
                <w:color w:val="auto"/>
              </w:rPr>
              <w:t>Christian LaPointe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56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560" w:type="dxa"/>
            <w:vAlign w:val="bottom"/>
          </w:tcPr>
          <w:p>
            <w:pPr>
              <w:spacing w:after="0"/>
              <w:rPr>
                <w:sz w:val="20"/>
                <w:szCs w:val="20"/>
                <w:color w:val="auto"/>
              </w:rPr>
            </w:pPr>
            <w:r>
              <w:rPr>
                <w:rFonts w:ascii="Arial" w:cs="Arial" w:eastAsia="Arial" w:hAnsi="Arial"/>
                <w:sz w:val="18"/>
                <w:szCs w:val="18"/>
                <w:color w:val="auto"/>
              </w:rPr>
              <w:t>3/13/2023</w:t>
            </w:r>
          </w:p>
        </w:tc>
      </w:tr>
    </w:tbl>
    <w:p>
      <w:pPr>
        <w:spacing w:after="0" w:line="200" w:lineRule="exact"/>
        <w:rPr>
          <w:sz w:val="20"/>
          <w:szCs w:val="20"/>
          <w:color w:val="auto"/>
        </w:rPr>
      </w:pPr>
    </w:p>
    <w:p>
      <w:pPr>
        <w:spacing w:after="0" w:line="267"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139" w:name="page140"/>
    <w:bookmarkEnd w:id="13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QUANTUM-SI INCORPORATED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on November 1, 2022)</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Board of Directors of Quantum-Si Incorporated (the “</w:t>
      </w:r>
      <w:r>
        <w:rPr>
          <w:rFonts w:ascii="Arial" w:cs="Arial" w:eastAsia="Arial" w:hAnsi="Arial"/>
          <w:sz w:val="22"/>
          <w:szCs w:val="22"/>
          <w:u w:val="single" w:color="auto"/>
          <w:color w:val="auto"/>
        </w:rPr>
        <w:t>Company</w:t>
      </w:r>
      <w:r>
        <w:rPr>
          <w:rFonts w:ascii="Arial" w:cs="Arial" w:eastAsia="Arial" w:hAnsi="Arial"/>
          <w:sz w:val="22"/>
          <w:szCs w:val="22"/>
          <w:color w:val="auto"/>
        </w:rPr>
        <w:t>”) has approved the following Nonemployee Director Compensation Policy (this “</w:t>
      </w:r>
      <w:r>
        <w:rPr>
          <w:rFonts w:ascii="Arial" w:cs="Arial" w:eastAsia="Arial" w:hAnsi="Arial"/>
          <w:sz w:val="22"/>
          <w:szCs w:val="22"/>
          <w:u w:val="single" w:color="auto"/>
          <w:color w:val="auto"/>
        </w:rPr>
        <w:t>Policy</w:t>
      </w:r>
      <w:r>
        <w:rPr>
          <w:rFonts w:ascii="Arial" w:cs="Arial" w:eastAsia="Arial" w:hAnsi="Arial"/>
          <w:sz w:val="22"/>
          <w:szCs w:val="22"/>
          <w:color w:val="auto"/>
        </w:rPr>
        <w:t>”) to provide an inducement to obtain and retain the services of qualified persons to serve as members of the Company’s Board of Directors. The Policy establishes compensation to be paid to nonemployee directors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Persons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This Policy shall apply to each director of the Company who is not an employee of the Company or any Affiliate (each, an “</w:t>
      </w:r>
      <w:r>
        <w:rPr>
          <w:rFonts w:ascii="Arial" w:cs="Arial" w:eastAsia="Arial" w:hAnsi="Arial"/>
          <w:sz w:val="22"/>
          <w:szCs w:val="22"/>
          <w:u w:val="single" w:color="auto"/>
          <w:color w:val="auto"/>
        </w:rPr>
        <w:t>Outside Director</w:t>
      </w:r>
      <w:r>
        <w:rPr>
          <w:rFonts w:ascii="Arial" w:cs="Arial" w:eastAsia="Arial" w:hAnsi="Arial"/>
          <w:sz w:val="22"/>
          <w:szCs w:val="22"/>
          <w:color w:val="auto"/>
        </w:rPr>
        <w:t>”).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an entity which is a direct or indirect parent or subsidiary of the Company, as determined pursuant to Section 424 of the Internal Revenue Code of 1986, as amended.</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w:t>
      </w:r>
    </w:p>
    <w:p>
      <w:pPr>
        <w:spacing w:after="0" w:line="24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Equity Grants</w:t>
      </w:r>
    </w:p>
    <w:p>
      <w:pPr>
        <w:spacing w:after="0" w:line="256" w:lineRule="exact"/>
        <w:rPr>
          <w:rFonts w:ascii="Arial" w:cs="Arial" w:eastAsia="Arial" w:hAnsi="Arial"/>
          <w:sz w:val="18"/>
          <w:szCs w:val="18"/>
          <w:b w:val="1"/>
          <w:bCs w:val="1"/>
          <w:color w:val="auto"/>
        </w:rPr>
      </w:pPr>
    </w:p>
    <w:p>
      <w:pPr>
        <w:ind w:left="660" w:hanging="328"/>
        <w:spacing w:after="0"/>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Annual Grants</w:t>
      </w:r>
    </w:p>
    <w:p>
      <w:pPr>
        <w:spacing w:after="0" w:line="245" w:lineRule="exact"/>
        <w:rPr>
          <w:sz w:val="20"/>
          <w:szCs w:val="20"/>
          <w:color w:val="auto"/>
        </w:rPr>
      </w:pPr>
    </w:p>
    <w:p>
      <w:pPr>
        <w:jc w:val="both"/>
        <w:ind w:left="20" w:firstLine="319"/>
        <w:spacing w:after="0" w:line="235" w:lineRule="auto"/>
        <w:rPr>
          <w:sz w:val="20"/>
          <w:szCs w:val="20"/>
          <w:color w:val="auto"/>
        </w:rPr>
      </w:pPr>
      <w:r>
        <w:rPr>
          <w:rFonts w:ascii="Arial" w:cs="Arial" w:eastAsia="Arial" w:hAnsi="Arial"/>
          <w:sz w:val="22"/>
          <w:szCs w:val="22"/>
          <w:color w:val="auto"/>
        </w:rPr>
        <w:t>Each Outside Director shall be granted, automatically and without any action on the part of the Board of Directors, under the Company’s 2021 Equity Incentive Plan or a successor plan (the “</w:t>
      </w:r>
      <w:r>
        <w:rPr>
          <w:rFonts w:ascii="Arial" w:cs="Arial" w:eastAsia="Arial" w:hAnsi="Arial"/>
          <w:sz w:val="22"/>
          <w:szCs w:val="22"/>
          <w:u w:val="single" w:color="auto"/>
          <w:color w:val="auto"/>
        </w:rPr>
        <w:t>Equity Plan</w:t>
      </w:r>
      <w:r>
        <w:rPr>
          <w:rFonts w:ascii="Arial" w:cs="Arial" w:eastAsia="Arial" w:hAnsi="Arial"/>
          <w:sz w:val="22"/>
          <w:szCs w:val="22"/>
          <w:color w:val="auto"/>
        </w:rPr>
        <w:t>”), a number of non-qualified stock options (“</w:t>
      </w:r>
      <w:r>
        <w:rPr>
          <w:rFonts w:ascii="Arial" w:cs="Arial" w:eastAsia="Arial" w:hAnsi="Arial"/>
          <w:sz w:val="22"/>
          <w:szCs w:val="22"/>
          <w:u w:val="single" w:color="auto"/>
          <w:color w:val="auto"/>
        </w:rPr>
        <w:t>Options</w:t>
      </w:r>
      <w:r>
        <w:rPr>
          <w:rFonts w:ascii="Arial" w:cs="Arial" w:eastAsia="Arial" w:hAnsi="Arial"/>
          <w:sz w:val="22"/>
          <w:szCs w:val="22"/>
          <w:color w:val="auto"/>
        </w:rPr>
        <w:t>”) to purchase shares of the Company’s Class A common stock, par value $0.0001 per share (the “Common Stock”) having an aggregate grant date fair value of $100,000, valued based on a Black-Scholes valuation method (rounded down to the nearest whole share), each year beginning in 2022 on the first business day after the Company’s annual meeting of stockholders (the “</w:t>
      </w:r>
      <w:r>
        <w:rPr>
          <w:rFonts w:ascii="Arial" w:cs="Arial" w:eastAsia="Arial" w:hAnsi="Arial"/>
          <w:sz w:val="22"/>
          <w:szCs w:val="22"/>
          <w:u w:val="single" w:color="auto"/>
          <w:color w:val="auto"/>
        </w:rPr>
        <w:t>Annual Grant</w:t>
      </w:r>
      <w:r>
        <w:rPr>
          <w:rFonts w:ascii="Arial" w:cs="Arial" w:eastAsia="Arial" w:hAnsi="Arial"/>
          <w:sz w:val="22"/>
          <w:szCs w:val="22"/>
          <w:color w:val="auto"/>
        </w:rPr>
        <w:t>”).</w:t>
      </w:r>
    </w:p>
    <w:p>
      <w:pPr>
        <w:spacing w:after="0" w:line="22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Initial Grants for Newly Appointed or Elected Directors</w:t>
      </w:r>
    </w:p>
    <w:p>
      <w:pPr>
        <w:spacing w:after="0" w:line="245" w:lineRule="exact"/>
        <w:rPr>
          <w:sz w:val="20"/>
          <w:szCs w:val="20"/>
          <w:color w:val="auto"/>
        </w:rPr>
      </w:pPr>
    </w:p>
    <w:p>
      <w:pPr>
        <w:jc w:val="both"/>
        <w:ind w:left="20" w:firstLine="319"/>
        <w:spacing w:after="0" w:line="277" w:lineRule="auto"/>
        <w:rPr>
          <w:sz w:val="20"/>
          <w:szCs w:val="20"/>
          <w:color w:val="auto"/>
        </w:rPr>
      </w:pPr>
      <w:r>
        <w:rPr>
          <w:rFonts w:ascii="Arial" w:cs="Arial" w:eastAsia="Arial" w:hAnsi="Arial"/>
          <w:sz w:val="19"/>
          <w:szCs w:val="19"/>
          <w:color w:val="auto"/>
        </w:rPr>
        <w:t>Each new Outside Director (including any Outside Director whose election to the Board of Directors was approved at the Company’s special meeting of stockholders on June 9, 2021) shall be granted, automatically and without any action on the part of the Board of Directors, under the Equity Plan, a number of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xml:space="preserve">”) (each RSU relating to one share of Common Stock, having an aggregate fair market value equal to $200,000, determined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(A) $200,000 by (B) the closing price of the Common Stock on the Nasdaq Stock Market on the date of the grant (rounded down to the nearest whole share), on the first business day after the date that the Outside Director is first appointed or elected to the Board of Directors (the “</w:t>
      </w:r>
      <w:r>
        <w:rPr>
          <w:rFonts w:ascii="Arial" w:cs="Arial" w:eastAsia="Arial" w:hAnsi="Arial"/>
          <w:sz w:val="19"/>
          <w:szCs w:val="19"/>
          <w:u w:val="single" w:color="auto"/>
          <w:color w:val="auto"/>
        </w:rPr>
        <w:t>Initial Grant</w:t>
      </w:r>
      <w:r>
        <w:rPr>
          <w:rFonts w:ascii="Arial" w:cs="Arial" w:eastAsia="Arial" w:hAnsi="Arial"/>
          <w:sz w:val="19"/>
          <w:szCs w:val="19"/>
          <w:color w:val="auto"/>
        </w:rPr>
        <w:t>” and, together with the Annual Grants, the “</w:t>
      </w:r>
      <w:r>
        <w:rPr>
          <w:rFonts w:ascii="Arial" w:cs="Arial" w:eastAsia="Arial" w:hAnsi="Arial"/>
          <w:sz w:val="19"/>
          <w:szCs w:val="19"/>
          <w:u w:val="single" w:color="auto"/>
          <w:color w:val="auto"/>
        </w:rPr>
        <w:t>Outside Director Grants</w:t>
      </w:r>
      <w:r>
        <w:rPr>
          <w:rFonts w:ascii="Arial" w:cs="Arial" w:eastAsia="Arial" w:hAnsi="Arial"/>
          <w:sz w:val="19"/>
          <w:szCs w:val="19"/>
          <w:color w:val="auto"/>
        </w:rPr>
        <w:t>”).</w:t>
      </w:r>
    </w:p>
    <w:p>
      <w:pPr>
        <w:spacing w:after="0" w:line="186"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Terms of Outside Director Grants</w:t>
      </w:r>
    </w:p>
    <w:p>
      <w:pPr>
        <w:spacing w:after="0" w:line="245" w:lineRule="exact"/>
        <w:rPr>
          <w:sz w:val="20"/>
          <w:szCs w:val="20"/>
          <w:color w:val="auto"/>
        </w:rPr>
      </w:pPr>
    </w:p>
    <w:p>
      <w:pPr>
        <w:jc w:val="both"/>
        <w:ind w:left="20" w:firstLine="315"/>
        <w:spacing w:after="0" w:line="275" w:lineRule="auto"/>
        <w:rPr>
          <w:sz w:val="20"/>
          <w:szCs w:val="20"/>
          <w:color w:val="auto"/>
        </w:rPr>
      </w:pPr>
      <w:r>
        <w:rPr>
          <w:rFonts w:ascii="Arial" w:cs="Arial" w:eastAsia="Arial" w:hAnsi="Arial"/>
          <w:sz w:val="19"/>
          <w:szCs w:val="19"/>
          <w:color w:val="auto"/>
        </w:rPr>
        <w:t>Unless otherwise specified by the Board of Directors or the Compensation Committee at the time of grant, each Outside Director Grant shall: (i) vest, in the case of (A) an Annual Grant, at the end of the “</w:t>
      </w:r>
      <w:r>
        <w:rPr>
          <w:rFonts w:ascii="Arial" w:cs="Arial" w:eastAsia="Arial" w:hAnsi="Arial"/>
          <w:sz w:val="19"/>
          <w:szCs w:val="19"/>
          <w:u w:val="single" w:color="auto"/>
          <w:color w:val="auto"/>
        </w:rPr>
        <w:t>Directors’ Compensation Year</w:t>
      </w:r>
      <w:r>
        <w:rPr>
          <w:rFonts w:ascii="Arial" w:cs="Arial" w:eastAsia="Arial" w:hAnsi="Arial"/>
          <w:sz w:val="19"/>
          <w:szCs w:val="19"/>
          <w:color w:val="auto"/>
        </w:rPr>
        <w:t>,” which shall be defined as the period beginning on the date of each regular Annual Stockholders Meeting and ending on the date of the next regular Annual Stockholders Meeting, subject to the Outside Director’s continued service on the Board of Directors through the applicable Directors’ Compensation Year, and (B) an Initial Grant, in equal annual installments over three years from the date of the grant, subject to the Outside Director’s continued service on the Board of Directors on the applicable vesting dates; and (ii) be granted under the Company’s standard form of agreement unless on or prior to the date of grant the Board of Directors or the Compensation Committee shall determine that other terms or conditions shall be applicable.</w:t>
      </w:r>
    </w:p>
    <w:p>
      <w:pPr>
        <w:spacing w:after="0" w:line="187"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Cash Fees</w:t>
      </w:r>
    </w:p>
    <w:p>
      <w:pPr>
        <w:spacing w:after="0" w:line="256" w:lineRule="exact"/>
        <w:rPr>
          <w:rFonts w:ascii="Arial" w:cs="Arial" w:eastAsia="Arial" w:hAnsi="Arial"/>
          <w:sz w:val="18"/>
          <w:szCs w:val="18"/>
          <w:b w:val="1"/>
          <w:bCs w:val="1"/>
          <w:color w:val="auto"/>
        </w:rPr>
      </w:pPr>
    </w:p>
    <w:p>
      <w:pPr>
        <w:ind w:left="660" w:hanging="328"/>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Annual Cash Fees</w:t>
      </w:r>
    </w:p>
    <w:p>
      <w:pPr>
        <w:spacing w:after="0" w:line="245" w:lineRule="exact"/>
        <w:rPr>
          <w:sz w:val="20"/>
          <w:szCs w:val="20"/>
          <w:color w:val="auto"/>
        </w:rPr>
      </w:pPr>
    </w:p>
    <w:p>
      <w:pPr>
        <w:jc w:val="both"/>
        <w:ind w:left="20" w:right="140" w:firstLine="319"/>
        <w:spacing w:after="0" w:line="297" w:lineRule="auto"/>
        <w:rPr>
          <w:sz w:val="20"/>
          <w:szCs w:val="20"/>
          <w:color w:val="auto"/>
        </w:rPr>
      </w:pPr>
      <w:r>
        <w:rPr>
          <w:rFonts w:ascii="Arial" w:cs="Arial" w:eastAsia="Arial" w:hAnsi="Arial"/>
          <w:sz w:val="19"/>
          <w:szCs w:val="19"/>
          <w:color w:val="auto"/>
        </w:rPr>
        <w:t>Each Outside Director will receive an annual cash retainer fee in the amount of $50,000, and the following additional annual cash fees shall be paid to the Outside Directors serving as the Chairman of the Board of Directors and on the Audit Committee, Compensation Committee and Nominating and Governance Committee, as applicable (collectively, the “</w:t>
      </w:r>
      <w:r>
        <w:rPr>
          <w:rFonts w:ascii="Arial" w:cs="Arial" w:eastAsia="Arial" w:hAnsi="Arial"/>
          <w:sz w:val="19"/>
          <w:szCs w:val="19"/>
          <w:u w:val="single" w:color="auto"/>
          <w:color w:val="auto"/>
        </w:rPr>
        <w:t>Annual Fees</w:t>
      </w:r>
      <w:r>
        <w:rPr>
          <w:rFonts w:ascii="Arial" w:cs="Arial" w:eastAsia="Arial" w:hAnsi="Arial"/>
          <w:sz w:val="19"/>
          <w:szCs w:val="19"/>
          <w:color w:val="auto"/>
        </w:rPr>
        <w: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360" w:type="dxa"/>
            <w:vAlign w:val="bottom"/>
            <w:tcBorders>
              <w:top w:val="single" w:sz="8" w:color="auto"/>
              <w:left w:val="single" w:sz="8" w:color="auto"/>
              <w:right w:val="single" w:sz="8" w:color="auto"/>
            </w:tcBorders>
          </w:tcPr>
          <w:p>
            <w:pPr>
              <w:spacing w:after="0"/>
              <w:rPr>
                <w:sz w:val="19"/>
                <w:szCs w:val="19"/>
                <w:color w:val="auto"/>
              </w:rPr>
            </w:pPr>
          </w:p>
        </w:tc>
        <w:tc>
          <w:tcPr>
            <w:tcW w:w="2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Annual</w:t>
            </w:r>
          </w:p>
        </w:tc>
        <w:tc>
          <w:tcPr>
            <w:tcW w:w="20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Annual</w:t>
            </w:r>
          </w:p>
        </w:tc>
      </w:tr>
      <w:tr>
        <w:trPr>
          <w:trHeight w:val="216"/>
        </w:trPr>
        <w:tc>
          <w:tcPr>
            <w:tcW w:w="836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Retainer</w:t>
            </w:r>
          </w:p>
        </w:tc>
        <w:tc>
          <w:tcPr>
            <w:tcW w:w="2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Retainer</w:t>
            </w:r>
          </w:p>
        </w:tc>
      </w:tr>
      <w:tr>
        <w:trPr>
          <w:trHeight w:val="216"/>
        </w:trPr>
        <w:tc>
          <w:tcPr>
            <w:tcW w:w="836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Amount for</w:t>
            </w:r>
          </w:p>
        </w:tc>
        <w:tc>
          <w:tcPr>
            <w:tcW w:w="2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Amount for</w:t>
            </w:r>
          </w:p>
        </w:tc>
      </w:tr>
      <w:tr>
        <w:trPr>
          <w:trHeight w:val="241"/>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Board of Directors or Committee of Board of Directors</w:t>
            </w:r>
          </w:p>
        </w:tc>
        <w:tc>
          <w:tcPr>
            <w:tcW w:w="2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Chair</w:t>
            </w:r>
          </w:p>
        </w:tc>
        <w:tc>
          <w:tcPr>
            <w:tcW w:w="2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Other Members</w:t>
            </w:r>
          </w:p>
        </w:tc>
      </w:tr>
      <w:tr>
        <w:trPr>
          <w:trHeight w:val="223"/>
        </w:trPr>
        <w:tc>
          <w:tcPr>
            <w:tcW w:w="8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Board of Directors (additional Chairman retainer)</w:t>
            </w:r>
          </w:p>
        </w:tc>
        <w:tc>
          <w:tcPr>
            <w:tcW w:w="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23"/>
        </w:trPr>
        <w:tc>
          <w:tcPr>
            <w:tcW w:w="8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15,000</w:t>
            </w:r>
          </w:p>
        </w:tc>
        <w:tc>
          <w:tcPr>
            <w:tcW w:w="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90"/>
        </w:trPr>
        <w:tc>
          <w:tcPr>
            <w:tcW w:w="8360" w:type="dxa"/>
            <w:vAlign w:val="bottom"/>
            <w:tcBorders>
              <w:left w:val="single" w:sz="8" w:color="auto"/>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r>
    </w:tbl>
    <w:p>
      <w:pPr>
        <w:sectPr>
          <w:pgSz w:w="11900" w:h="16900" w:orient="portrait"/>
          <w:cols w:equalWidth="0" w:num="1">
            <w:col w:w="11240"/>
          </w:cols>
          <w:pgMar w:left="320" w:top="274" w:right="339" w:bottom="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Nominating and Governance Committee</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5,000</w:t>
            </w:r>
          </w:p>
        </w:tc>
      </w:tr>
      <w:tr>
        <w:trPr>
          <w:trHeight w:val="426"/>
        </w:trPr>
        <w:tc>
          <w:tcPr>
            <w:tcW w:w="8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41" w:name="page142"/>
    <w:bookmarkEnd w:id="141"/>
    <w:p>
      <w:pPr>
        <w:ind w:left="640" w:hanging="32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Payment Terms for All Cash Fees</w:t>
      </w:r>
    </w:p>
    <w:p>
      <w:pPr>
        <w:spacing w:after="0" w:line="245" w:lineRule="exact"/>
        <w:rPr>
          <w:sz w:val="20"/>
          <w:szCs w:val="20"/>
          <w:color w:val="auto"/>
        </w:rPr>
      </w:pPr>
    </w:p>
    <w:p>
      <w:pPr>
        <w:jc w:val="both"/>
        <w:ind w:right="20" w:firstLine="319"/>
        <w:spacing w:after="0" w:line="250" w:lineRule="auto"/>
        <w:rPr>
          <w:sz w:val="20"/>
          <w:szCs w:val="20"/>
          <w:color w:val="auto"/>
        </w:rPr>
      </w:pPr>
      <w:r>
        <w:rPr>
          <w:rFonts w:ascii="Arial" w:cs="Arial" w:eastAsia="Arial" w:hAnsi="Arial"/>
          <w:sz w:val="22"/>
          <w:szCs w:val="22"/>
          <w:color w:val="auto"/>
        </w:rPr>
        <w:t>Annual Fees payable to Outside Directors shall be paid quarterly in arrears as soon as practicable following the last business day of each fiscal quarter, prorated for the number of days during which he or she provided service.</w:t>
      </w:r>
    </w:p>
    <w:p>
      <w:pPr>
        <w:spacing w:after="0" w:line="20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21"/>
          <w:szCs w:val="21"/>
          <w:color w:val="auto"/>
        </w:rPr>
        <w:t>Following an Outside Director’s first election or appointment to the Board of Directors, such Outside Director shall receive his or her cash compensation prorated during the first fiscal quarter in which he or she was initially appointed or elected for the number of days during which he or she provides service. If an Outside Director dies, resigns or is removed during any quarter, he or she shall be entitled to a cash payment on a prorated basis through his or her last day of service that shall be paid as soon as practicable following the last business day of the fiscal quarter.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39"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9"/>
          <w:szCs w:val="19"/>
          <w:color w:val="auto"/>
        </w:rPr>
        <w:t>Upon presentation of documentation of such expenses reasonably satisfactory to the Company, each Outside Director shall be reimbursed for his or her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w:t>
      </w:r>
    </w:p>
    <w:p>
      <w:pPr>
        <w:spacing w:after="0" w:line="239" w:lineRule="exact"/>
        <w:rPr>
          <w:sz w:val="20"/>
          <w:szCs w:val="20"/>
          <w:color w:val="auto"/>
        </w:rPr>
      </w:pPr>
    </w:p>
    <w:p>
      <w:pPr>
        <w:jc w:val="both"/>
        <w:ind w:right="20" w:firstLine="315"/>
        <w:spacing w:after="0"/>
        <w:rPr>
          <w:sz w:val="20"/>
          <w:szCs w:val="20"/>
          <w:color w:val="auto"/>
        </w:rPr>
      </w:pPr>
      <w:r>
        <w:rPr>
          <w:rFonts w:ascii="Arial" w:cs="Arial" w:eastAsia="Arial" w:hAnsi="Arial"/>
          <w:sz w:val="22"/>
          <w:szCs w:val="22"/>
          <w:color w:val="auto"/>
        </w:rPr>
        <w:t>The Compensation Committee or the Board of Directors shall review this Policy from time to time to assess whether any amendments in the type and amount of compensation provided herein should be adjusted in order to fulfill the objectives of this Policy.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Registrant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Country of</w:t>
            </w:r>
          </w:p>
        </w:tc>
      </w:tr>
      <w:tr>
        <w:trPr>
          <w:trHeight w:val="241"/>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Ownership</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Q-SI Operations Inc.</w:t>
            </w:r>
          </w:p>
        </w:tc>
        <w:tc>
          <w:tcPr>
            <w:tcW w:w="14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SAS Quantum-Si France</w:t>
            </w:r>
          </w:p>
        </w:tc>
        <w:tc>
          <w:tcPr>
            <w:tcW w:w="31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58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consent to the incorporation by reference in Registration Statement Nos. 333-259271, 333-263154 and 333-268301 on Form S-8 and Registration Statement Nos. 333-257676 and 333-263514 on Form S-3 of our report dated March 16, 2023, relating to the financial statements of Quantum-Si Incorporated, appearing in this Annual Report on Form 10-K of Quantum-Si Incorporated for the year ended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8" w:lineRule="auto"/>
        <w:rPr>
          <w:sz w:val="20"/>
          <w:szCs w:val="20"/>
          <w:color w:val="auto"/>
        </w:rPr>
      </w:pPr>
      <w:r>
        <w:rPr>
          <w:rFonts w:ascii="Arial" w:cs="Arial" w:eastAsia="Arial" w:hAnsi="Arial"/>
          <w:sz w:val="22"/>
          <w:szCs w:val="22"/>
          <w:color w:val="auto"/>
        </w:rPr>
        <w:t>New York, New York</w:t>
      </w:r>
    </w:p>
    <w:p>
      <w:pPr>
        <w:spacing w:after="0"/>
        <w:rPr>
          <w:sz w:val="20"/>
          <w:szCs w:val="20"/>
          <w:color w:val="auto"/>
        </w:rPr>
      </w:pPr>
      <w:r>
        <w:rPr>
          <w:rFonts w:ascii="Arial" w:cs="Arial" w:eastAsia="Arial" w:hAnsi="Arial"/>
          <w:sz w:val="22"/>
          <w:szCs w:val="22"/>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Jeffrey Hawkins, certify that:</w:t>
      </w:r>
    </w:p>
    <w:p>
      <w:pPr>
        <w:spacing w:after="0" w:line="240"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16, 2023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113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Claudia Drayton, certify that:</w:t>
      </w:r>
    </w:p>
    <w:p>
      <w:pPr>
        <w:spacing w:after="0" w:line="24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16, 2023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113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 Report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March 16, 2023</w:t>
      </w:r>
      <w:r>
        <w:rPr>
          <w:sz w:val="20"/>
          <w:szCs w:val="20"/>
          <w:color w:val="auto"/>
        </w:rPr>
        <w:tab/>
      </w:r>
      <w:r>
        <w:rPr>
          <w:rFonts w:ascii="Arial" w:cs="Arial" w:eastAsia="Arial" w:hAnsi="Arial"/>
          <w:sz w:val="16"/>
          <w:szCs w:val="16"/>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March 16, 2023</w:t>
      </w:r>
      <w:r>
        <w:rPr>
          <w:sz w:val="20"/>
          <w:szCs w:val="20"/>
          <w:color w:val="auto"/>
        </w:rPr>
        <w:tab/>
      </w:r>
      <w:r>
        <w:rPr>
          <w:rFonts w:ascii="Arial" w:cs="Arial" w:eastAsia="Arial" w:hAnsi="Arial"/>
          <w:sz w:val="16"/>
          <w:szCs w:val="16"/>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upperLetter"/>
      <w:start w:val="6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lowerRoman"/>
      <w:start w:val="2"/>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4"/>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lowerRoman"/>
      <w:start w:val="4"/>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2"/>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3"/>
    </w:lvl>
    <w:lvl w:ilvl="1">
      <w:lvlJc w:val="left"/>
      <w:lvlText w:val="(%2)"/>
      <w:numFmt w:val="lowerLetter"/>
      <w:start w:val="1"/>
    </w:lvl>
  </w:abstractNum>
  <w:abstractNum w:abstractNumId="51">
    <w:nsid w:val="10233C99"/>
    <w:multiLevelType w:val="hybridMultilevel"/>
    <w:lvl w:ilvl="0">
      <w:lvlJc w:val="left"/>
      <w:lvlText w:val="%1"/>
      <w:numFmt w:val="decimal"/>
      <w:start w:val="1"/>
    </w:lvl>
    <w:lvl w:ilvl="1">
      <w:lvlJc w:val="left"/>
      <w:lvlText w:val="(%2)"/>
      <w:numFmt w:val="lowerLetter"/>
      <w:start w:val="2"/>
    </w:lvl>
  </w:abstractNum>
  <w:abstractNum w:abstractNumId="52">
    <w:nsid w:val="3F6AB60F"/>
    <w:multiLevelType w:val="hybridMultilevel"/>
    <w:lvl w:ilvl="0">
      <w:lvlJc w:val="left"/>
      <w:lvlText w:val="%1."/>
      <w:numFmt w:val="decimal"/>
      <w:start w:val="4"/>
    </w:lvl>
    <w:lvl w:ilvl="1">
      <w:lvlJc w:val="left"/>
      <w:lvlText w:val="%2"/>
      <w:numFmt w:val="lowerLetter"/>
      <w:start w:val="1"/>
    </w:lvl>
  </w:abstractNum>
  <w:abstractNum w:abstractNumId="53">
    <w:nsid w:val="61574095"/>
    <w:multiLevelType w:val="hybridMultilevel"/>
    <w:lvl w:ilvl="0">
      <w:lvlJc w:val="left"/>
      <w:lvlText w:val="%1."/>
      <w:numFmt w:val="decimal"/>
      <w:start w:val="7"/>
    </w:lvl>
    <w:lvl w:ilvl="1">
      <w:lvlJc w:val="left"/>
      <w:lvlText w:val="(%2)"/>
      <w:numFmt w:val="lowerLetter"/>
      <w:start w:val="1"/>
    </w:lvl>
  </w:abstractNum>
  <w:abstractNum w:abstractNumId="54">
    <w:nsid w:val="7E0C57B1"/>
    <w:multiLevelType w:val="hybridMultilevel"/>
    <w:lvl w:ilvl="0">
      <w:lvlJc w:val="left"/>
      <w:lvlText w:val="(%1)"/>
      <w:numFmt w:val="lowerLetter"/>
      <w:start w:val="7"/>
    </w:lvl>
  </w:abstractNum>
  <w:abstractNum w:abstractNumId="55">
    <w:nsid w:val="77AE35EB"/>
    <w:multiLevelType w:val="hybridMultilevel"/>
    <w:lvl w:ilvl="0">
      <w:lvlJc w:val="left"/>
      <w:lvlText w:val="%1."/>
      <w:numFmt w:val="upperLetter"/>
      <w:start w:val="9"/>
    </w:lvl>
  </w:abstractNum>
  <w:abstractNum w:abstractNumId="56">
    <w:nsid w:val="579BE4F1"/>
    <w:multiLevelType w:val="hybridMultilevel"/>
    <w:lvl w:ilvl="0">
      <w:lvlJc w:val="left"/>
      <w:lvlText w:val="%1."/>
      <w:numFmt w:val="upperLetter"/>
      <w:start w:val="6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upperLetter"/>
      <w:start w:val="3"/>
    </w:lvl>
    <w:lvl w:ilvl="1">
      <w:lvlJc w:val="left"/>
      <w:lvlText w:val="%2."/>
      <w:numFmt w:val="decimal"/>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upperLetter"/>
      <w:start w:val="4"/>
    </w:lvl>
  </w:abstractNum>
  <w:abstractNum w:abstractNumId="62">
    <w:nsid w:val="4AD084E9"/>
    <w:multiLevelType w:val="hybridMultilevel"/>
    <w:lvl w:ilvl="0">
      <w:lvlJc w:val="left"/>
      <w:lvlText w:val="%1."/>
      <w:numFmt w:val="upperLetter"/>
      <w:start w:val="5"/>
    </w:lvl>
  </w:abstractNum>
  <w:abstractNum w:abstractNumId="63">
    <w:nsid w:val="1F48EAA1"/>
    <w:multiLevelType w:val="hybridMultilevel"/>
    <w:lvl w:ilvl="0">
      <w:lvlJc w:val="left"/>
      <w:lvlText w:val="%1."/>
      <w:numFmt w:val="upperLetter"/>
      <w:start w:val="1"/>
    </w:lvl>
    <w:lvl w:ilvl="1">
      <w:lvlJc w:val="left"/>
      <w:lvlText w:val="%2."/>
      <w:numFmt w:val="decimal"/>
      <w:start w:val="1"/>
    </w:lvl>
  </w:abstractNum>
  <w:abstractNum w:abstractNumId="64">
    <w:nsid w:val="1381823A"/>
    <w:multiLevelType w:val="hybridMultilevel"/>
    <w:lvl w:ilvl="0">
      <w:lvlJc w:val="left"/>
      <w:lvlText w:val="%1."/>
      <w:numFmt w:val="decimal"/>
      <w:start w:val="2"/>
    </w:lvl>
  </w:abstractNum>
  <w:abstractNum w:abstractNumId="65">
    <w:nsid w:val="5DB70AE5"/>
    <w:multiLevelType w:val="hybridMultilevel"/>
    <w:lvl w:ilvl="0">
      <w:lvlJc w:val="left"/>
      <w:lvlText w:val="%1."/>
      <w:numFmt w:val="decimal"/>
      <w:start w:val="3"/>
    </w:lvl>
  </w:abstractNum>
  <w:abstractNum w:abstractNumId="66">
    <w:nsid w:val="100F8FCA"/>
    <w:multiLevelType w:val="hybridMultilevel"/>
    <w:lvl w:ilvl="0">
      <w:lvlJc w:val="left"/>
      <w:lvlText w:val="%1."/>
      <w:numFmt w:val="upperLetter"/>
      <w:start w:val="2"/>
    </w:lvl>
    <w:lvl w:ilvl="1">
      <w:lvlJc w:val="left"/>
      <w:lvlText w:val="%2."/>
      <w:numFmt w:val="decimal"/>
      <w:start w:val="1"/>
    </w:lvl>
  </w:abstractNum>
  <w:abstractNum w:abstractNumId="67">
    <w:nsid w:val="6590700B"/>
    <w:multiLevelType w:val="hybridMultilevel"/>
    <w:lvl w:ilvl="0">
      <w:lvlJc w:val="left"/>
      <w:lvlText w:val="%1."/>
      <w:numFmt w:val="decimal"/>
      <w:start w:val="2"/>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99" Type="http://schemas.openxmlformats.org/officeDocument/2006/relationships/hyperlink" Target="https://www.sec.gov/Archives/edgar/data/1816431/000110465921025083/tm217111d1_ex2-1.htm" TargetMode="External"/><Relationship Id="rId100" Type="http://schemas.openxmlformats.org/officeDocument/2006/relationships/hyperlink" Target="https://www.sec.gov/Archives/edgar/data/1816431/000110465921081560/tm2118908d1_ex3-1.htm" TargetMode="External"/><Relationship Id="rId101" Type="http://schemas.openxmlformats.org/officeDocument/2006/relationships/hyperlink" Target="https://www.sec.gov/Archives/edgar/data/1816431/000114036122007334/brhc10034564_ex3-2.htm" TargetMode="External"/><Relationship Id="rId102" Type="http://schemas.openxmlformats.org/officeDocument/2006/relationships/hyperlink" Target="https://www.sec.gov/Archives/edgar/data/1816431/000110465921064151/tm217673d12_ex4-1.htm" TargetMode="External"/><Relationship Id="rId103" Type="http://schemas.openxmlformats.org/officeDocument/2006/relationships/hyperlink" Target="https://www.sec.gov/Archives/edgar/data/1816431/000110465920103448/tm2030387d1_ex4-1.htm" TargetMode="External"/><Relationship Id="rId104" Type="http://schemas.openxmlformats.org/officeDocument/2006/relationships/hyperlink" Target="https://www.sec.gov/Archives/edgar/data/1816431/000110465921025083/tm217111d1_ex10-1.htm" TargetMode="External"/><Relationship Id="rId105" Type="http://schemas.openxmlformats.org/officeDocument/2006/relationships/hyperlink" Target="https://www.sec.gov/Archives/edgar/data/1816431/000110465921025499/tm217238d1_ex10-2.htm" TargetMode="External"/><Relationship Id="rId106" Type="http://schemas.openxmlformats.org/officeDocument/2006/relationships/hyperlink" Target="https://www.sec.gov/Archives/edgar/data/1816431/000110465921025499/tm217238d1_ex10-3.htm" TargetMode="External"/><Relationship Id="rId107" Type="http://schemas.openxmlformats.org/officeDocument/2006/relationships/hyperlink" Target="https://www.sec.gov/Archives/edgar/data/1816431/000110465921026323/tm217569d1_ex10-1.htm" TargetMode="External"/><Relationship Id="rId108" Type="http://schemas.openxmlformats.org/officeDocument/2006/relationships/hyperlink" Target="https://www.sec.gov/Archives/edgar/data/1816431/000110465921025083/tm217111d1_ex10-4.htm" TargetMode="External"/><Relationship Id="rId109" Type="http://schemas.openxmlformats.org/officeDocument/2006/relationships/hyperlink" Target="https://www.sec.gov/Archives/edgar/data/1816431/000114036122035951/brhc10042621_ex10-1.htm" TargetMode="External"/><Relationship Id="rId110" Type="http://schemas.openxmlformats.org/officeDocument/2006/relationships/hyperlink" Target="https://www.sec.gov/Archives/edgar/data/1816431/000114036122018310/brhc10037201_ex10-1.htm" TargetMode="External"/><Relationship Id="rId111" Type="http://schemas.openxmlformats.org/officeDocument/2006/relationships/hyperlink" Target="https://www.sec.gov/Archives/edgar/data/1816431/000110465921064151/tm217673d12_ex10-10.htm" TargetMode="External"/><Relationship Id="rId112" Type="http://schemas.openxmlformats.org/officeDocument/2006/relationships/hyperlink" Target="https://www.sec.gov/Archives/edgar/data/1816431/000110465921029881/tm217673d4_ex10-10.htm" TargetMode="External"/><Relationship Id="rId113" Type="http://schemas.openxmlformats.org/officeDocument/2006/relationships/hyperlink" Target="https://www.sec.gov/Archives/edgar/data/1816431/000114036122007334/brhc10034564_ex10-12.htm" TargetMode="External"/><Relationship Id="rId114" Type="http://schemas.openxmlformats.org/officeDocument/2006/relationships/hyperlink" Target="https://www.sec.gov/Archives/edgar/data/1816431/000114036121037702/brhc10030506_ex10-1.htm" TargetMode="External"/><Relationship Id="rId115" Type="http://schemas.openxmlformats.org/officeDocument/2006/relationships/hyperlink" Target="https://www.sec.gov/Archives/edgar/data/1816431/000110465921081560/tm2118908d1_ex10-13d1.htm" TargetMode="External"/><Relationship Id="rId116" Type="http://schemas.openxmlformats.org/officeDocument/2006/relationships/hyperlink" Target="https://www.sec.gov/Archives/edgar/data/1816431/000110465921081560/tm2118908d1_ex10-13d2.htm" TargetMode="External"/><Relationship Id="rId117" Type="http://schemas.openxmlformats.org/officeDocument/2006/relationships/hyperlink" Target="https://www.sec.gov/Archives/edgar/data/1816431/000114036121030266/brhc10028486_ex99-3.htm" TargetMode="External"/><Relationship Id="rId118" Type="http://schemas.openxmlformats.org/officeDocument/2006/relationships/hyperlink" Target="https://www.sec.gov/Archives/edgar/data/1816431/000110465921081560/tm2118908d1_ex10-14d1.htm" TargetMode="External"/><Relationship Id="rId119" Type="http://schemas.openxmlformats.org/officeDocument/2006/relationships/hyperlink" Target="https://www.sec.gov/Archives/edgar/data/1816431/000110465921081560/tm2118908d1_ex10-14d2.htm" TargetMode="External"/><Relationship Id="rId120" Type="http://schemas.openxmlformats.org/officeDocument/2006/relationships/hyperlink" Target="https://www.sec.gov/Archives/edgar/data/1816431/000110465921081560/tm2118908d1_ex10-14d3.htm" TargetMode="External"/><Relationship Id="rId121" Type="http://schemas.openxmlformats.org/officeDocument/2006/relationships/hyperlink" Target="https://www.sec.gov/Archives/edgar/data/1816431/000114036122040956/brhc10043872_ex99-1.htm" TargetMode="External"/><Relationship Id="rId122" Type="http://schemas.openxmlformats.org/officeDocument/2006/relationships/hyperlink" Target="https://www.sec.gov/Archives/edgar/data/1816431/000110465921081560/tm2118908d1_ex10-16.htm" TargetMode="External"/><Relationship Id="rId123" Type="http://schemas.openxmlformats.org/officeDocument/2006/relationships/hyperlink" Target="https://www.sec.gov/Archives/edgar/data/1816431/000110465921081560/tm2118908d1_ex10-17.htm" TargetMode="External"/><Relationship Id="rId124" Type="http://schemas.openxmlformats.org/officeDocument/2006/relationships/hyperlink" Target="https://www.sec.gov/Archives/edgar/data/1816431/000110465921085103/tm2120588d1_ex10-1.htm" TargetMode="External"/><Relationship Id="rId125" Type="http://schemas.openxmlformats.org/officeDocument/2006/relationships/hyperlink" Target="https://www.sec.gov/Archives/edgar/data/1816431/000114036122000359/brhc10032381_ex10-1.htm" TargetMode="External"/><Relationship Id="rId126" Type="http://schemas.openxmlformats.org/officeDocument/2006/relationships/hyperlink" Target="https://www.sec.gov/Archives/edgar/data/1816431/000110465921089151/tm212126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2023-03-17T05:50:44Z</dcterms:created>
  <dcterms:modified xsi:type="dcterms:W3CDTF">2023-03-17T05:50:44Z</dcterms:modified>
</cp:coreProperties>
</file>