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WASHINGTON, D.C. 20549</w:t>
      </w:r>
    </w:p>
    <w:p>
      <w:pPr>
        <w:spacing w:after="0" w:line="310"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143"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(Amendment No. )</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40" w:lineRule="exact"/>
        <w:rPr>
          <w:sz w:val="24"/>
          <w:szCs w:val="24"/>
          <w:color w:val="auto"/>
        </w:rPr>
      </w:pPr>
    </w:p>
    <w:p>
      <w:pPr>
        <w:jc w:val="center"/>
        <w:ind w:right="-340"/>
        <w:spacing w:after="0"/>
        <w:rPr>
          <w:sz w:val="20"/>
          <w:szCs w:val="20"/>
          <w:color w:val="auto"/>
        </w:rPr>
      </w:pPr>
      <w:r>
        <w:rPr>
          <w:rFonts w:ascii="Arial" w:cs="Arial" w:eastAsia="Arial" w:hAnsi="Arial"/>
          <w:sz w:val="40"/>
          <w:szCs w:val="40"/>
          <w:b w:val="1"/>
          <w:bCs w:val="1"/>
          <w:color w:val="auto"/>
        </w:rPr>
        <w:t>Quantum-Si Incorporated</w:t>
      </w:r>
    </w:p>
    <w:p>
      <w:pPr>
        <w:spacing w:after="0" w:line="35"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(Name of Registrant as Specified In Its Charter)</w:t>
      </w:r>
    </w:p>
    <w:p>
      <w:pPr>
        <w:spacing w:after="0" w:line="223" w:lineRule="exact"/>
        <w:rPr>
          <w:sz w:val="24"/>
          <w:szCs w:val="24"/>
          <w:color w:val="auto"/>
        </w:rPr>
      </w:pPr>
    </w:p>
    <w:p>
      <w:pPr>
        <w:ind w:left="2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349250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160655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220345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92075</wp:posOffset>
            </wp:positionV>
            <wp:extent cx="147447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 Old Whitfield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Guilford, Connecticut 06437</w:t>
      </w:r>
    </w:p>
    <w:p>
      <w:pPr>
        <w:spacing w:after="0" w:line="126"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March 29, 2023</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You are cordially invited to attend the 2023 annual meeting of stockholders of Quantum-Si Incorporated to be held at 3:30 p.m., Eastern Time, on Thursday, May 11, 2023. This year’s annual meeting will be conducted solely via live audio webcast on the internet. You will be able to attend the annual meeting, vote and submit your questions during the annual meeting by visiting https://www.cstproxy.com/quantum-si/2023. You will not be able to attend the annual meeting in person.</w:t>
      </w:r>
    </w:p>
    <w:p>
      <w:pPr>
        <w:spacing w:after="0" w:line="8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Quantum-Si Incorporated that you should consider when you vote your shares are described in the accompanying proxy statement.</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At the annual meeting, seven persons will be elected to our board of directors. In addition, we will ask stockholders to ratify the appointment of Deloitte &amp; Touche LLP as our independent registered public accounting firm for our fiscal year ending December 31, 2023, to approve the compensation of our named executive officers, as disclosed in this proxy statement, and to approve a proposed amendment to our second amended and restated certificate of incorporation. Our board of directors recommends the approval of each of the proposals. Such other business will be transacted as may properly come before the annual meeting.</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b w:val="1"/>
          <w:bCs w:val="1"/>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March 31, 2023 we intend to begin sending to our stockholders a Notice of Internet Availability of Proxy Materials (the “Notice”) containing instructions on how to access our proxy statement for our 2023 Annual Meeting of Stockholders and our 2022 annual report to stockholders. The Notice also provides instructions on how to vote online or by telephone, how to access the virtual annual meeting, and how to receive a paper copy of the proxy materials by mail.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we hope you will vote promptly. Information about voting methods is set forth in the accompanying proxy statement.</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Thank you for your continued support of Quantum-Si Incorporated. We look forward to seeing you at the annual meeting.</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288925</wp:posOffset>
            </wp:positionV>
            <wp:extent cx="1303020"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02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Jeffrey Hawkins</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92075</wp:posOffset>
            </wp:positionV>
            <wp:extent cx="147447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 Old Whitfield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Guilford, Connecticut 06437</w:t>
      </w:r>
    </w:p>
    <w:p>
      <w:pPr>
        <w:spacing w:after="0" w:line="342"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March 29, 2023</w:t>
      </w:r>
    </w:p>
    <w:p>
      <w:pPr>
        <w:spacing w:after="0" w:line="36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TIME: 3:30 p.m. Eastern Time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Thursday, May 11, 2023</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ACCESS: https://www.cstproxy.com/quantum-si/2023</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This year’s annual meeting will be held virtually via live webcast on the Internet. You will be able to attend the annual meeting, vote and submit your questions during the meeting by visiting https://www.cstproxy.com/quantum-si/2023 and entering the 12-digit control number included in the Notice of Internet Availability or proxy card that you receive. For further information about the virtual annual meeting, please see the Questions and Answers about the Meeting beginning on page </w:t>
      </w:r>
      <w:r>
        <w:rPr>
          <w:rFonts w:ascii="Arial" w:cs="Arial" w:eastAsia="Arial" w:hAnsi="Arial"/>
          <w:sz w:val="18"/>
          <w:szCs w:val="18"/>
          <w:u w:val="single" w:color="auto"/>
          <w:color w:val="0000EE"/>
        </w:rPr>
        <w:t>3</w:t>
      </w:r>
      <w:r>
        <w:rPr>
          <w:rFonts w:ascii="Arial" w:cs="Arial" w:eastAsia="Arial" w:hAnsi="Arial"/>
          <w:sz w:val="18"/>
          <w:szCs w:val="18"/>
          <w:color w:val="auto"/>
        </w:rPr>
        <w:t>.</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PURPOSES:</w:t>
      </w:r>
    </w:p>
    <w:p>
      <w:pPr>
        <w:spacing w:after="0" w:line="117"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to serve one-year terms expiring in 2024;</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2023;</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as disclosed in this proxy statement;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 proposed amendment to the Quantum-Si Incorporated second amended and restated certificate of incorporation to limit the liability of our officers as permitted by recent amendments to Delaware law;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may vote if you were the record owner of Quantum-Si Incorporated Class A common stock or Class B common stock at the close of business on March 15, 2023. A list of stockholders of record will be available at the annual meeting and, during the 10 days prior to the annual meeting, at our principal executive offices located at 530 Old Whitfield Street, Guilford, Connecticut, 06437.</w:t>
      </w:r>
    </w:p>
    <w:p>
      <w:pPr>
        <w:spacing w:after="0" w:line="75" w:lineRule="exact"/>
        <w:rPr>
          <w:sz w:val="20"/>
          <w:szCs w:val="20"/>
          <w:color w:val="auto"/>
        </w:rPr>
      </w:pPr>
    </w:p>
    <w:p>
      <w:pPr>
        <w:jc w:val="both"/>
        <w:ind w:left="300" w:right="299" w:firstLine="360"/>
        <w:spacing w:after="0" w:line="303" w:lineRule="auto"/>
        <w:rPr>
          <w:sz w:val="20"/>
          <w:szCs w:val="20"/>
          <w:color w:val="auto"/>
        </w:rPr>
      </w:pPr>
      <w:r>
        <w:rPr>
          <w:rFonts w:ascii="Arial" w:cs="Arial" w:eastAsia="Arial" w:hAnsi="Arial"/>
          <w:sz w:val="16"/>
          <w:szCs w:val="16"/>
          <w:color w:val="auto"/>
        </w:rPr>
        <w:t xml:space="preserve">All stockholders are cordially invited to attend the annual meeting. </w:t>
      </w:r>
      <w:r>
        <w:rPr>
          <w:rFonts w:ascii="Arial" w:cs="Arial" w:eastAsia="Arial" w:hAnsi="Arial"/>
          <w:sz w:val="16"/>
          <w:szCs w:val="16"/>
          <w:b w:val="1"/>
          <w:bCs w:val="1"/>
          <w:color w:val="auto"/>
        </w:rPr>
        <w:t>Whether you plan to attend the annual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meeting or not, we urge you to vote and submit your proxy by the Internet, telephone or mail in order to ensure the presence of a quorum. </w:t>
      </w:r>
      <w:r>
        <w:rPr>
          <w:rFonts w:ascii="Arial" w:cs="Arial" w:eastAsia="Arial" w:hAnsi="Arial"/>
          <w:sz w:val="16"/>
          <w:szCs w:val="16"/>
          <w:color w:val="auto"/>
        </w:rPr>
        <w:t>You may change or revoke your proxy at any time before it is voted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If you participate in and vote your shares at the annual meeting, your proxy will not be used.</w:t>
      </w:r>
    </w:p>
    <w:p>
      <w:pPr>
        <w:spacing w:after="0" w:line="11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288925</wp:posOffset>
            </wp:positionV>
            <wp:extent cx="130302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02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28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8"/>
                <w:szCs w:val="18"/>
                <w:color w:val="0000EE"/>
                <w:w w:val="97"/>
              </w:rPr>
              <w:t>IMPORTANT NOTICE REGARDING THE AVAILABILITY OF PROXY MATERIALS FOR THE</w:t>
            </w:r>
          </w:p>
        </w:tc>
        <w:tc>
          <w:tcPr>
            <w:tcW w:w="740" w:type="dxa"/>
            <w:vAlign w:val="bottom"/>
            <w:tcBorders>
              <w:bottom w:val="single" w:sz="8" w:color="CCEEFF"/>
            </w:tcBorders>
            <w:gridSpan w:val="5"/>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40" w:type="dxa"/>
            <w:vAlign w:val="bottom"/>
            <w:gridSpan w:val="23"/>
            <w:shd w:val="clear" w:color="auto" w:fill="CCEEFF"/>
          </w:tcPr>
          <w:p>
            <w:pPr>
              <w:spacing w:after="0" w:line="196" w:lineRule="exact"/>
              <w:rPr>
                <w:sz w:val="20"/>
                <w:szCs w:val="20"/>
                <w:color w:val="auto"/>
              </w:rPr>
            </w:pPr>
            <w:r>
              <w:rPr>
                <w:rFonts w:ascii="Arial" w:cs="Arial" w:eastAsia="Arial" w:hAnsi="Arial"/>
                <w:sz w:val="18"/>
                <w:szCs w:val="18"/>
                <w:color w:val="0000EE"/>
              </w:rPr>
              <w:t>STOCKHOLDER MEETING TO BE HELD ON MAY 11, 2023</w:t>
            </w: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2</w:t>
            </w:r>
          </w:p>
        </w:tc>
        <w:tc>
          <w:tcPr>
            <w:tcW w:w="1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IMPORTANT INFORMATION ABOUT THE ANNUAL MEETING AND VOTING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8</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MANAGEMENT AND CORPORATE GOVERNANCE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10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EXECUTIVE OFFICER AND DIRECTOR COMPENSATION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19</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PAY VERSUS PERFORMANCE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26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30</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REPORT OF AUDIT COMMITTEE</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32</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PROPOSAL NO. 1 - ELECTION OF DIRECTORS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36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PROPOSAL NO. 2 - RATIFICATION OF SELECTION OF INDEPENDENT REGISTERED PUBLIC</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280" w:type="dxa"/>
            <w:vAlign w:val="bottom"/>
            <w:tcBorders>
              <w:top w:val="single" w:sz="8" w:color="0000EE"/>
            </w:tcBorders>
            <w:gridSpan w:val="20"/>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560" w:type="dxa"/>
            <w:vAlign w:val="bottom"/>
            <w:tcBorders>
              <w:top w:val="single" w:sz="8" w:color="CCEEFF"/>
            </w:tcBorders>
            <w:gridSpan w:val="3"/>
            <w:shd w:val="clear" w:color="auto" w:fill="CCEEFF"/>
          </w:tcPr>
          <w:p>
            <w:pPr>
              <w:spacing w:after="0"/>
              <w:rPr>
                <w:sz w:val="17"/>
                <w:szCs w:val="17"/>
                <w:color w:val="auto"/>
              </w:rPr>
            </w:pPr>
          </w:p>
        </w:tc>
        <w:tc>
          <w:tcPr>
            <w:tcW w:w="28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37</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PROPOSAL NO. 3 - ADVISORY VOTE ON APPROVAL OF EXECUTIVE COMPENSATION AS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DISCLOSED IN THIS PROXY STATEMENT</w:t>
            </w:r>
          </w:p>
        </w:tc>
        <w:tc>
          <w:tcPr>
            <w:tcW w:w="720" w:type="dxa"/>
            <w:vAlign w:val="bottom"/>
            <w:gridSpan w:val="4"/>
          </w:tcPr>
          <w:p>
            <w:pPr>
              <w:spacing w:after="0"/>
              <w:rPr>
                <w:sz w:val="17"/>
                <w:szCs w:val="17"/>
                <w:color w:val="auto"/>
              </w:rPr>
            </w:pP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color w:val="0000EE"/>
              </w:rPr>
              <w:t>39</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8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8"/>
                <w:szCs w:val="18"/>
                <w:color w:val="0000EE"/>
                <w:w w:val="95"/>
              </w:rPr>
              <w:t>PROPOSAL NO. 4 - AMENDMENT OF OUR CERTIFICATE OF INCORPORATION TO LIMIT THE</w:t>
            </w:r>
          </w:p>
        </w:tc>
        <w:tc>
          <w:tcPr>
            <w:tcW w:w="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22"/>
            <w:shd w:val="clear" w:color="auto" w:fill="CCEEFF"/>
          </w:tcPr>
          <w:p>
            <w:pPr>
              <w:spacing w:after="0" w:line="196" w:lineRule="exact"/>
              <w:rPr>
                <w:sz w:val="20"/>
                <w:szCs w:val="20"/>
                <w:color w:val="auto"/>
              </w:rPr>
            </w:pPr>
            <w:r>
              <w:rPr>
                <w:rFonts w:ascii="Arial" w:cs="Arial" w:eastAsia="Arial" w:hAnsi="Arial"/>
                <w:sz w:val="18"/>
                <w:szCs w:val="18"/>
                <w:color w:val="0000EE"/>
                <w:w w:val="96"/>
              </w:rPr>
              <w:t>LIABILITY OF OUR OFFICERS AS PERMITTED BY RECENT AMENDMENTS TO DELAWARE</w:t>
            </w: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40" w:type="dxa"/>
            <w:vAlign w:val="bottom"/>
            <w:gridSpan w:val="23"/>
            <w:shd w:val="clear" w:color="auto" w:fill="CCEEFF"/>
          </w:tcPr>
          <w:p>
            <w:pPr>
              <w:spacing w:after="0" w:line="196" w:lineRule="exact"/>
              <w:rPr>
                <w:sz w:val="20"/>
                <w:szCs w:val="20"/>
                <w:color w:val="auto"/>
              </w:rPr>
            </w:pPr>
            <w:r>
              <w:rPr>
                <w:rFonts w:ascii="Arial" w:cs="Arial" w:eastAsia="Arial" w:hAnsi="Arial"/>
                <w:sz w:val="18"/>
                <w:szCs w:val="18"/>
                <w:color w:val="0000EE"/>
              </w:rPr>
              <w:t>LAW</w:t>
            </w:r>
          </w:p>
        </w:tc>
        <w:tc>
          <w:tcPr>
            <w:tcW w:w="2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0000EE"/>
              </w:rPr>
              <w:t>40</w:t>
            </w:r>
          </w:p>
        </w:tc>
        <w:tc>
          <w:tcPr>
            <w:tcW w:w="12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CODE OF CONDUCT AND ETHICS</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2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41</w:t>
            </w:r>
          </w:p>
        </w:tc>
        <w:tc>
          <w:tcPr>
            <w:tcW w:w="12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STOCKHOLDER PROPOSALS AND NOMINATIONS FOR DIRECTOR</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8020" w:type="dxa"/>
            <w:vAlign w:val="bottom"/>
            <w:gridSpan w:val="24"/>
          </w:tcPr>
          <w:p>
            <w:pPr>
              <w:spacing w:after="0"/>
              <w:rPr>
                <w:sz w:val="20"/>
                <w:szCs w:val="20"/>
                <w:color w:val="auto"/>
              </w:rPr>
            </w:pPr>
            <w:r>
              <w:rPr>
                <w:rFonts w:ascii="Arial" w:cs="Arial" w:eastAsia="Arial" w:hAnsi="Arial"/>
                <w:sz w:val="18"/>
                <w:szCs w:val="18"/>
                <w:color w:val="0000EE"/>
              </w:rPr>
              <w:t>APPENDIX A - FORM OF CERTIFICATE OF AMENDMENT</w:t>
            </w:r>
          </w:p>
        </w:tc>
        <w:tc>
          <w:tcPr>
            <w:tcW w:w="280" w:type="dxa"/>
            <w:vAlign w:val="bottom"/>
            <w:gridSpan w:val="3"/>
          </w:tcPr>
          <w:p>
            <w:pPr>
              <w:jc w:val="right"/>
              <w:spacing w:after="0"/>
              <w:rPr>
                <w:sz w:val="20"/>
                <w:szCs w:val="20"/>
                <w:color w:val="auto"/>
              </w:rPr>
            </w:pPr>
            <w:r>
              <w:rPr>
                <w:rFonts w:ascii="Arial" w:cs="Arial" w:eastAsia="Arial" w:hAnsi="Arial"/>
                <w:sz w:val="18"/>
                <w:szCs w:val="18"/>
                <w:color w:val="0000EE"/>
              </w:rPr>
              <w:t>42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7"/>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gridSpan w:val="2"/>
          </w:tcPr>
          <w:p>
            <w:pPr>
              <w:ind w:left="80"/>
              <w:spacing w:after="0"/>
              <w:rPr>
                <w:sz w:val="20"/>
                <w:szCs w:val="20"/>
                <w:color w:val="auto"/>
              </w:rPr>
            </w:pPr>
            <w:r>
              <w:rPr>
                <w:rFonts w:ascii="Arial" w:cs="Arial" w:eastAsia="Arial" w:hAnsi="Arial"/>
                <w:sz w:val="18"/>
                <w:szCs w:val="18"/>
                <w:color w:val="auto"/>
              </w:rPr>
              <w:t>i</w:t>
            </w:r>
          </w:p>
        </w:tc>
        <w:tc>
          <w:tcPr>
            <w:tcW w:w="338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5843905</wp:posOffset>
            </wp:positionH>
            <wp:positionV relativeFrom="paragraph">
              <wp:posOffset>-4799965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530 Old Whitfield Street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Guilford, Connecticut 06437</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TO BE HELD ON MAY 11, 2023</w:t>
      </w:r>
    </w:p>
    <w:p>
      <w:pPr>
        <w:spacing w:after="0" w:line="10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proxy statement, along with the accompanying notice of 2023 annual meeting of stockholders, contains information about the 2023 annual meeting of stockholders of Quantum-Si Incorporated, including any adjournments or postponements of the annual meeting. We are holding the annual meeting at 3:30 p.m., Eastern Time, on Thursday, May 11, 2023. This year’s annual meeting will be conducted solely via live audio webcast on the Internet. You will be able to attend the annual meeting, vote and submit your questions during the annual meeting by visiting https://www.cstproxy.com/quantum-si/2023. You will not be able to attend the annual meeting in person.</w:t>
      </w:r>
    </w:p>
    <w:p>
      <w:pPr>
        <w:spacing w:after="0" w:line="11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this proxy statement, we refer to Quantum-Si Incorporated as “Quantum-Si,” “the Company,” “we” and “us.”</w:t>
      </w:r>
    </w:p>
    <w:p>
      <w:pPr>
        <w:spacing w:after="0" w:line="10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or about March 31, 2023, we intend to begin sending to our stockholders the Important Notice Regarding the Availability of Proxy Materials containing instructions on how to access our proxy statement for our 2023 annual meeting of stockholders and our 2022 annual report to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left="300" w:right="35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11, 2023</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proxy statement, the Notice of Annual Meeting of Stockholders, our form of proxy card and our 2022 annual report to stockholders are available for viewing, printing and downloading at https://www.cstproxy.com/quantum-si/2023. To view these materials please have your 12-digit control number(s) available that appears on your Notice or proxy card. On this website, you can also elect to receive future distributions of our proxy statements and annual reports to stockholders by electronic delivery.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Additionally, you can find a copy of our Annual Report on Form 10-K, which includes our financial statements for the fiscal year ended December 31, 2022, on the website of the Securities and Exchange Commission (the “SEC”) at www.sec.gov, or in the “SEC Filings” section of the “Investors” section of our website at www.quantum-si.com. You may also obtain a printed copy of our Annual Report on Form 10-K, including our financial statements, free of charge, from us by sending a written request to: Quantum-Si Incorporated, Attn: Investor Relations, 530 Old Whitfield Street, Guilford, Connecticut 06437. Exhibits will be provided upon written request and payment of an appropriate processing fee.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is soliciting your proxy to vote at the 2023 annual meeting of stockholders to be held virtually, on Thursday, May 11, 2023, at 3:30 p.m., Eastern Time, and any adjournments or postponements of the meeting, which we refer to as the annual meeting. This proxy statement, along with the accompanying Notice of Annual Meeting of Stockholders, summarizes the purposes of the meeting and the information you need to know to vote at the annual meeting.</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made available to you on the Internet or have sent you this proxy statement, the Notice of Annual Meeting of Stockholders, the proxy card and a copy of our Annual Report on Form 10-K for the fiscal year ended December 31, 2022 because you owned shares of our Class A common stock or Class B common stock (together, the “common stock”) on the record date. We intend to commence distribution of the Important Notice Regarding the Availability of Proxy Materials, which we refer to throughout this proxy statement as the Notice, and, if applicable, proxy materials to stockholders on or about March 31, 2023.</w:t>
      </w:r>
    </w:p>
    <w:p>
      <w:pPr>
        <w:spacing w:after="0" w:line="174" w:lineRule="exact"/>
        <w:rPr>
          <w:sz w:val="20"/>
          <w:szCs w:val="20"/>
          <w:color w:val="auto"/>
        </w:rPr>
      </w:pPr>
    </w:p>
    <w:p>
      <w:pPr>
        <w:ind w:left="300" w:right="559"/>
        <w:spacing w:after="0" w:line="282"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permitted by the rules of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year’s annual meeting will be held in a virtual meeting format only.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as time permits.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live audio webcast of the annual meeting will begin promptly at 3:30 p.m. Eastern Time.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Log-in Instructions. To be admitted to the virtual annual meeting, you will need to log-in at https://www.cstproxy.com/quantum-si/2023 using the 12-digit control number found on the proxy card or voting instruction card previously mailed or made available to stockholders entitled to vote at the annual meeting.</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Will I be able to ask questions and have these questions answered during the Virtual Annual Meeting?</w:t>
      </w:r>
    </w:p>
    <w:p>
      <w:pPr>
        <w:spacing w:after="0" w:line="13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Stockholders may submit questions for the annual meeting after logging in. If you wish to submit a question, you may do so by logging into the virtual meeting platform at https://www.cstproxy.com/quantum-si/2023, typing your question into the “Ask a Question” field, and clicking “Submit.” Please submit any questions before the start time of the meeting.</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Appropriate questions related to the business of the annual meeting (the proposals being voted on) will be answered during the annual meeting, subject to time constraints. Any such questions that cannot be answered during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the annual meeting due to time constraints will be posted and answered at https://ir.quantum-si.com as soon as practical after the annual meeting. Additional information regarding the ability of stockholders to ask questions during the annual meeting, related to rules of conduct and other materials for the annual meeting will be available at https://www.cstproxy.com/quantum-si/2023.</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1 800-450-7155 (toll free) or +1 857-999-9155 (international).</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Vote?</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Only stockholders of record at the close of business on March 15, 2023 will be entitled to vote at the annual meeting. As of the close of business on the record date, there were 139,954,225 shares of our common stock outstanding and entitled to vote, including 120,016,725 shares of Class A common stock and 19,937,500 shares of Class B common stock. Our Class A common stock and Class B common stock are our only classes of voting stock.</w:t>
      </w:r>
    </w:p>
    <w:p>
      <w:pPr>
        <w:spacing w:after="0" w:line="4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on March 15, 2023 your shares of our common stock were registered directly in your name with our transfer agent, Continental Stock Transfer &amp; Trust Company, then you are a stockholder of record.</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on March 15, 2023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annual meeting unless you request and obtain a valid proxy from your broker or other agent.</w:t>
      </w:r>
    </w:p>
    <w:p>
      <w:pPr>
        <w:spacing w:after="0" w:line="6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6"/>
          <w:szCs w:val="16"/>
          <w:i w:val="1"/>
          <w:iCs w:val="1"/>
          <w:color w:val="auto"/>
        </w:rPr>
        <w:t>May I Change or Revoke My Proxy?</w:t>
      </w:r>
      <w:r>
        <w:rPr>
          <w:rFonts w:ascii="Arial" w:cs="Arial" w:eastAsia="Arial" w:hAnsi="Arial"/>
          <w:sz w:val="16"/>
          <w:szCs w:val="16"/>
          <w:color w:val="auto"/>
        </w:rPr>
        <w:t>” below.</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Each share of our Class A common stock that you own entitles you to one vote and each share of our Class B common stock that you own entitles you to twenty votes.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or AGAINST for each nominee for director and whether your shares should be voted for, against or abstain with respect to each of the other proposals.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your shares are registered directly in your name through our stock transfer agent, Continental Stock Transfer</w:t>
      </w:r>
    </w:p>
    <w:p>
      <w:pPr>
        <w:spacing w:after="0" w:line="46" w:lineRule="exact"/>
        <w:rPr>
          <w:sz w:val="20"/>
          <w:szCs w:val="20"/>
          <w:color w:val="auto"/>
        </w:rPr>
      </w:pPr>
    </w:p>
    <w:p>
      <w:pPr>
        <w:ind w:left="480" w:hanging="18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Company, or you have stock certificates registered in your name, you may vote:</w:t>
      </w:r>
    </w:p>
    <w:p>
      <w:pPr>
        <w:spacing w:after="0" w:line="98" w:lineRule="exact"/>
        <w:rPr>
          <w:rFonts w:ascii="Arial" w:cs="Arial" w:eastAsia="Arial" w:hAnsi="Arial"/>
          <w:sz w:val="18"/>
          <w:szCs w:val="18"/>
          <w:color w:val="auto"/>
        </w:rPr>
      </w:pPr>
    </w:p>
    <w:p>
      <w:pPr>
        <w:ind w:left="1000" w:right="319" w:hanging="348"/>
        <w:spacing w:after="0" w:line="282"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in the proxy card to vote over the Internet or by telephone.</w:t>
      </w:r>
    </w:p>
    <w:p>
      <w:pPr>
        <w:spacing w:after="0" w:line="53" w:lineRule="exact"/>
        <w:rPr>
          <w:rFonts w:ascii="Arial" w:cs="Arial" w:eastAsia="Arial" w:hAnsi="Arial"/>
          <w:sz w:val="18"/>
          <w:szCs w:val="18"/>
          <w:color w:val="auto"/>
        </w:rPr>
      </w:pPr>
    </w:p>
    <w:p>
      <w:pPr>
        <w:jc w:val="both"/>
        <w:ind w:left="1000" w:right="319" w:hanging="348"/>
        <w:spacing w:after="0" w:line="261"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returning the proxy card as instructed on the card. If you sign the proxy card but do not specify how you want your shares voted, they will be voted in accordance with our board of directors’ recommendations as noted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539"/>
        <w:spacing w:after="0" w:line="282" w:lineRule="auto"/>
        <w:rPr>
          <w:sz w:val="20"/>
          <w:szCs w:val="20"/>
          <w:color w:val="auto"/>
        </w:rPr>
      </w:pPr>
      <w:r>
        <w:rPr>
          <w:rFonts w:ascii="Arial" w:cs="Arial" w:eastAsia="Arial" w:hAnsi="Arial"/>
          <w:sz w:val="18"/>
          <w:szCs w:val="18"/>
          <w:b w:val="1"/>
          <w:bCs w:val="1"/>
          <w:color w:val="auto"/>
        </w:rPr>
        <w:t>Telephone and Internet voting facilities for stockholders of record will be available 24 hours a day until the Annual Meeting begins at 3:30 p.m. Eastern Time on May 11, 2023.</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3" w:lineRule="exact"/>
        <w:rPr>
          <w:sz w:val="20"/>
          <w:szCs w:val="20"/>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our fiscal year ending December 31, 2023;</w:t>
      </w:r>
    </w:p>
    <w:p>
      <w:pPr>
        <w:spacing w:after="0" w:line="53" w:lineRule="exact"/>
        <w:rPr>
          <w:rFonts w:ascii="Arial" w:cs="Arial" w:eastAsia="Arial" w:hAnsi="Arial"/>
          <w:sz w:val="18"/>
          <w:szCs w:val="18"/>
          <w:color w:val="auto"/>
        </w:rPr>
      </w:pPr>
    </w:p>
    <w:p>
      <w:pPr>
        <w:ind w:left="1000" w:right="319" w:hanging="348"/>
        <w:spacing w:after="0" w:line="28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 non-binding, advisory basis, of the compensation of our named executive officers, as described in this proxy statement; and</w:t>
      </w:r>
    </w:p>
    <w:p>
      <w:pPr>
        <w:spacing w:after="0" w:line="53" w:lineRule="exact"/>
        <w:rPr>
          <w:rFonts w:ascii="Arial" w:cs="Arial" w:eastAsia="Arial" w:hAnsi="Arial"/>
          <w:sz w:val="18"/>
          <w:szCs w:val="18"/>
          <w:color w:val="auto"/>
        </w:rPr>
      </w:pPr>
    </w:p>
    <w:p>
      <w:pPr>
        <w:ind w:left="1000" w:right="319" w:hanging="348"/>
        <w:spacing w:after="0" w:line="31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amendment to the Quantum-Si Incorporated second amended and restated certificate of incorporation to limit the liability of our officers as permitted by recent amendments to Delaware law.</w:t>
      </w:r>
    </w:p>
    <w:p>
      <w:pPr>
        <w:spacing w:after="0" w:line="36"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best judgment. At the time this proxy statement was first made available, we knew of no matters that needed to be acted on at the annual meeting, other than those discussed in this proxy statement.</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notifying Quantum-Si Incorporated’s Corporate Secretary in writing before the annual meeting that you have revoked your proxy;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attending the annual meeting and voting at the meeting. Attending the annual meeting will not in and of itself revoke a previously submitted proxy. You must specifically request at the annual meeting that it be revoked.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as described above under “</w:t>
      </w:r>
      <w:r>
        <w:rPr>
          <w:rFonts w:ascii="Arial" w:cs="Arial" w:eastAsia="Arial" w:hAnsi="Arial"/>
          <w:sz w:val="16"/>
          <w:szCs w:val="16"/>
          <w:i w:val="1"/>
          <w:iCs w:val="1"/>
          <w:color w:val="auto"/>
        </w:rPr>
        <w:t>How Do I Vote</w:t>
      </w:r>
      <w:r>
        <w:rPr>
          <w:rFonts w:ascii="Arial" w:cs="Arial" w:eastAsia="Arial" w:hAnsi="Arial"/>
          <w:sz w:val="16"/>
          <w:szCs w:val="16"/>
          <w:color w:val="auto"/>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85" w:lineRule="exact"/>
        <w:rPr>
          <w:sz w:val="20"/>
          <w:szCs w:val="20"/>
          <w:color w:val="auto"/>
        </w:rPr>
      </w:pPr>
    </w:p>
    <w:p>
      <w:pPr>
        <w:ind w:left="300"/>
        <w:spacing w:after="0"/>
        <w:tabs>
          <w:tab w:leader="none" w:pos="3640" w:val="left"/>
        </w:tabs>
        <w:rPr>
          <w:sz w:val="20"/>
          <w:szCs w:val="20"/>
          <w:color w:val="auto"/>
        </w:rPr>
      </w:pPr>
      <w:r>
        <w:rPr>
          <w:rFonts w:ascii="Arial" w:cs="Arial" w:eastAsia="Arial" w:hAnsi="Arial"/>
          <w:sz w:val="18"/>
          <w:szCs w:val="18"/>
          <w:b w:val="1"/>
          <w:bCs w:val="1"/>
          <w:color w:val="auto"/>
        </w:rPr>
        <w:t>Proposal 1: Elect Directors</w:t>
      </w:r>
      <w:r>
        <w:rPr>
          <w:sz w:val="20"/>
          <w:szCs w:val="20"/>
          <w:color w:val="auto"/>
        </w:rPr>
        <w:tab/>
      </w:r>
      <w:r>
        <w:rPr>
          <w:rFonts w:ascii="Arial" w:cs="Arial" w:eastAsia="Arial" w:hAnsi="Arial"/>
          <w:sz w:val="16"/>
          <w:szCs w:val="16"/>
          <w:color w:val="auto"/>
        </w:rPr>
        <w:t>Each nominee for director who receives the affirmative vote of a</w:t>
      </w:r>
    </w:p>
    <w:p>
      <w:pPr>
        <w:spacing w:after="0" w:line="27" w:lineRule="exact"/>
        <w:rPr>
          <w:sz w:val="20"/>
          <w:szCs w:val="20"/>
          <w:color w:val="auto"/>
        </w:rPr>
      </w:pPr>
    </w:p>
    <w:p>
      <w:pPr>
        <w:ind w:left="3660" w:right="339"/>
        <w:spacing w:after="0" w:line="285" w:lineRule="auto"/>
        <w:rPr>
          <w:sz w:val="20"/>
          <w:szCs w:val="20"/>
          <w:color w:val="auto"/>
        </w:rPr>
      </w:pPr>
      <w:r>
        <w:rPr>
          <w:rFonts w:ascii="Arial" w:cs="Arial" w:eastAsia="Arial" w:hAnsi="Arial"/>
          <w:sz w:val="16"/>
          <w:szCs w:val="16"/>
          <w:color w:val="auto"/>
        </w:rPr>
        <w:t>majority of the votes cast affirmatively or negatively will be elected to serve until the next annual meeting of shareholders (meaning the number of shares voted “for” a nominee must exceed the number of shares voted “against” such nominee). You may vote either “for” or “against” each of the nominees, or you may “abstain” from voting for one or more nominees. If you “abstain” from voting with respect to one or more nominees, your vote will have no effect on the election of such nominees.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76" w:lineRule="exact"/>
        <w:rPr>
          <w:sz w:val="20"/>
          <w:szCs w:val="20"/>
          <w:color w:val="auto"/>
        </w:rPr>
      </w:pPr>
    </w:p>
    <w:p>
      <w:pPr>
        <w:ind w:left="300"/>
        <w:spacing w:after="0"/>
        <w:tabs>
          <w:tab w:leader="none" w:pos="3640" w:val="left"/>
        </w:tabs>
        <w:rPr>
          <w:sz w:val="20"/>
          <w:szCs w:val="20"/>
          <w:color w:val="auto"/>
        </w:rPr>
      </w:pPr>
      <w:r>
        <w:rPr>
          <w:rFonts w:ascii="Arial" w:cs="Arial" w:eastAsia="Arial" w:hAnsi="Arial"/>
          <w:sz w:val="18"/>
          <w:szCs w:val="18"/>
          <w:b w:val="1"/>
          <w:bCs w:val="1"/>
          <w:color w:val="auto"/>
        </w:rPr>
        <w:t>Proposal 2: Ratify Appointment of</w:t>
      </w:r>
      <w:r>
        <w:rPr>
          <w:sz w:val="20"/>
          <w:szCs w:val="20"/>
          <w:color w:val="auto"/>
        </w:rPr>
        <w:tab/>
      </w:r>
      <w:r>
        <w:rPr>
          <w:rFonts w:ascii="Arial" w:cs="Arial" w:eastAsia="Arial" w:hAnsi="Arial"/>
          <w:sz w:val="16"/>
          <w:szCs w:val="16"/>
          <w:color w:val="auto"/>
        </w:rPr>
        <w:t>The affirmative vote of a majority of the votes cast affirmatively or</w:t>
      </w:r>
    </w:p>
    <w:p>
      <w:pPr>
        <w:spacing w:after="0" w:line="27" w:lineRule="exact"/>
        <w:rPr>
          <w:sz w:val="20"/>
          <w:szCs w:val="20"/>
          <w:color w:val="auto"/>
        </w:rPr>
      </w:pPr>
    </w:p>
    <w:p>
      <w:pPr>
        <w:ind w:left="480"/>
        <w:spacing w:after="0"/>
        <w:tabs>
          <w:tab w:leader="none" w:pos="3640" w:val="left"/>
        </w:tabs>
        <w:rPr>
          <w:sz w:val="20"/>
          <w:szCs w:val="20"/>
          <w:color w:val="auto"/>
        </w:rPr>
      </w:pPr>
      <w:r>
        <w:rPr>
          <w:rFonts w:ascii="Arial" w:cs="Arial" w:eastAsia="Arial" w:hAnsi="Arial"/>
          <w:sz w:val="18"/>
          <w:szCs w:val="18"/>
          <w:b w:val="1"/>
          <w:bCs w:val="1"/>
          <w:color w:val="auto"/>
        </w:rPr>
        <w:t>Independent Registered Public</w:t>
      </w:r>
      <w:r>
        <w:rPr>
          <w:sz w:val="20"/>
          <w:szCs w:val="20"/>
          <w:color w:val="auto"/>
        </w:rPr>
        <w:tab/>
      </w:r>
      <w:r>
        <w:rPr>
          <w:rFonts w:ascii="Arial" w:cs="Arial" w:eastAsia="Arial" w:hAnsi="Arial"/>
          <w:sz w:val="16"/>
          <w:szCs w:val="16"/>
          <w:color w:val="auto"/>
        </w:rPr>
        <w:t>negatively for this proposal is required to ratify the selection of our</w:t>
      </w:r>
    </w:p>
    <w:p>
      <w:pPr>
        <w:spacing w:after="0" w:line="9" w:lineRule="exact"/>
        <w:rPr>
          <w:sz w:val="20"/>
          <w:szCs w:val="20"/>
          <w:color w:val="auto"/>
        </w:rPr>
      </w:pPr>
    </w:p>
    <w:p>
      <w:pPr>
        <w:ind w:left="480"/>
        <w:spacing w:after="0"/>
        <w:tabs>
          <w:tab w:leader="none" w:pos="3640" w:val="left"/>
        </w:tabs>
        <w:rPr>
          <w:sz w:val="20"/>
          <w:szCs w:val="20"/>
          <w:color w:val="auto"/>
        </w:rPr>
      </w:pPr>
      <w:r>
        <w:rPr>
          <w:rFonts w:ascii="Arial" w:cs="Arial" w:eastAsia="Arial" w:hAnsi="Arial"/>
          <w:sz w:val="18"/>
          <w:szCs w:val="18"/>
          <w:b w:val="1"/>
          <w:bCs w:val="1"/>
          <w:color w:val="auto"/>
        </w:rPr>
        <w:t>Accounting Firm</w:t>
      </w:r>
      <w:r>
        <w:rPr>
          <w:sz w:val="20"/>
          <w:szCs w:val="20"/>
          <w:color w:val="auto"/>
        </w:rPr>
        <w:tab/>
      </w:r>
      <w:r>
        <w:rPr>
          <w:rFonts w:ascii="Arial" w:cs="Arial" w:eastAsia="Arial" w:hAnsi="Arial"/>
          <w:sz w:val="16"/>
          <w:szCs w:val="16"/>
          <w:color w:val="auto"/>
        </w:rPr>
        <w:t>independent registered public accounting firm. Abstentions will have</w:t>
      </w:r>
    </w:p>
    <w:p>
      <w:pPr>
        <w:spacing w:after="0" w:line="9" w:lineRule="exact"/>
        <w:rPr>
          <w:sz w:val="20"/>
          <w:szCs w:val="20"/>
          <w:color w:val="auto"/>
        </w:rPr>
      </w:pPr>
    </w:p>
    <w:p>
      <w:pPr>
        <w:ind w:left="3660" w:right="339"/>
        <w:spacing w:after="0" w:line="286" w:lineRule="auto"/>
        <w:rPr>
          <w:sz w:val="20"/>
          <w:szCs w:val="20"/>
          <w:color w:val="auto"/>
        </w:rPr>
      </w:pPr>
      <w:r>
        <w:rPr>
          <w:rFonts w:ascii="Arial" w:cs="Arial" w:eastAsia="Arial" w:hAnsi="Arial"/>
          <w:sz w:val="16"/>
          <w:szCs w:val="16"/>
          <w:color w:val="auto"/>
        </w:rPr>
        <w:t>no effect on the results of this vote.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appointment of Deloitte &amp; Touche LLP as our independent registered public accounting firm for the fiscal year ending December 31, 2023, our audit committee of our board of directors will reconsider its selection.</w:t>
      </w:r>
    </w:p>
    <w:p>
      <w:pPr>
        <w:sectPr>
          <w:pgSz w:w="11900" w:h="16838" w:orient="portrait"/>
          <w:cols w:equalWidth="0" w:num="1">
            <w:col w:w="9019"/>
          </w:cols>
          <w:pgMar w:left="1440" w:top="265" w:right="1440" w:bottom="1440" w:gutter="0" w:footer="0" w:header="0"/>
        </w:sectPr>
      </w:pPr>
    </w:p>
    <w:p>
      <w:pPr>
        <w:spacing w:after="0" w:line="273" w:lineRule="exact"/>
        <w:rPr>
          <w:sz w:val="20"/>
          <w:szCs w:val="20"/>
          <w:color w:val="auto"/>
        </w:rPr>
      </w:pPr>
    </w:p>
    <w:p>
      <w:pPr>
        <w:ind w:left="480" w:hanging="179"/>
        <w:spacing w:after="0" w:line="314" w:lineRule="auto"/>
        <w:rPr>
          <w:sz w:val="20"/>
          <w:szCs w:val="20"/>
          <w:color w:val="auto"/>
        </w:rPr>
      </w:pPr>
      <w:r>
        <w:rPr>
          <w:rFonts w:ascii="Arial" w:cs="Arial" w:eastAsia="Arial" w:hAnsi="Arial"/>
          <w:sz w:val="16"/>
          <w:szCs w:val="16"/>
          <w:b w:val="1"/>
          <w:bCs w:val="1"/>
          <w:color w:val="auto"/>
        </w:rPr>
        <w:t>Proposal 3: Approve a Non-Binding, Advisory Vote on the Compensation of our Named Executive Officers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319"/>
        <w:spacing w:after="0" w:line="268" w:lineRule="auto"/>
        <w:rPr>
          <w:sz w:val="20"/>
          <w:szCs w:val="20"/>
          <w:color w:val="auto"/>
        </w:rPr>
      </w:pPr>
      <w:r>
        <w:rPr>
          <w:rFonts w:ascii="Arial" w:cs="Arial" w:eastAsia="Arial" w:hAnsi="Arial"/>
          <w:sz w:val="17"/>
          <w:szCs w:val="17"/>
          <w:color w:val="auto"/>
        </w:rPr>
        <w:t>The affirmative vote of a majority of the votes cast affirmatively or negatively at the annual meeting is required to approve, on a non-binding, advisory basis, the compensation of our named executive officers, as described in this proxy statement. Abstentions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our board of directors will review the voting results and take them into consideration when making future decisions regarding executive compensation.</w:t>
      </w:r>
    </w:p>
    <w:p>
      <w:pPr>
        <w:spacing w:after="0" w:line="200" w:lineRule="exact"/>
        <w:rPr>
          <w:sz w:val="20"/>
          <w:szCs w:val="20"/>
          <w:color w:val="auto"/>
        </w:rPr>
      </w:pPr>
    </w:p>
    <w:p>
      <w:pPr>
        <w:sectPr>
          <w:pgSz w:w="11900" w:h="16838" w:orient="portrait"/>
          <w:cols w:equalWidth="0" w:num="2">
            <w:col w:w="3240" w:space="420"/>
            <w:col w:w="5359"/>
          </w:cols>
          <w:pgMar w:left="1440" w:top="265" w:right="1440" w:bottom="1440" w:gutter="0" w:footer="0" w:header="0"/>
          <w:type w:val="continuous"/>
        </w:sectPr>
      </w:pPr>
    </w:p>
    <w:p>
      <w:pPr>
        <w:spacing w:after="0" w:line="90" w:lineRule="exact"/>
        <w:rPr>
          <w:sz w:val="20"/>
          <w:szCs w:val="20"/>
          <w:color w:val="auto"/>
        </w:rPr>
      </w:pPr>
    </w:p>
    <w:p>
      <w:pPr>
        <w:ind w:left="480" w:hanging="179"/>
        <w:spacing w:after="0" w:line="261" w:lineRule="auto"/>
        <w:rPr>
          <w:sz w:val="20"/>
          <w:szCs w:val="20"/>
          <w:color w:val="auto"/>
        </w:rPr>
      </w:pPr>
      <w:r>
        <w:rPr>
          <w:rFonts w:ascii="Arial" w:cs="Arial" w:eastAsia="Arial" w:hAnsi="Arial"/>
          <w:sz w:val="18"/>
          <w:szCs w:val="18"/>
          <w:b w:val="1"/>
          <w:bCs w:val="1"/>
          <w:color w:val="auto"/>
        </w:rPr>
        <w:t>Proposal 4: Approve Amendment to Quantum-Si Incorporated Second Amended and Restated Certificate of Incorporation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299"/>
        <w:spacing w:after="0" w:line="253" w:lineRule="auto"/>
        <w:rPr>
          <w:sz w:val="20"/>
          <w:szCs w:val="20"/>
          <w:color w:val="auto"/>
        </w:rPr>
      </w:pPr>
      <w:r>
        <w:rPr>
          <w:rFonts w:ascii="Arial" w:cs="Arial" w:eastAsia="Arial" w:hAnsi="Arial"/>
          <w:sz w:val="18"/>
          <w:szCs w:val="18"/>
          <w:color w:val="auto"/>
        </w:rPr>
        <w:t>The affirmative vote of a majority of the voting power of the Company’s outstanding common stock is required to approve the amendment to the Quantum-Si Incorporated second amended and restated certificate of incorporation to limit the liability of our officers as permitted by recent amendments to Delaware law. Brokerage firms do not have authority to vote customers’ unvoted shares held by the firms in street name on this proposal. As a result, any shares not voted by a customer will be treated as a broker non-vote. Abstentions and broker non-votes, if any, will be treated as votes against this proposal.</w:t>
      </w:r>
    </w:p>
    <w:p>
      <w:pPr>
        <w:spacing w:after="0" w:line="200" w:lineRule="exact"/>
        <w:rPr>
          <w:sz w:val="20"/>
          <w:szCs w:val="20"/>
          <w:color w:val="auto"/>
        </w:rPr>
      </w:pPr>
    </w:p>
    <w:p>
      <w:pPr>
        <w:sectPr>
          <w:pgSz w:w="11900" w:h="16838" w:orient="portrait"/>
          <w:cols w:equalWidth="0" w:num="2">
            <w:col w:w="3320" w:space="340"/>
            <w:col w:w="5359"/>
          </w:cols>
          <w:pgMar w:left="1440" w:top="265" w:right="1440"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Chairman of our board of directors, Dr. Rothberg, beneficially owns 100% of our Class B common stock and controls a majority of the voting power of all of our outstanding capital stock. As a result, Dr. Rothberg has the power to elect each of the nominees named in this proxy statement, ratify the appointment of our independent registered public accounting firm, approve, on a non-binding, advisory basis, the compensation of our named executive officers, and approve the amendment to the Quantum-Si Incorporated second amended and restated certificate of incorporation.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This year, our annual meeting will be held in a virtual meeting format only. To attend the virtual annual meeting, go to https://www.cstproxy.com/quantum-si/2023 shortly before the meeting time, and follow the instructions for downloading the Webcast. You need not attend the annual meeting in order to vote.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Some brokers or other nominee record holders may be sending you, a single set of our proxy materials if multiple Quantum-Si Incorporated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or call our Corporate Secretary at: Quantum-Si Incorporated, 530 Old Whitfield Street, Guilford, Connecticut, 06437 or (866) 688-7374.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 to https://www.cstproxy.com/quantum-si/2023 and following the instructions provided.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March 1, 2023 by:</w:t>
      </w:r>
    </w:p>
    <w:p>
      <w:pPr>
        <w:spacing w:after="0" w:line="62"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each person known to us to be the beneficial owner of more than 5% of our outstanding common stock;</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our named executive officers, directors and director nominees;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executive officers and directors of as a group.</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restricted stock units that vest within 60 days. Shares of Class A common stock issuable upon exercise of options and warrants currently exercisable within 60 days and restricted stock units that vest within 60 days are deemed outstanding solely for purposes of calculating the percentage of total ownership and total voting power of the beneficial owner thereof.</w:t>
      </w:r>
    </w:p>
    <w:p>
      <w:pPr>
        <w:spacing w:after="0" w:line="8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beneficial ownership of our common stock is based on 120,006,757 shares of our Class A common stock and 19,937,500 shares of our Class B common stock issued and outstanding as of March 1, 2023.</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Quantum-Si Incorporated, 530 Old Whitfield Street, Guilford, Connecticut 06437.</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shares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shares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A</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B</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86"/>
        </w:trPr>
        <w:tc>
          <w:tcPr>
            <w:tcW w:w="4520" w:type="dxa"/>
            <w:vAlign w:val="bottom"/>
            <w:gridSpan w:val="2"/>
            <w:vMerge w:val="continue"/>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stock</w:t>
            </w:r>
          </w:p>
        </w:tc>
        <w:tc>
          <w:tcPr>
            <w:tcW w:w="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53"/>
        </w:trPr>
        <w:tc>
          <w:tcPr>
            <w:tcW w:w="43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17,225,365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14.18%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80.19%</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Hawkins</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John Stark</w:t>
            </w:r>
            <w:r>
              <w:rPr>
                <w:rFonts w:ascii="Arial" w:cs="Arial" w:eastAsia="Arial" w:hAnsi="Arial"/>
                <w:sz w:val="29"/>
                <w:szCs w:val="29"/>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245,996</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Schneider, Ph.D.</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Michael P. McKenna, Ph.D.</w:t>
            </w:r>
            <w:r>
              <w:rPr>
                <w:rFonts w:ascii="Arial" w:cs="Arial" w:eastAsia="Arial" w:hAnsi="Arial"/>
                <w:sz w:val="29"/>
                <w:szCs w:val="29"/>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1,013,745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Vikram Bajaj, Ph.D.</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Marijn Dekkers, Ph.D.</w:t>
            </w:r>
            <w:r>
              <w:rPr>
                <w:rFonts w:ascii="Arial" w:cs="Arial" w:eastAsia="Arial" w:hAnsi="Arial"/>
                <w:sz w:val="29"/>
                <w:szCs w:val="29"/>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606,797</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Ruth Fattori</w:t>
            </w:r>
            <w:r>
              <w:rPr>
                <w:rFonts w:ascii="Arial" w:cs="Arial" w:eastAsia="Arial" w:hAnsi="Arial"/>
                <w:sz w:val="29"/>
                <w:szCs w:val="29"/>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106,797</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rPr>
                <w:sz w:val="20"/>
                <w:szCs w:val="20"/>
                <w:color w:val="auto"/>
              </w:rPr>
            </w:pPr>
            <w:r>
              <w:rPr>
                <w:rFonts w:ascii="Arial" w:cs="Arial" w:eastAsia="Arial" w:hAnsi="Arial"/>
                <w:sz w:val="18"/>
                <w:szCs w:val="18"/>
                <w:color w:val="auto"/>
              </w:rPr>
              <w:t>Brigid A. Makes</w:t>
            </w:r>
          </w:p>
        </w:tc>
        <w:tc>
          <w:tcPr>
            <w:tcW w:w="820" w:type="dxa"/>
            <w:vAlign w:val="bottom"/>
          </w:tcPr>
          <w:p>
            <w:pPr>
              <w:jc w:val="right"/>
              <w:spacing w:after="0"/>
              <w:rPr>
                <w:sz w:val="20"/>
                <w:szCs w:val="20"/>
                <w:color w:val="auto"/>
              </w:rPr>
            </w:pPr>
            <w:r>
              <w:rPr>
                <w:rFonts w:ascii="Arial" w:cs="Arial" w:eastAsia="Arial" w:hAnsi="Arial"/>
                <w:sz w:val="18"/>
                <w:szCs w:val="18"/>
                <w:color w:val="auto"/>
              </w:rPr>
              <w:t>6,837</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2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Michael Mina, M.D., Ph.D.</w:t>
            </w:r>
            <w:r>
              <w:rPr>
                <w:rFonts w:ascii="Arial" w:cs="Arial" w:eastAsia="Arial" w:hAnsi="Arial"/>
                <w:sz w:val="29"/>
                <w:szCs w:val="29"/>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11,837</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Kevin Rakin</w:t>
            </w:r>
            <w:r>
              <w:rPr>
                <w:rFonts w:ascii="Arial" w:cs="Arial" w:eastAsia="Arial" w:hAnsi="Arial"/>
                <w:sz w:val="29"/>
                <w:szCs w:val="29"/>
                <w:color w:val="auto"/>
                <w:vertAlign w:val="superscript"/>
              </w:rPr>
              <w:t>(7)</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1,206,837</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Mendel</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w w:val="94"/>
              </w:rPr>
              <w:t>All Current Directors and Executive Officers as a Group</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4520" w:type="dxa"/>
            <w:vAlign w:val="bottom"/>
            <w:gridSpan w:val="2"/>
          </w:tcPr>
          <w:p>
            <w:pPr>
              <w:ind w:left="180"/>
              <w:spacing w:after="0" w:line="284" w:lineRule="exact"/>
              <w:rPr>
                <w:sz w:val="20"/>
                <w:szCs w:val="20"/>
                <w:color w:val="auto"/>
              </w:rPr>
            </w:pPr>
            <w:r>
              <w:rPr>
                <w:rFonts w:ascii="Arial" w:cs="Arial" w:eastAsia="Arial" w:hAnsi="Arial"/>
                <w:sz w:val="18"/>
                <w:szCs w:val="18"/>
                <w:b w:val="1"/>
                <w:bCs w:val="1"/>
                <w:color w:val="auto"/>
              </w:rPr>
              <w:t>(13 Individuals)</w:t>
            </w:r>
            <w:r>
              <w:rPr>
                <w:rFonts w:ascii="Arial" w:cs="Arial" w:eastAsia="Arial" w:hAnsi="Arial"/>
                <w:sz w:val="29"/>
                <w:szCs w:val="29"/>
                <w:b w:val="1"/>
                <w:bCs w:val="1"/>
                <w:color w:val="auto"/>
                <w:vertAlign w:val="superscript"/>
              </w:rPr>
              <w:t>(8)</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20,685,986</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16.95%</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80.54%</w:t>
            </w:r>
          </w:p>
        </w:tc>
        <w:tc>
          <w:tcPr>
            <w:tcW w:w="0" w:type="dxa"/>
            <w:vAlign w:val="bottom"/>
          </w:tcPr>
          <w:p>
            <w:pPr>
              <w:spacing w:after="0"/>
              <w:rPr>
                <w:sz w:val="1"/>
                <w:szCs w:val="1"/>
                <w:color w:val="auto"/>
              </w:rPr>
            </w:pPr>
          </w:p>
        </w:tc>
      </w:tr>
      <w:tr>
        <w:trPr>
          <w:trHeight w:val="277"/>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gridSpan w:val="2"/>
          </w:tcPr>
          <w:p>
            <w:pPr>
              <w:spacing w:after="0" w:line="296"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17,225,365</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8"/>
              </w:rPr>
              <w:t>14.18%</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19,937,500</w:t>
            </w:r>
          </w:p>
        </w:tc>
        <w:tc>
          <w:tcPr>
            <w:tcW w:w="1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80.19%</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ARK Investment Management LLC</w:t>
            </w:r>
            <w:r>
              <w:rPr>
                <w:rFonts w:ascii="Arial" w:cs="Arial" w:eastAsia="Arial" w:hAnsi="Arial"/>
                <w:sz w:val="29"/>
                <w:szCs w:val="29"/>
                <w:color w:val="auto"/>
                <w:vertAlign w:val="superscript"/>
              </w:rPr>
              <w:t>(9)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11,856,184</w:t>
            </w: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-3342640</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-3342640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-3342640</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-3342640</wp:posOffset>
            </wp:positionV>
            <wp:extent cx="1028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-3342640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42" w:lineRule="exact"/>
        <w:rPr>
          <w:sz w:val="20"/>
          <w:szCs w:val="20"/>
          <w:color w:val="auto"/>
        </w:rPr>
      </w:pPr>
    </w:p>
    <w:p>
      <w:pPr>
        <w:jc w:val="both"/>
        <w:ind w:left="640" w:right="299" w:hanging="348"/>
        <w:spacing w:after="0" w:line="238"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and our Class B common stock as a single class. Each share of our Class B common stock is entitled to 20 votes per share and each share of our Class A common stock is entitled to 1 vote per share.</w:t>
      </w:r>
    </w:p>
    <w:p>
      <w:pPr>
        <w:spacing w:after="0" w:line="21" w:lineRule="exact"/>
        <w:rPr>
          <w:sz w:val="20"/>
          <w:szCs w:val="20"/>
          <w:color w:val="auto"/>
        </w:rPr>
      </w:pPr>
    </w:p>
    <w:p>
      <w:pPr>
        <w:jc w:val="both"/>
        <w:ind w:left="640" w:right="299" w:hanging="348"/>
        <w:spacing w:after="0" w:line="202"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15,725,365 shares of our Class A common stock, 1,500,000 shares of our Class A common stock issuable upon vesting of RSUs within 60 days of March 1, 2023, and 19,937,500 shares of our Class B common stock held by Jonathan M. Rothberg, Ph.D., Dr. Rothberg’s spouse, 4C Holdings I, LLC, 4C Holdings V, LLC, JNR TR,LLC, JAR TR, LLC, GBR TR, LLC, NVR TR,LLC, EJR TR,LLC, 2012 JMR Trust Common, LLC and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 Dr. Rothberg, Legacy Quantum-Si’s (as defined below) founder and our Chairman, is the sole manager of 4C Holdings I, LLC, 4C Holdings V, LLC, JNR TR,LLC, GBR TR, LLC, NVR TR,LLC, EJR TR,LLC and 2012 JMR Trust Common, LLC and has sole voting and investment control of our Class A common stock and our Class B common stock owned by those entities. Dr. Rothberg’s son is the manager of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 Dr. Rothberg disclaims beneficial ownership of the shares held by his spouse and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Century Capital LLC.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640" w:hanging="34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shares of our Class A common stock held by Mr. Stark, our former CEO.</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824,163 shares of our Class A common stock held by Dr. McKenna, and (ii) 189,582 shares of our Class A common stock issuable upon vesting of RSUs within 60 days of March 1, 2023 held by Dr. McKenna.</w:t>
      </w:r>
    </w:p>
    <w:p>
      <w:pPr>
        <w:spacing w:after="0" w:line="11"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Consists of (i) 94,302 shares of our Class A common stock held by Dr. Dekkers, (ii) 12,495 shares of our Class A common stock issuable upon vesting of RSUs within 60 days of March 1, 2023 held by Dr. Dekkers, and (iii) 500,000 shares of our Class A common stock held by Novalis Lifesciences Investments I, LP (“Novalis”). Dr. Dekkers has sole voting and investment control over the shares held by Novalis.</w:t>
      </w:r>
    </w:p>
    <w:p>
      <w:pPr>
        <w:spacing w:after="0" w:line="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94,302 shares of our Class A common stock held by Ms. Fattori and (ii) 12,495 shares of our Class A common stock issuable upon vesting of RSUs within 60 days of March 1, 2023 held by Ms. Fattori.</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6,837 shares of our Class A common stock held by Dr. Mina and (iii) options to purchase 5,000 shares of our Class A common stock issuable upon the exercise of options to purchase shares of our Class A common stock exercisable within 60 days of March 1, 2023 held by Dr. Mina.</w:t>
      </w:r>
    </w:p>
    <w:p>
      <w:pPr>
        <w:spacing w:after="0" w:line="20" w:lineRule="exact"/>
        <w:rPr>
          <w:rFonts w:ascii="Arial" w:cs="Arial" w:eastAsia="Arial" w:hAnsi="Arial"/>
          <w:sz w:val="14"/>
          <w:szCs w:val="14"/>
          <w:color w:val="auto"/>
        </w:rPr>
      </w:pPr>
    </w:p>
    <w:p>
      <w:pPr>
        <w:jc w:val="both"/>
        <w:ind w:left="640" w:right="299" w:hanging="348"/>
        <w:spacing w:after="0" w:line="227"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(i) 6,837 shares of our Class A common stock held by Mr. Rakin, (ii) 24,527 shares of our Class A common stock held by HighCape Partners II, L.P., and (iii) 1,175,473 shares of our Class A common stock held by HighCape Partners QP II, L.P. Mr. Rakin and Matt Zuga are the managing members of HighCape Capital II GP, LLC, which is the general partner of HighCape Partners II GP, L.P., which is the general partner of each of HighCape Partners II, L.P. and HighCape Partners QP II, L.P., and as a result each may be deemed to share voting and investment discretion with respect to the common stock held by such entities. Mr. Rakin disclaims any beneficial ownership of the securities to be held by HighCape Partners II, L.P. and HighCape Partners QP II, L.P. other than to the extent of any pecuniary interest he may have therein, directly or indirectly. The business address of each of these entities or individuals is 452 Fifth Avenue, 21st Floor, New York, NY 10018.</w:t>
      </w:r>
    </w:p>
    <w:p>
      <w:pPr>
        <w:spacing w:after="0" w:line="23"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footnotes 1 and 3 through 7; also includes Ms. Drayton, Dr. Johnston, and Dr. LaPointe, who are executive officers but not named executive officers.</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Based on Schedule 13G/A filed by ARK Investment Management LLC (“ARK”) on February 10, 2023. Consists of shares of our Class A common stock held by ARK. The business address of ARK is 3 East 28th Street, 7th Floor, New York, New York 10016.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CORPORATE GOVERNANCE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Management</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Our bylaws provide that our business is to be managed by or under the direction of our board of directors. Our board of directors currently consists of eight members and each of our directors is elected annually.</w:t>
      </w:r>
    </w:p>
    <w:p>
      <w:pPr>
        <w:spacing w:after="0" w:line="3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March 12, 2023, our board of directors accepted the recommendation of the nominating and corporate governance committee and voted to nominate Jonathan M. Rothberg, Ph.D., Jeffrey Hawkins, Ruth Fattori, Brigid A. Makes, Michael Mina, M.D., Ph.D., and Kevin Rakin, each currently one of our directors, and Scott Mendel, who is being nominated for the first time this year, for election at the 2023 annual meeting of stockholders, to serve until the 2024 annual meeting of stockholders, and until their respective successors have been elected and qualified or subject to their earlier death, resignation or removal. Vikram Bajaj, Ph.D. and Marijn Dekkers, Ph.D. will retire from our board of directors at the conclusion of the 2023 annual meeting of stockholders.</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certain information concerning our executive officers, directors and director nominees as of March 1, 2023:</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2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311"/>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Hawkins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45</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Claudia Drayton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55</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Schneider,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54</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Grace Johnston,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40</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Executive Vice President, Product Development and Operations</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Christian LaPointe,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59</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Vikram Bajaj,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45</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65</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70</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67</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Michael Mina, M.D.,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39</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62</w:t>
            </w:r>
          </w:p>
        </w:tc>
        <w:tc>
          <w:tcPr>
            <w:tcW w:w="8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480" w:type="dxa"/>
            <w:vAlign w:val="bottom"/>
            <w:gridSpan w:val="2"/>
          </w:tcPr>
          <w:p>
            <w:pPr>
              <w:spacing w:after="0"/>
              <w:rPr>
                <w:sz w:val="20"/>
                <w:szCs w:val="20"/>
                <w:color w:val="auto"/>
              </w:rPr>
            </w:pPr>
            <w:r>
              <w:rPr>
                <w:rFonts w:ascii="Arial" w:cs="Arial" w:eastAsia="Arial" w:hAnsi="Arial"/>
                <w:sz w:val="18"/>
                <w:szCs w:val="18"/>
                <w:color w:val="auto"/>
              </w:rPr>
              <w:t>Scott Mendel</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56</w:t>
            </w:r>
          </w:p>
        </w:tc>
        <w:tc>
          <w:tcPr>
            <w:tcW w:w="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-2862580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-2862580</wp:posOffset>
            </wp:positionV>
            <wp:extent cx="59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Jeffrey Hawkins </w:t>
      </w:r>
      <w:r>
        <w:rPr>
          <w:rFonts w:ascii="Arial" w:cs="Arial" w:eastAsia="Arial" w:hAnsi="Arial"/>
          <w:sz w:val="16"/>
          <w:szCs w:val="16"/>
          <w:color w:val="auto"/>
        </w:rPr>
        <w:t>has served as our Chief Executive Officer and on our board of directors since October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Hawkins previously served as President and Chief Executive Officer of Truvian Sciences, Inc. from January 2018 through July 2022 and then as a technical advisor from August 2022 through September 2022. As Chief Executive Officer of Truvian Sciences, he led the evolution of the company’s benchtop blood testing system from a product concept through technology feasibility and into late-stage development. Mr. Hawkins also previously served as Vice President and General Manager, Reproductive and Genetic Health at Illumina, Inc. from October 2015 until January 2018, where he oversaw the rapid global growth of next generation sequencing into new and emerging markets. Prior to that, Mr. Hawkins held several senior leadership roles at GenMark Diagnostics, Inc. from December 2009 until October 2015, most recently as Senior Vice President, Global Marketing and Program Management. Mr. Hawkins also previously served as Vice President of Business Development of Osmetech Technology, Inc., a wholly-owned subsidiary of Osmetech plc, and as Vice President of Marketing. Mr. Hawkins also served as Executive Director of Laboratory Marketing for Hologic, Inc., a developer, manufacturer and supplier of medical imaging systems and diagnostic and surgical products. Prior to that, Mr. Hawkins served as Executive Director of Marketing of Third Wave Technologies Inc., a provider of DNA and RNA analysis products to clinical, research and agricultural customers. Prior to Third Wave, Mr. Hawkins held various positions of increasing responsibility in the areas of Marketing, Product Development and Operations for Sysmex America, Inc. and Abbott Laboratories. Mr. Hawkins holds a B.A. in chemistry with honors from Concordia University and an M.B.A. from Keller Graduate School of Management. Mr. Hawkins’ qualifications to serve on our board of directors include his significant leadership experience and his background in life sciences, including in the genetic health industry.</w:t>
      </w:r>
    </w:p>
    <w:p>
      <w:pPr>
        <w:spacing w:after="0" w:line="6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Claudia Drayton </w:t>
      </w:r>
      <w:r>
        <w:rPr>
          <w:rFonts w:ascii="Arial" w:cs="Arial" w:eastAsia="Arial" w:hAnsi="Arial"/>
          <w:sz w:val="18"/>
          <w:szCs w:val="18"/>
          <w:color w:val="auto"/>
        </w:rPr>
        <w:t>has served as our Chief Financial Officer since the Closing of the Business Combination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below) in June 2021, and had served as Chief Financial Officer of Legacy Quantum-Si since April 2021. She previously served as Chief Financial Officer of Nuwellis, Inc. (formerly CHF Solutions, Inc.) (“Nuwellis”), a medical device company, from January 2015 to April 2021. During her tenure as Chief Financial Officer of Nuwellis,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Ms. Drayton guided the company through the acquisition of its commercial product line, and the completion of several public equity offerings to finance the company’s commercial expansion. Prior to joining Nuwellis, Ms. Drayton spent 15 years at Medtronic plc (“Medtronic”) a global leader in the medical device industry. During her tenure at Medtronic, Ms. Drayton held multiple senior managerial finance positions, culminating with an assignment in Europe serving as Chief Financial Officer of the peripheral vascular business from 2010 to 2012 and, more recently, as Chief Financial Person of the integrated health solutions business from 2012 to 2014. In these capacities, her responsibilities and experiences included profitability management, strategic planning, mergers and acquisitions, planning and forecasting, and implementation of financial best practices. Before joining Medtronic, Ms. Drayton was an audit and business advisory manager at Arthur Andersen LLP for seven years. Ms. Drayton received her M.B.A. from the University of Minnesota’s Carlson School of Management and her B.S. from the University of Mary Hardin-Baylor and is a Certified Public Accountant (inactive).</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Patrick Schneider, Ph.D. </w:t>
      </w:r>
      <w:r>
        <w:rPr>
          <w:rFonts w:ascii="Arial" w:cs="Arial" w:eastAsia="Arial" w:hAnsi="Arial"/>
          <w:sz w:val="17"/>
          <w:szCs w:val="17"/>
          <w:color w:val="auto"/>
        </w:rPr>
        <w:t>has served as our President and Chief Operating Officer since May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Schneider previously served in a number of roles at MilliporeSigma, including its predecessor entities (the life science business of Merck KGaA, Darmstadt, Germany), most recently as Senior Vice President, Strategy, Business Development and Innovation, and Chair of the Life Science Innovation Board from 2016 until April 2022, where he led strategy development, business development, and licensing for a global team of biologists, chemists and engineers. Prior to that, between 2006 to 2015, Dr. Schneider served as Vice President of the Bioscience Business Unit, Vice President of Research Content and Reagents Business, General Manager of New Business Initiatives R&amp;D and Business Development, and Vice President of Research Reagents Business Unit and Vice President of R&amp;D and Manufacturing. From 2003 to 2006, Dr. Schneider served as Vice President of Research &amp; Development, Business Development &amp; Scientific Affairs at Serologicals, Inc. Dr. Schneider was also the Co-Founder and Gene Discovery Group Leader at Reprogen, Inc. Dr. Schneider received his Ph.D. in biology from University of California, Irvine, and his B.S. in microbiology from Northern Arizona University.</w:t>
      </w:r>
    </w:p>
    <w:p>
      <w:pPr>
        <w:spacing w:after="0" w:line="7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Grace Johnston, Ph.D. </w:t>
      </w:r>
      <w:r>
        <w:rPr>
          <w:rFonts w:ascii="Arial" w:cs="Arial" w:eastAsia="Arial" w:hAnsi="Arial"/>
          <w:sz w:val="16"/>
          <w:szCs w:val="16"/>
          <w:color w:val="auto"/>
        </w:rPr>
        <w:t>has served as our Chief Commercial Officer since December 2022. She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Chief Commercial Officer at Fortis Life Sciences from September 2020 until December 2022, where she was accountable for organic revenue contribution, annual growth targets, commercial go-to-market strategy, sales and marketing, as well as overall customer experience. Prior to that, Ms. Johnston served in various roles of increasing responsibility at Sartorius AG from March 2016 until September 2020, most recently as Senior Vice President of Lab Product &amp; Services – Marketing and Strategy, and previously as Vice President of Marketing for Essen Bioscience (acquired by Sartorius). Prior to that, Ms. Johnston served in various roles of increasing responsibility at Merck KGaA-Millipore from 2009 to 2016, most recently as Head of Global Market Services &amp; Strategy – Bioscience, and previously as Segment Market Manager and Product Manager Cell Analysis + Cell Culture Systems. Ms. Johnston received her Ph.D. in Molecular Neuroscience and B.A.s in Biology and Psychology from the University of Rochester, and participated in the Executive Leadership Program at Harvard Business School.</w:t>
      </w:r>
    </w:p>
    <w:p>
      <w:pPr>
        <w:spacing w:after="0" w:line="6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i w:val="1"/>
          <w:iCs w:val="1"/>
          <w:color w:val="auto"/>
        </w:rPr>
        <w:t xml:space="preserve">Michael P. McKenna, Ph.D. </w:t>
      </w:r>
      <w:r>
        <w:rPr>
          <w:rFonts w:ascii="Arial" w:cs="Arial" w:eastAsia="Arial" w:hAnsi="Arial"/>
          <w:sz w:val="16"/>
          <w:szCs w:val="16"/>
          <w:color w:val="auto"/>
        </w:rPr>
        <w:t>has served as our Executive Vice President, Product Development and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2022 and previously served as our President and Chief Operating Officer from the Closing of the Business Combination in June 2021 until May 2022, and had served as President and Chief Operating Officer of Legacy Quantum-Si since December 2014. Prior to joining us, Dr. McKenna served as Vice President, R&amp;D at Life Technologies Corporation, a global biotechnology company, from August 2011 to July 2014, and as a consultant to Life Technologies from February 2011 to August 2011. Prior to that, Dr. McKenna served as Chief Scientific Officer of Tethys Bioscience, Inc., a diagnostics company, from August 2004 to February 2011, and as Vice President of CuraGen Corporation, a biopharmaceutical company, from 1993 to 2003. Dr. McKenna received his B.S. in molecular biology and German from Carnegie Mellon University and his Ph.D. in biology from Yale University.</w:t>
      </w:r>
    </w:p>
    <w:p>
      <w:pPr>
        <w:spacing w:after="0" w:line="5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b w:val="1"/>
          <w:bCs w:val="1"/>
          <w:i w:val="1"/>
          <w:iCs w:val="1"/>
          <w:color w:val="auto"/>
        </w:rPr>
        <w:t xml:space="preserve">Christian LaPointe, Ph.D. </w:t>
      </w:r>
      <w:r>
        <w:rPr>
          <w:rFonts w:ascii="Arial" w:cs="Arial" w:eastAsia="Arial" w:hAnsi="Arial"/>
          <w:sz w:val="18"/>
          <w:szCs w:val="18"/>
          <w:color w:val="auto"/>
        </w:rPr>
        <w:t>has served as our General Counsel and Corporate Secretary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in June 2021, and had served as General Counsel of Legacy Quantum-Si since November 2020. Prior to joining us, Dr. LaPointe served as General Counsel at ArcherDX, Inc., a genomics company, from January 2015 to August 2019, and as Deputy General Counsel at ArcherDX from August 2019 to October 2020. Dr. LaPointe also served as General Counsel to Celsee, Inc., a single-cell analysis solutions provider, from August 2019 to June 2020. Previously, Dr. LaPointe was General Counsel at Thrive Bioscience, Inc., a cell culture instruments and software company, from August 2014 to July 2019, General Counsel of Enzymatics, Inc. from March 2013 to January 2015, General Counsel of Axios Biosciences, LLC, an oncology drug discovery company, from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December 2012 to December 2014, and a litigation attorney at the law firm Sherin and Lodgen LLP from April 2012 to March 2013. Dr. LaPointe received his B.S. in biochemistry from the University of New Hampshire, his Ph.D. in biochemistry from Dartmouth College and his J.D. from Suffolk University Law School.</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Jonathan M. Rothberg, Ph.D. </w:t>
      </w:r>
      <w:r>
        <w:rPr>
          <w:rFonts w:ascii="Arial" w:cs="Arial" w:eastAsia="Arial" w:hAnsi="Arial"/>
          <w:sz w:val="17"/>
          <w:szCs w:val="17"/>
          <w:color w:val="auto"/>
        </w:rPr>
        <w:t>is the founder of Legacy Quantum-Si and has served as Chairman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the Closing of the Business Combination in June 2021. Dr. Rothberg also served as our Interim Chief Executive Officer from February 2022 to October 2022. Dr. Rothberg had served as the Executive Chairman of Legacy Quantum-Si since December 2015. He previously served as Legacy Quantum-Si’s Chief Executive Officer from December 2015 to November 2020. Dr. Rothberg is a scientist and entrepreneur who was awarded the National Medal of Technology and Innovation, the nation’s highest honor for technological achievement, by President Obama for inventing and commercializing high-speed DNA sequencing. Dr. Rothberg is the founder of the 4C medical technology incubator and the founder and Chairman of its companies: Quantum-Si, Butterfly Network, Inc., AI Therapeutics, Inc. (formerly LAM Therapeutics, Inc.), Hyperfine, Inc., identifeye Health Inc. (formerly Tesseract Health, Inc.), Liminal Sciences, Inc. (formerly EpilepsyCo Inc.), Detect, Inc. (formerly Homodeus Inc.) and Protein Evolution, Inc.</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These companies focus on using inflection points in medicine, such as deep learning, next-generation sequencing, and the silicon supply chain, to address global healthcare challenges. Dr. Rothberg previously founded and served as Chairman, Chief Executive Officer, and Chief Technology Officer of Ion Torrent Systems, Inc. from 2007 to 2010, and founded and served as Chairman and Chief Executive Officer of RainDance Technologies, Inc. from 2004 to 2009. From 1999 to 2007, Dr. Rothberg co-founded and served as Chairman of ClarifI, Inc., and from 1999 to 2006, he founded and served as Chairman, Chief Executive Officer and Chief Technology Officer of 454 Life Sciences Corporation. With 454 Life Sciences, Dr. Rothberg brought to market the first new way to sequence genomes since Sanger and Gilbert won the Nobel Prize for their method in 1980. With 454’s technology, Dr. Rothberg sequenced the first individual human genome, and with Svante Paabo he initiated the first large-scale effort to sequence ancient DNA (The Neanderthal Genome Project). Prior to 454 Life Sciences, Dr. Rothberg founded and served as Chairman and Chief Executive Officer of CuraGen Corporation from 1993 to 2004. His contributions to the field of genome sequencing include the first non-bacterial cloning method (cloning by limited dilution) and the first massively parallel DNA sequencing method (parallel sequencing by synthesis on a single substrate), concepts that have formed the basis for all subsequent next generation sequencing technologies. Dr. Rothberg is an Ernst and Young Entrepreneur of the Year, is the recipient of The Wall Street Journal’s First Gold Medal for Innovation, SXSW Best in Show, Nature Methods First Method of the Year Award, the Connecticut Medal of Technology, the DGKL Biochemical Analysis Prize, and an Honorary Doctorate of Science from Mount Sinai. Dr. Rothberg is a member of the National Academy of Engineering, the Connecticut Academy of Science and Engineering, is a trustee of Carnegie Mellon University and an Adjunct Professor of Genetics at Yale University. Dr. Rothberg serves as Chairman of the board of directors of Butterfly Network, Inc. and as a member of the board of directors of Hyperfine, Inc. Dr. Rothberg received his Ph.D., M.Phil. and M.S. in biology from Yale University and his B.S. in chemical engineering from Carnegie Mellon University. Dr. Rothberg’s qualifications to serve on our board of directors include his significant scientific, executive and board leadership experience in the technology industry, as well as his knowledge of our business as Legacy Quantum-Si’s founder.</w:t>
      </w:r>
    </w:p>
    <w:p>
      <w:pPr>
        <w:spacing w:after="0" w:line="6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Vikram Bajaj, Ph.D. </w:t>
      </w:r>
      <w:r>
        <w:rPr>
          <w:rFonts w:ascii="Arial" w:cs="Arial" w:eastAsia="Arial" w:hAnsi="Arial"/>
          <w:sz w:val="17"/>
          <w:szCs w:val="17"/>
          <w:color w:val="auto"/>
        </w:rPr>
        <w:t>has served on our board of directors since June 2022. Dr. Bajaj has served as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Foresite Capital, with its affiliates, since September 2017 and is the co-founder and has served as Chief Executive Officer of Foresite Labs since October 2018, where he evaluates and pursues investments at the intersection of technology and life sciences, including in personalized and precision healthcare. Prior to that, Dr. Bajaj was the Chief Scientific Officer of GRAIL, Inc., a life sciences company working to detect cancer early, and remains on its Scientific Advisory Board. He is also the co-founder and former Chief Scientific Officer of Verily Life Sciences LLC (formerly Google Life Sciences) and served as chair of its Scientific Advisory Board. Dr. Bajaj is also an associate professor (consulting) at the Stanford School of Medicine, and is an affiliate scientist of the Lawrence Berkeley National Laboratory and the University of California, Berkeley, for which he serves on the advisory board of the College of Chemistry. He is an advisor to the Department of Defense through the Defense Science Board’s Task Force on Biology. Dr. Bajaj received a Ph.D. in physical chemistry from the Massachusetts Institute of Technology and a B.A./B.S. in biochemistry from the University of Pennsylvania. Dr. Bajaj’s qualifications to serve on our board of directors include his extensive leadership experience and his background in the life sciences industry.</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 xml:space="preserve">Marijn Dekkers, Ph.D. </w:t>
      </w:r>
      <w:r>
        <w:rPr>
          <w:rFonts w:ascii="Arial" w:cs="Arial" w:eastAsia="Arial" w:hAnsi="Arial"/>
          <w:sz w:val="16"/>
          <w:szCs w:val="16"/>
          <w:color w:val="auto"/>
        </w:rPr>
        <w:t>has served on our board of directors since the Closing of the Business Combination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2021. Since May 2017, Dr. Dekkers has served as a founder and the Chairman of Novalis LifeSciences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an investment and advisory firm for the life sciences industry. From January 2010 to May 2016, Dr. Dekkers served as Chief Executive Officer of Bayer AG in Leverkusen, Germany, and from 2002 to 2009, he was chief executive officer of Thermo Fisher Scientific Inc. Dr. Dekkers currently serves on the board of directors of the Foundation for the National Institutes of Health, Georgetown University, Cerevel Therapeutics Holdings, Inc., Ginkgo Bioworks Holdings, Inc., and AdBiome LLC. Dr. Dekkers previously served on the board of directors of Quanterix Corporation from March 2017 to September 2021. Dr. Dekkers received his Ph.D. and M.S. in chemical engineering from the University of Eindhoven and his B.S. in chemistry from the Radboud University, both in the Netherlands. Dr. Dekkers’ qualifications to serve on our board of directors include his extensive executive experience in the healthcare industry and his significant corporate governance experience.</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Ruth Fattori </w:t>
      </w:r>
      <w:r>
        <w:rPr>
          <w:rFonts w:ascii="Arial" w:cs="Arial" w:eastAsia="Arial" w:hAnsi="Arial"/>
          <w:sz w:val="17"/>
          <w:szCs w:val="17"/>
          <w:color w:val="auto"/>
        </w:rPr>
        <w:t>has served on our board of directors since the Closing of the Business Combination in June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had served on the Legacy Quantum-Si board of directors since March 2021. Since January 2019, Ms. Fattori serves as the Managing Director of Pecksland Partners, a consulting firm dedicated to advising boards of directors, CEOs and senior executives on human resources issues. Since January 2019, she has also served as a Senior Advisor at the Boston Consulting Group supporting their CEO Advisory program and People &amp; Organization Practice. From February 2013 through December 2018, Ms. Fattori served in various roles at PepsiCo, Inc., most recently as Executive Vice President and Chief Human Resources Officer. From 2010 to February 2013, she served as Managing Partner of Pecksland Partners, and from 2008 to 2009 she was Executive Vice President and Chief Administrative Officer for MetLife, Inc. Earlier, she was the Executive Vice President and Chief Human Resources Officer at Motorola, Inc. Ms. Fattori has served as a member of the board of directors of Hyperfine, Inc. since August 2021. Ms. Fattori received her B.S. in mechanical engineering from Cornell University. Ms. Fattori’s qualifications to serve on our board of directors include her extensive executive and human resources management experience.</w:t>
      </w:r>
    </w:p>
    <w:p>
      <w:pPr>
        <w:spacing w:after="0" w:line="7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i w:val="1"/>
          <w:iCs w:val="1"/>
          <w:color w:val="auto"/>
        </w:rPr>
        <w:t xml:space="preserve">Brigid A. Makes </w:t>
      </w:r>
      <w:r>
        <w:rPr>
          <w:rFonts w:ascii="Arial" w:cs="Arial" w:eastAsia="Arial" w:hAnsi="Arial"/>
          <w:sz w:val="16"/>
          <w:szCs w:val="16"/>
          <w:color w:val="auto"/>
        </w:rPr>
        <w:t>has served on our board of directors since the Closing of the Business Combination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Since February 2022, Ms. Makes has served as Chief Financial Officer of Vivani Medical Inc. Ms. Makes has served as an independent consultant for medical device and healthcare companies since July 2017, specifically advising on financial, funding and strategic responsibilities. From September 2011 to July 2017, Ms. Makes served as Senior Vice President and Chief Financial Officer of Miramar Labs, Inc., a biotechnology company focused on aesthetics and dermatology. From 2006 to 2011, Ms. Makes served as Senior Vice President and Chief Financial Officer of AGA Medical Corporation, a medical device company developing interventional devices for the minimally invasive treatment of structural heart defects and peripheral vascular disorders. Prior to joining AGA, Ms. Makes held various positions at Nektar Therapeutics Inc. from 1999 to 2006, including serving as Chief Financial Officer. Prior to 1999, Ms. Makes also served as Chief Financial Officer at Oravax Inc. and Haemonetics Corporation. Since September 2020, Ms. Makes has served as a member of the board of directors of Aziyo Biologics, a publicly traded regenerative medicine company, where Ms. Makes serves on the audit committee, and the nominating and corporate governance committee. Since December 2019, Ms. Makes has also been a member of the board of directors of Mind Medicine (MindMed) Inc., a publicly traded neuro-pharmaceutical company, where Ms. Makes serves on the audit committee, and the compensation, nominating and governance committee. Ms. Makes holds an M.B.A. from Bentley University and a Bachelor of Commerce degree in Finance &amp; International Business from McGill University. Ms. Makes’ qualifications to serve on our board of directors include her extensive executive leadership experience in the healthcare and life sciences industries and her experience serving on the board of directors of other publicly traded companies.</w:t>
      </w:r>
    </w:p>
    <w:p>
      <w:pPr>
        <w:spacing w:after="0" w:line="6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i w:val="1"/>
          <w:iCs w:val="1"/>
          <w:color w:val="auto"/>
        </w:rPr>
        <w:t xml:space="preserve">Michael Mina, M.D., Ph.D. </w:t>
      </w:r>
      <w:r>
        <w:rPr>
          <w:rFonts w:ascii="Arial" w:cs="Arial" w:eastAsia="Arial" w:hAnsi="Arial"/>
          <w:sz w:val="16"/>
          <w:szCs w:val="16"/>
          <w:color w:val="auto"/>
        </w:rPr>
        <w:t>has served on our board of directors since the Closing of the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June 2021, and had served as our Chief Medical Advisor from the Closing of the Business Combination in June 2021 until February 2022 and as Chief Medical Advisor of Legacy Quantum-Si from April 2021 until the Closing of the Business Combination in June 2021. Since October 2021, Dr. Mina has also served as the Chief Science Officer of eMed, where he leads the Advisory Services group in enabling diagnostics companies to digitize their point of care solutions on the eMed platform. From January 2021 to October 2021, Dr. Mina previously served as the Chief Medical Advisor for Detect, Inc., a molecular diagnostics company. From July 2019 to October 2021, Dr. Mina served as an Assistant Professor of Epidemiology at the Harvard T.H. Chan School of Public Health and a core member of the School’s Center for Communicable Disease Dynamics (CCDD), as well as assistant professor in immunology and infectious diseases at the Harvard Chan School, and associate medical director in clinical microbiology (molecular diagnostics) in the Department of Pathology at Brigham and Women’s Hospital, Harvard Medical School. From June 2016 to June 2019, he was a resident physician in clinical pathology at Brigham and Women’s Hospital. Dr. Mina received his B.S. in engineering and global health from Dartmouth College. He received his M.D. and Ph.D. from Emory University. Dr. Mina’s qualifications to serve on our board of directors include his scientific experience in the healthcare field as well as his medical background.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300" w:right="1300" w:firstLine="360"/>
        <w:spacing w:after="0" w:line="268" w:lineRule="auto"/>
        <w:rPr>
          <w:sz w:val="20"/>
          <w:szCs w:val="20"/>
          <w:color w:val="auto"/>
        </w:rPr>
      </w:pPr>
      <w:r>
        <w:rPr>
          <w:rFonts w:ascii="Arial" w:cs="Arial" w:eastAsia="Arial" w:hAnsi="Arial"/>
          <w:sz w:val="17"/>
          <w:szCs w:val="17"/>
          <w:b w:val="1"/>
          <w:bCs w:val="1"/>
          <w:i w:val="1"/>
          <w:iCs w:val="1"/>
          <w:color w:val="auto"/>
        </w:rPr>
        <w:t xml:space="preserve">Kevin Rakin </w:t>
      </w:r>
      <w:r>
        <w:rPr>
          <w:rFonts w:ascii="Arial" w:cs="Arial" w:eastAsia="Arial" w:hAnsi="Arial"/>
          <w:sz w:val="17"/>
          <w:szCs w:val="17"/>
          <w:color w:val="auto"/>
        </w:rPr>
        <w:t>has served on our board of directors since June 2020. Mr. Rakin was HighCape’s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from June 2020 to June 2021. Since October 2013, Mr. Rakin has been a co-founder and partner of HighCape, and he brings more than 30 years of experience as an executive and investor in the life sciences industry. Most recently, he served as the President of Shire Regenerative Medicine, Inc. (“SRM”) from June 2011 to November 2012. Prior to joining SRM, Mr. Rakin was the Chairman and Chief Executive Officer of Advanced BioHealing, Inc. from 2007 until its acquisition by SRM in 2011. Before that, he served as an Executive-In-Residence at Canaan Partners, a venture capital firm. Until its merger with Clinical Data, Inc. in 2005, Mr. Rakin was the co-founder, President and Chief Executive Officer of Genaissance Pharmaceuticals, Inc., a pharmacogenomics company. He is currently on the boards of directors of Aziyo Biologics, Inc. (Chairman), Wellinks, Inc., Cybrexa, Inc., Oramed Pharmaceuticals, Inc., and Nyxoah S.A. Mr. Rakin received his M.B.A. from Columbia University and B.Com. (Hons) from the University of Cape Town, South Africa. Mr. Rakin’s qualifications to serve on our board of directors include his extensive experience in the life sciences industry, as both an executive and an investor and his network of contacts in the industry.</w:t>
      </w:r>
    </w:p>
    <w:p>
      <w:pPr>
        <w:spacing w:after="0" w:line="78" w:lineRule="exact"/>
        <w:rPr>
          <w:sz w:val="20"/>
          <w:szCs w:val="20"/>
          <w:color w:val="auto"/>
        </w:rPr>
      </w:pPr>
    </w:p>
    <w:p>
      <w:pPr>
        <w:jc w:val="both"/>
        <w:ind w:left="1300" w:right="1300" w:firstLine="360"/>
        <w:spacing w:after="0" w:line="267" w:lineRule="auto"/>
        <w:rPr>
          <w:sz w:val="20"/>
          <w:szCs w:val="20"/>
          <w:color w:val="auto"/>
        </w:rPr>
      </w:pPr>
      <w:r>
        <w:rPr>
          <w:rFonts w:ascii="Arial" w:cs="Arial" w:eastAsia="Arial" w:hAnsi="Arial"/>
          <w:sz w:val="17"/>
          <w:szCs w:val="17"/>
          <w:b w:val="1"/>
          <w:bCs w:val="1"/>
          <w:i w:val="1"/>
          <w:iCs w:val="1"/>
          <w:color w:val="auto"/>
        </w:rPr>
        <w:t xml:space="preserve">Scott Mendel </w:t>
      </w:r>
      <w:r>
        <w:rPr>
          <w:rFonts w:ascii="Arial" w:cs="Arial" w:eastAsia="Arial" w:hAnsi="Arial"/>
          <w:sz w:val="17"/>
          <w:szCs w:val="17"/>
          <w:color w:val="auto"/>
        </w:rPr>
        <w:t>is being nominated for election as a new director at the 2023 annual meeting of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Mendel has over 30 years of financial and operational leadership experience. Mr. Mendel has served as a member of the board of directors of Visby Medical, Inc. since January 2022 and as a member of the board of directors of Akoya Biosciences, Inc. since June 2021. Mr. Mendel previously served in roles of increasing responsibility at GenMark Diagnostics, Inc., a syndromic molecular diagnostics company focused on infectious disease (acquired by Roche in April 2021), including as Chief Executive Officer from February 2020 to September 2021, as Chief Operating Officer from February 2019 to February 2020, and as Chief Financial Officer from May 2014 to February 2019. Prior to that, Mr. Mendel served as the Chief Financial Officer of The Active Network, Inc., a global software as a service (SaaS) company that provides technology to organizers of events and activities, from March 2010 through its acquisition by the private-equity firm Vista Equity Partners in December 2013. Prior to joining The Active Network, Mr. Mendel held finance positions at General Electric, a diversified technology, media and financial services company, for over 20 years, including as Chief Financial Officer from March 2003 to March 2010 for General Electric’s Healthcare IT division, a leading provider of medical technologies and services. Mr. Mendel earned a B.S. in finance from Indiana University and an M.B.A. from Northwestern University’s Kellogg School of Management. Mr. Mendel’s qualifications to serve on our board of directors include his significant experience in the diagnostics industry, extensive financial knowledge, and his experience serving in leadership roles at other publicly traded companies.</w:t>
      </w:r>
    </w:p>
    <w:p>
      <w:pPr>
        <w:spacing w:after="0" w:line="12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117"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There are no legal proceedings to which any of our directors or executive officers is a party adverse to us or our subsidiary or in which any such person has a material interest adverse to us or our subsidiary.</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Director Diversity</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Board Diversity Matrix (As of March 1, 2023)</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Total Number of Current Directors: 8</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8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6"/>
              </w:rPr>
              <w:t>Did Not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Female</w:t>
            </w:r>
          </w:p>
        </w:tc>
        <w:tc>
          <w:tcPr>
            <w:tcW w:w="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Male</w:t>
            </w:r>
          </w:p>
        </w:tc>
        <w:tc>
          <w:tcPr>
            <w:tcW w:w="820" w:type="dxa"/>
            <w:vAlign w:val="bottom"/>
            <w:gridSpan w:val="2"/>
            <w:vMerge w:val="continue"/>
          </w:tcPr>
          <w:p>
            <w:pPr>
              <w:spacing w:after="0"/>
              <w:rPr>
                <w:sz w:val="12"/>
                <w:szCs w:val="12"/>
                <w:color w:val="auto"/>
              </w:rPr>
            </w:pPr>
          </w:p>
        </w:tc>
        <w:tc>
          <w:tcPr>
            <w:tcW w:w="180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Disclose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Binary</w:t>
            </w:r>
          </w:p>
        </w:tc>
        <w:tc>
          <w:tcPr>
            <w:tcW w:w="180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Gender:</w:t>
            </w: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Directors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Number of Directors Who Identify in Any of the Categories Below:</w:t>
            </w:r>
          </w:p>
        </w:tc>
        <w:tc>
          <w:tcPr>
            <w:tcW w:w="4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African American or Black</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Alaskan Native or Native American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Asian (other than South Asian)</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Asian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Hispanic or Latinx</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White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Two or More Races or Ethnicities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LGBTQ+</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Persons with Disabilities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3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2"/>
          </w:tcPr>
          <w:p>
            <w:pPr>
              <w:jc w:val="right"/>
              <w:ind w:right="1170"/>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-3093720</wp:posOffset>
            </wp:positionV>
            <wp:extent cx="240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-3093720</wp:posOffset>
            </wp:positionV>
            <wp:extent cx="240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-3093720</wp:posOffset>
            </wp:positionV>
            <wp:extent cx="240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-3093720</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Board in Risk Oversight</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board of directors have extensive involvement in the oversight of risk management related to us and our business and will accomplish this oversight through the regular reporting to the board of directors by the audit committee. The audit committee will represent the board of directors by periodically reviewing our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and the appropriate mitigating factors. In addition, the board of directors will receive periodic detailed operating performance reviews from management.</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Jonathan M. Rothberg, Ph.D. beneficially owns a majority of the voting power of all of our outstanding shares of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w:t>
      </w:r>
    </w:p>
    <w:p>
      <w:pPr>
        <w:spacing w:after="0" w:line="2" w:lineRule="exact"/>
        <w:rPr>
          <w:sz w:val="20"/>
          <w:szCs w:val="20"/>
          <w:color w:val="auto"/>
        </w:rPr>
      </w:pPr>
    </w:p>
    <w:p>
      <w:pPr>
        <w:jc w:val="both"/>
        <w:ind w:left="300" w:right="299" w:hanging="8"/>
        <w:spacing w:after="0" w:line="252" w:lineRule="auto"/>
        <w:tabs>
          <w:tab w:leader="none" w:pos="5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Nevertheless, we have opted to have a majority of our board of directors be independent, and our compensation committee is comprised of independent directors, as more fully described below.</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business and affairs are managed under the direction of our board of directors. Our board of directors is declassified, and the directors are elected annually.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As a controlled company, we are largely exempt from such requirements. Based upon information requested from and provided by each director concerning his or her background, employment and affiliations, including family relationships, we have determined that Vikram Bajaj, Ph.D., Marijn Dekkers, Ph.D., Ruth Fattori, Brigid A. Makes, Michael Mina, M.D., Ph.D., and Scott Mendel, representing six of our directors or director nominees, are “independent” as that term is defined under the applicable rules and regulations of the SEC and the listing requirements and rules of Nasdaq.</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standing committees of the board of directors consist of an audit committee, a compensation committee, and a nominating and corporate governance committee. The board of directors may from time to time establish other committees.</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 given the controlling interests held by Dr. Rothberg.</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ended December 31, 2022, there were five meetings of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the various committees of the board of directors met a total of 11 times. No director attended fewer than 75% of the total number of meetings of the board of directors and of committees of the board of directors on which such director served during the fiscal year ended December 31, 2022. The board of directors has adopted a policy under which each member of the board of directors makes every effort to but is not required to attend each annual meeting of our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audit committee met five times during the fiscal year ended December 31, 2022. The audit committee currently consists of Brigid A. Makes, who serves as the chairperson, Ruth Fattori and Marijn Dekkers, Ph.D. Each member of the audit committee qualifies as an independent director under the Nasdaq Listing Rules and the independence requirements of Rule 10A-3 under the Exchange Act. Dr. Dekkers will retire from our board of directors and our audit committee at the conclusion of the 2023 annual meeting of stockholders, and if elected to our board of directors at the 2023 annual meeting of stockholders, we expect Scott Mendel to serve as a member of our audit committee at the conclusion of the 2023 annual meeting of stockholders.</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of directors has determined that Ms. Makes qualifies as an “audit committee financial expert” as such term is defined in Item 407(d)(5) of Regulation S-K and possesses financial sophistication, as defined under the Nasdaq Listing Rules.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 (3) our independent registered public accounting firm’s qualifications and independence, and (4) the performance of our independent registered public accounting firm.</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board of directors has adopted a written charter for the audit committee, which is available on our website at https://www.quantum-si.com under Investors — Governance — Governance Documents.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compensation committee met five times during the fiscal year ended December 31, 2022. The compensation committee currently consists of Ruth Fattori, who serves as the chairperson, Marijn Dekkers, Ph.D., and Vikram Bajaj, Ph.D. During the period of January 1, 2022 through May 10, 2022, our compensation committee consisted of Ms. Fattori (chairperson), Dr. Dekkers and James Tananbaum, M.D. On May 10, 2022, Dr. Tananbaum retired from our board of directors and compensation committee, and on June 10, 2022, Dr. Bajaj joined as a member of our compensation committee. Dr. Dekkers and Dr. Bajaj will retire from our board of directors and our compensation committee at the conclusion of the 2023 annual meeting of stockholders, and we expect Brigid A. Makes to serve as a member of our compensation committee at the conclusion of the 2023 annual meeting of stockholders.</w:t>
      </w:r>
    </w:p>
    <w:p>
      <w:pPr>
        <w:spacing w:after="0" w:line="8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purpose of the compensation committee is to assist the board of directors in discharging its responsibilities relating to (1) setting our compensation program and compensation of its executive officers and directors,</w:t>
      </w:r>
    </w:p>
    <w:p>
      <w:pPr>
        <w:jc w:val="both"/>
        <w:ind w:left="300" w:right="299" w:hanging="8"/>
        <w:spacing w:after="0" w:line="253" w:lineRule="auto"/>
        <w:tabs>
          <w:tab w:leader="none" w:pos="5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our incentive and equity-based compensation plans, (3) preparing the compensation committee report required to be included in our proxy statement under the rules and regulations of the SEC, and (4)overseeing matters relating to human capital management, including reviewing our strategy, objectives, policies and practices in the areas of compensation, benefits, management and leadership development, diversity and equal opportunity and human resource planning.</w:t>
      </w:r>
    </w:p>
    <w:p>
      <w:pPr>
        <w:spacing w:after="0" w:line="8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fiscal year ended December 31, 2022, the compensation committee retained Aon’s Human Capital Solutions practices, a division of Aon plc, an independent executive compensation consulting firm (“AON”), as an independent advisor to the compensation committee to provide executive compensation consulting services. AON did not provide any services to the Company other than executive compensation consulting services during the fiscal year ended December 31, 2022. In compliance with the SEC and the Nasdaq Listing Rules, AON provided the compensation committee with a letter addressing each of the six independence factors. Their responses affirm the independence of AON and the partners, consultants, and employees who service the compensation committee on executive compensation matters and governance issues.</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board of directors has adopted a written charter for the compensation committee, which is available on our website at https://www.quantum-si.com under Investors — Governance — Governance Documents.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nominating and corporate governance committee acted by unanimous written consent rather than meeting during the fiscal year ended December 31, 2022. The nominating and corporate governance committee currently consists of Jonathan M. Rothberg, Ph.D., who serves as the chairperson, and Kevin Rakin. The purpose of the nominating and corporate governance committee is to assist the board of directors in discharging its responsibilities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relating to (1) identifying individuals qualified to become new board of directors members, consistent with criteria approved by the board of directors, (2) reviewing the qualifications of incumbent directors to determine whether to recommend them for reelection and selecting, or recommending that the board of directors select, the director nominees for the next annual meeting of stockholders,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us, (5) overseeing the evaluation of the board of directors and management and (6) handling such other matters that are specifically delegated to the committee by the board of directors from time to time.</w:t>
      </w:r>
    </w:p>
    <w:p>
      <w:pPr>
        <w:spacing w:after="0" w:line="7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Generally, our nominating and corporate governance committee considers candidates recommended by stockholders as well as from other sources such as other directors or officers, third party search firms or other appropriate sources. Once identified, the nominating and corporate governance committee will evaluate a candidate’s qualifications in accordance with our Corporate Governance Guidelines. Threshold criteria include: experience, skills, expertise, diversity, personal and professional integrity, character, business judgment, time availability in light of other commitments, dedication and conflicts of interest. Our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a stockholder wishes to propose a candidate for consideration as a nominee for election to our board of directors, it must follow the procedures described in our bylaws and in “Stockholder Proposals and Nominations for Director” at the end of this proxy statement. Any such recommendation should be made in writing to the nominating and corporate governance committee, care of our Corporate Secretary at our principal executive office and should be accompanied by the following information concerning each recommending stockholder and the beneficial owner, if any, on whose behalf the nomination is made:</w:t>
      </w:r>
    </w:p>
    <w:p>
      <w:pPr>
        <w:spacing w:after="0" w:line="84"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stockholder and any other proponent, including a description of any derivative transactions in the Company’s securities;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certain arrangements and understandings between the proposing stockholder and any beneficial owner and any other person in connection with such stockholder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statement whether or not either such stockholder or beneficial owner intends to deliver a proxy statement and form of proxy to holders of voting shares sufficient to carry the proposal.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information about any other security holder of the Company who supports the proposed nominee;</w:t>
      </w:r>
    </w:p>
    <w:p>
      <w:pPr>
        <w:spacing w:after="0" w:line="140"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description of all relationships between the proposed nominee and the recommending stockholder or any beneficial owner, including any agreements or understandings regarding the nomination;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disclosures relating to stockholder nominees for directors, including completed questionnaires and disclosures required by our bylaws.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board of directors has adopted a written charter for the nominating and corporate governance committee, which is available on our website at https://www.quantum-si.com under Investors — Governance — Governance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board of directors has adopted corporate governance guidelines in accordance with the Nasdaq Listing Rules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and management succession planning. A copy of our corporate governance guidelines is posted on our website at https://www.quantum-si.com under Investors — Governance — Governance Documents.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Anti-Hedging and Pledging</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maintain an Insider Trading Policy that, among other things, generally prohibits all officers, including our NEOs, directors and employees from engaging in “hedging” transactions with respect to our shares. This includes short sales, hedging of share ownership positions, and transactions involving derivative securities relating to our shares. The Insider Trading Policy also generally prohibits borrowing or other arrangements involving the non-recourse pledge of our shares.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Communications to the Board of Directors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Generally, stockholders who have questions or concerns should contact our Investor Relations department at</w:t>
      </w:r>
    </w:p>
    <w:p>
      <w:pPr>
        <w:spacing w:after="0" w:line="46" w:lineRule="exact"/>
        <w:rPr>
          <w:sz w:val="20"/>
          <w:szCs w:val="20"/>
          <w:color w:val="auto"/>
        </w:rPr>
      </w:pPr>
    </w:p>
    <w:p>
      <w:pPr>
        <w:jc w:val="both"/>
        <w:ind w:left="300" w:right="299" w:hanging="8"/>
        <w:spacing w:after="0" w:line="268" w:lineRule="auto"/>
        <w:tabs>
          <w:tab w:leader="none" w:pos="759" w:val="left"/>
        </w:tabs>
        <w:numPr>
          <w:ilvl w:val="0"/>
          <w:numId w:val="16"/>
        </w:numPr>
        <w:rPr>
          <w:rFonts w:ascii="Arial" w:cs="Arial" w:eastAsia="Arial" w:hAnsi="Arial"/>
          <w:sz w:val="17"/>
          <w:szCs w:val="17"/>
          <w:color w:val="auto"/>
        </w:rPr>
      </w:pPr>
      <w:r>
        <w:rPr>
          <w:rFonts w:ascii="Arial" w:cs="Arial" w:eastAsia="Arial" w:hAnsi="Arial"/>
          <w:sz w:val="17"/>
          <w:szCs w:val="17"/>
          <w:color w:val="auto"/>
        </w:rPr>
        <w:t>877-9641 or ir@quantum-si.com. However, any stockholders who wish to address questions regarding our business directly with the board of directors, or any individual director, should direct his or her questions in writing to the Chairman of the board of directors at Quantum-Si Incorporated, 530 Old Whitfield Street, Guilford, Connecticut. Communications will be distributed to the board of directors, or to any individual director or directors as appropriate, depending on the facts and circumstances outlined in the communications. Items that are unrelated to the duties and responsibilities of the board of directors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number of securities and exercise prices described in this section have been adjusted as necessary to reflect the number of securities and exercise prices following the consummation of the business combination on June 10, 2021 (the “Business Combination”) pursuant to the terms of the Business Combination Agreement, dated as of February 18, 2021 (the “Business Combination Agreement”), by and among HighCape Capital Acquisition Corp., a Delaware corporation (“HighCape” and after the Business Combination described herein, the “Company”),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In connection with the Transactions, HighCape changed its name to “Quantum-Si Incorporated” and Legacy Quantum-Si changed its name to “Q-SI Operations Inc.”</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shows information concerning the annual compensation for services provided to Legacy Quantum-Si for all periods prior to the Business Combination in June 2021 and to us for the period thereafter by our NEOs for the years ended December 31, 2022 and 2021.</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1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760" w:type="dxa"/>
            <w:vAlign w:val="bottom"/>
            <w:gridSpan w:val="2"/>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100"/>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1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Jeffrey Hawkins</w:t>
            </w: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$131,771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5"/>
              <w:spacing w:after="0" w:line="210" w:lineRule="exact"/>
              <w:rPr>
                <w:sz w:val="20"/>
                <w:szCs w:val="20"/>
                <w:color w:val="auto"/>
              </w:rPr>
            </w:pPr>
            <w:r>
              <w:rPr>
                <w:rFonts w:ascii="Arial" w:cs="Arial" w:eastAsia="Arial" w:hAnsi="Arial"/>
                <w:sz w:val="15"/>
                <w:szCs w:val="15"/>
                <w:color w:val="auto"/>
                <w:w w:val="88"/>
              </w:rPr>
              <w:t>75,000</w:t>
            </w:r>
            <w:r>
              <w:rPr>
                <w:rFonts w:ascii="Arial" w:cs="Arial" w:eastAsia="Arial" w:hAnsi="Arial"/>
                <w:sz w:val="24"/>
                <w:szCs w:val="24"/>
                <w:color w:val="auto"/>
                <w:w w:val="88"/>
                <w:vertAlign w:val="superscript"/>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7"/>
              </w:rPr>
              <w:t>$7,488,365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7,695,136</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i w:val="1"/>
                <w:iCs w:val="1"/>
                <w:color w:val="auto"/>
              </w:rPr>
              <w:t>Chief Executive Officer</w:t>
            </w:r>
          </w:p>
        </w:tc>
        <w:tc>
          <w:tcPr>
            <w:tcW w:w="360" w:type="dxa"/>
            <w:vAlign w:val="bottom"/>
            <w:tcBorders>
              <w:left w:val="single" w:sz="8" w:color="CCEEFF"/>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60" w:type="dxa"/>
            <w:vAlign w:val="bottom"/>
            <w:gridSpan w:val="2"/>
          </w:tcPr>
          <w:p>
            <w:pPr>
              <w:spacing w:after="0"/>
              <w:rPr>
                <w:sz w:val="20"/>
                <w:szCs w:val="20"/>
                <w:color w:val="auto"/>
              </w:rPr>
            </w:pPr>
            <w:r>
              <w:rPr>
                <w:rFonts w:ascii="Arial" w:cs="Arial" w:eastAsia="Arial" w:hAnsi="Arial"/>
                <w:sz w:val="15"/>
                <w:szCs w:val="15"/>
                <w:color w:val="auto"/>
              </w:rPr>
              <w:t>Jonathan M. Rothberg,</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2022</w:t>
            </w: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ind w:left="46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color w:val="auto"/>
              </w:rPr>
              <w:t>$501,673</w:t>
            </w:r>
          </w:p>
        </w:tc>
        <w:tc>
          <w:tcPr>
            <w:tcW w:w="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501,673</w:t>
            </w:r>
          </w:p>
        </w:tc>
        <w:tc>
          <w:tcPr>
            <w:tcW w:w="0" w:type="dxa"/>
            <w:vAlign w:val="bottom"/>
          </w:tcPr>
          <w:p>
            <w:pPr>
              <w:spacing w:after="0"/>
              <w:rPr>
                <w:sz w:val="1"/>
                <w:szCs w:val="1"/>
                <w:color w:val="auto"/>
              </w:rPr>
            </w:pPr>
          </w:p>
        </w:tc>
      </w:tr>
      <w:tr>
        <w:trPr>
          <w:trHeight w:val="162"/>
        </w:trPr>
        <w:tc>
          <w:tcPr>
            <w:tcW w:w="1760" w:type="dxa"/>
            <w:vAlign w:val="bottom"/>
            <w:gridSpan w:val="2"/>
          </w:tcPr>
          <w:p>
            <w:pPr>
              <w:spacing w:after="0" w:line="162" w:lineRule="exact"/>
              <w:rPr>
                <w:sz w:val="20"/>
                <w:szCs w:val="20"/>
                <w:color w:val="auto"/>
              </w:rPr>
            </w:pPr>
            <w:r>
              <w:rPr>
                <w:rFonts w:ascii="Arial" w:cs="Arial" w:eastAsia="Arial" w:hAnsi="Arial"/>
                <w:sz w:val="15"/>
                <w:szCs w:val="15"/>
                <w:color w:val="auto"/>
              </w:rPr>
              <w:t>Ph.D.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gridSpan w:val="2"/>
          </w:tcPr>
          <w:p>
            <w:pPr>
              <w:ind w:left="140"/>
              <w:spacing w:after="0" w:line="149" w:lineRule="exact"/>
              <w:rPr>
                <w:sz w:val="20"/>
                <w:szCs w:val="20"/>
                <w:color w:val="auto"/>
              </w:rPr>
            </w:pPr>
            <w:r>
              <w:rPr>
                <w:rFonts w:ascii="Arial" w:cs="Arial" w:eastAsia="Arial" w:hAnsi="Arial"/>
                <w:sz w:val="15"/>
                <w:szCs w:val="15"/>
                <w:i w:val="1"/>
                <w:iCs w:val="1"/>
                <w:color w:val="auto"/>
              </w:rPr>
              <w:t>Former Interim Chief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5"/>
                <w:szCs w:val="15"/>
                <w:i w:val="1"/>
                <w:iCs w:val="1"/>
                <w:color w:val="auto"/>
              </w:rPr>
              <w:t>Executive Officer</w:t>
            </w:r>
            <w:r>
              <w:rPr>
                <w:rFonts w:ascii="Arial" w:cs="Arial" w:eastAsia="Arial" w:hAnsi="Arial"/>
                <w:sz w:val="25"/>
                <w:szCs w:val="25"/>
                <w:i w:val="1"/>
                <w:iCs w:val="1"/>
                <w:color w:val="auto"/>
                <w:vertAlign w:val="superscript"/>
              </w:rPr>
              <w:t>(4)</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Stark</w:t>
            </w: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62,500</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197" w:lineRule="exact"/>
              <w:rPr>
                <w:sz w:val="20"/>
                <w:szCs w:val="20"/>
                <w:color w:val="auto"/>
              </w:rPr>
            </w:pPr>
            <w:r>
              <w:rPr>
                <w:rFonts w:ascii="Arial" w:cs="Arial" w:eastAsia="Arial" w:hAnsi="Arial"/>
                <w:sz w:val="14"/>
                <w:szCs w:val="14"/>
                <w:color w:val="auto"/>
                <w:w w:val="91"/>
              </w:rPr>
              <w:t>$250,000</w:t>
            </w:r>
            <w:r>
              <w:rPr>
                <w:rFonts w:ascii="Arial" w:cs="Arial" w:eastAsia="Arial" w:hAnsi="Arial"/>
                <w:sz w:val="22"/>
                <w:szCs w:val="22"/>
                <w:color w:val="auto"/>
                <w:w w:val="91"/>
                <w:vertAlign w:val="superscript"/>
              </w:rPr>
              <w:t>(6)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160"/>
              <w:spacing w:after="0" w:line="197" w:lineRule="exact"/>
              <w:rPr>
                <w:sz w:val="20"/>
                <w:szCs w:val="20"/>
                <w:color w:val="auto"/>
              </w:rPr>
            </w:pPr>
            <w:r>
              <w:rPr>
                <w:rFonts w:ascii="Arial" w:cs="Arial" w:eastAsia="Arial" w:hAnsi="Arial"/>
                <w:sz w:val="14"/>
                <w:szCs w:val="14"/>
                <w:color w:val="auto"/>
                <w:w w:val="99"/>
              </w:rPr>
              <w:t>$503,501</w:t>
            </w:r>
            <w:r>
              <w:rPr>
                <w:rFonts w:ascii="Arial" w:cs="Arial" w:eastAsia="Arial" w:hAnsi="Arial"/>
                <w:sz w:val="22"/>
                <w:szCs w:val="22"/>
                <w:color w:val="auto"/>
                <w:w w:val="99"/>
                <w:vertAlign w:val="superscript"/>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816,001</w:t>
            </w:r>
          </w:p>
        </w:tc>
        <w:tc>
          <w:tcPr>
            <w:tcW w:w="0" w:type="dxa"/>
            <w:vAlign w:val="bottom"/>
          </w:tcPr>
          <w:p>
            <w:pPr>
              <w:spacing w:after="0"/>
              <w:rPr>
                <w:sz w:val="1"/>
                <w:szCs w:val="1"/>
                <w:color w:val="auto"/>
              </w:rPr>
            </w:pPr>
          </w:p>
        </w:tc>
      </w:tr>
      <w:tr>
        <w:trPr>
          <w:trHeight w:val="148"/>
        </w:trPr>
        <w:tc>
          <w:tcPr>
            <w:tcW w:w="17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5"/>
                <w:szCs w:val="15"/>
                <w:i w:val="1"/>
                <w:iCs w:val="1"/>
                <w:color w:val="auto"/>
              </w:rPr>
              <w:t>Former Chief Executive</w:t>
            </w:r>
          </w:p>
        </w:tc>
        <w:tc>
          <w:tcPr>
            <w:tcW w:w="36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2021</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$425,000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8,750</w:t>
            </w:r>
            <w:r>
              <w:rPr>
                <w:rFonts w:ascii="Arial" w:cs="Arial" w:eastAsia="Arial" w:hAnsi="Arial"/>
                <w:sz w:val="25"/>
                <w:szCs w:val="25"/>
                <w:color w:val="auto"/>
                <w:vertAlign w:val="superscript"/>
              </w:rPr>
              <w:t>(8)</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160"/>
              <w:spacing w:after="0"/>
              <w:rPr>
                <w:sz w:val="20"/>
                <w:szCs w:val="20"/>
                <w:color w:val="auto"/>
              </w:rPr>
            </w:pPr>
            <w:r>
              <w:rPr>
                <w:rFonts w:ascii="Arial" w:cs="Arial" w:eastAsia="Arial" w:hAnsi="Arial"/>
                <w:sz w:val="15"/>
                <w:szCs w:val="15"/>
                <w:color w:val="auto"/>
                <w:w w:val="86"/>
              </w:rPr>
              <w:t>$15,711,346</w:t>
            </w:r>
            <w:r>
              <w:rPr>
                <w:rFonts w:ascii="Arial" w:cs="Arial" w:eastAsia="Arial" w:hAnsi="Arial"/>
                <w:sz w:val="25"/>
                <w:szCs w:val="25"/>
                <w:color w:val="auto"/>
                <w:w w:val="86"/>
                <w:vertAlign w:val="superscript"/>
              </w:rPr>
              <w:t>(9)</w:t>
            </w: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$352,750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43,096</w:t>
            </w:r>
            <w:r>
              <w:rPr>
                <w:rFonts w:ascii="Arial" w:cs="Arial" w:eastAsia="Arial" w:hAnsi="Arial"/>
                <w:sz w:val="25"/>
                <w:szCs w:val="25"/>
                <w:color w:val="auto"/>
                <w:w w:val="87"/>
                <w:vertAlign w:val="superscript"/>
              </w:rPr>
              <w:t>(10)</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$16,540,942</w:t>
            </w:r>
          </w:p>
        </w:tc>
        <w:tc>
          <w:tcPr>
            <w:tcW w:w="0" w:type="dxa"/>
            <w:vAlign w:val="bottom"/>
          </w:tcPr>
          <w:p>
            <w:pPr>
              <w:spacing w:after="0"/>
              <w:rPr>
                <w:sz w:val="1"/>
                <w:szCs w:val="1"/>
                <w:color w:val="auto"/>
              </w:rPr>
            </w:pPr>
          </w:p>
        </w:tc>
      </w:tr>
      <w:tr>
        <w:trPr>
          <w:trHeight w:val="243"/>
        </w:trPr>
        <w:tc>
          <w:tcPr>
            <w:tcW w:w="1760" w:type="dxa"/>
            <w:vAlign w:val="bottom"/>
            <w:gridSpan w:val="2"/>
            <w:shd w:val="clear" w:color="auto" w:fill="CCEEFF"/>
          </w:tcPr>
          <w:p>
            <w:pPr>
              <w:ind w:left="140"/>
              <w:spacing w:after="0" w:line="242" w:lineRule="exact"/>
              <w:rPr>
                <w:sz w:val="20"/>
                <w:szCs w:val="20"/>
                <w:color w:val="auto"/>
              </w:rPr>
            </w:pPr>
            <w:r>
              <w:rPr>
                <w:rFonts w:ascii="Arial" w:cs="Arial" w:eastAsia="Arial" w:hAnsi="Arial"/>
                <w:sz w:val="15"/>
                <w:szCs w:val="15"/>
                <w:i w:val="1"/>
                <w:iCs w:val="1"/>
                <w:color w:val="auto"/>
              </w:rPr>
              <w:t>Officer</w:t>
            </w:r>
            <w:r>
              <w:rPr>
                <w:rFonts w:ascii="Arial" w:cs="Arial" w:eastAsia="Arial" w:hAnsi="Arial"/>
                <w:sz w:val="25"/>
                <w:szCs w:val="25"/>
                <w:i w:val="1"/>
                <w:iCs w:val="1"/>
                <w:color w:val="auto"/>
                <w:vertAlign w:val="superscript"/>
              </w:rPr>
              <w:t>(5)</w:t>
            </w:r>
          </w:p>
        </w:tc>
        <w:tc>
          <w:tcPr>
            <w:tcW w:w="360" w:type="dxa"/>
            <w:vAlign w:val="bottom"/>
            <w:tcBorders>
              <w:left w:val="single" w:sz="8" w:color="CCEEFF"/>
              <w:bottom w:val="single" w:sz="8" w:color="auto"/>
            </w:tcBorders>
            <w:vMerge w:val="continue"/>
            <w:shd w:val="clear" w:color="auto" w:fill="CCEEFF"/>
          </w:tcPr>
          <w:p>
            <w:pPr>
              <w:spacing w:after="0"/>
              <w:rPr>
                <w:sz w:val="21"/>
                <w:szCs w:val="21"/>
                <w:color w:val="auto"/>
              </w:rPr>
            </w:pPr>
          </w:p>
        </w:tc>
        <w:tc>
          <w:tcPr>
            <w:tcW w:w="660" w:type="dxa"/>
            <w:vAlign w:val="bottom"/>
            <w:tcBorders>
              <w:bottom w:val="single" w:sz="8" w:color="auto"/>
            </w:tcBorders>
            <w:gridSpan w:val="3"/>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gridSpan w:val="2"/>
            <w:vMerge w:val="continue"/>
            <w:shd w:val="clear" w:color="auto" w:fill="CCEEFF"/>
          </w:tcPr>
          <w:p>
            <w:pPr>
              <w:spacing w:after="0"/>
              <w:rPr>
                <w:sz w:val="21"/>
                <w:szCs w:val="21"/>
                <w:color w:val="auto"/>
              </w:rPr>
            </w:pPr>
          </w:p>
        </w:tc>
        <w:tc>
          <w:tcPr>
            <w:tcW w:w="90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60" w:type="dxa"/>
            <w:vAlign w:val="bottom"/>
            <w:gridSpan w:val="2"/>
          </w:tcPr>
          <w:p>
            <w:pPr>
              <w:spacing w:after="0"/>
              <w:rPr>
                <w:sz w:val="20"/>
                <w:szCs w:val="20"/>
                <w:color w:val="auto"/>
              </w:rPr>
            </w:pPr>
            <w:r>
              <w:rPr>
                <w:rFonts w:ascii="Arial" w:cs="Arial" w:eastAsia="Arial" w:hAnsi="Arial"/>
                <w:sz w:val="15"/>
                <w:szCs w:val="15"/>
                <w:color w:val="auto"/>
              </w:rPr>
              <w:t>Patrick Schneider, Ph.D.</w:t>
            </w:r>
          </w:p>
        </w:tc>
        <w:tc>
          <w:tcPr>
            <w:tcW w:w="360" w:type="dxa"/>
            <w:vAlign w:val="bottom"/>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tcPr>
          <w:p>
            <w:pPr>
              <w:jc w:val="right"/>
              <w:spacing w:after="0"/>
              <w:rPr>
                <w:sz w:val="20"/>
                <w:szCs w:val="20"/>
                <w:color w:val="auto"/>
              </w:rPr>
            </w:pPr>
            <w:r>
              <w:rPr>
                <w:rFonts w:ascii="Arial" w:cs="Arial" w:eastAsia="Arial" w:hAnsi="Arial"/>
                <w:sz w:val="15"/>
                <w:szCs w:val="15"/>
                <w:color w:val="auto"/>
                <w:w w:val="99"/>
              </w:rPr>
              <w:t>$306,771</w:t>
            </w:r>
          </w:p>
        </w:tc>
        <w:tc>
          <w:tcPr>
            <w:tcW w:w="80" w:type="dxa"/>
            <w:vAlign w:val="bottom"/>
          </w:tcPr>
          <w:p>
            <w:pPr>
              <w:spacing w:after="0"/>
              <w:rPr>
                <w:sz w:val="17"/>
                <w:szCs w:val="17"/>
                <w:color w:val="auto"/>
              </w:rPr>
            </w:pPr>
          </w:p>
        </w:tc>
        <w:tc>
          <w:tcPr>
            <w:tcW w:w="780" w:type="dxa"/>
            <w:vAlign w:val="bottom"/>
            <w:gridSpan w:val="2"/>
          </w:tcPr>
          <w:p>
            <w:pPr>
              <w:jc w:val="right"/>
              <w:spacing w:after="0" w:line="197" w:lineRule="exact"/>
              <w:rPr>
                <w:sz w:val="20"/>
                <w:szCs w:val="20"/>
                <w:color w:val="auto"/>
              </w:rPr>
            </w:pPr>
            <w:r>
              <w:rPr>
                <w:rFonts w:ascii="Arial" w:cs="Arial" w:eastAsia="Arial" w:hAnsi="Arial"/>
                <w:sz w:val="14"/>
                <w:szCs w:val="14"/>
                <w:color w:val="auto"/>
                <w:w w:val="89"/>
              </w:rPr>
              <w:t>$400,000</w:t>
            </w:r>
            <w:r>
              <w:rPr>
                <w:rFonts w:ascii="Arial" w:cs="Arial" w:eastAsia="Arial" w:hAnsi="Arial"/>
                <w:sz w:val="22"/>
                <w:szCs w:val="22"/>
                <w:color w:val="auto"/>
                <w:w w:val="89"/>
                <w:vertAlign w:val="superscript"/>
              </w:rPr>
              <w:t>(11)</w:t>
            </w:r>
          </w:p>
        </w:tc>
        <w:tc>
          <w:tcPr>
            <w:tcW w:w="80" w:type="dxa"/>
            <w:vAlign w:val="bottom"/>
          </w:tcPr>
          <w:p>
            <w:pPr>
              <w:spacing w:after="0"/>
              <w:rPr>
                <w:sz w:val="17"/>
                <w:szCs w:val="17"/>
                <w:color w:val="auto"/>
              </w:rPr>
            </w:pP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tcPr>
          <w:p>
            <w:pPr>
              <w:spacing w:after="0"/>
              <w:rPr>
                <w:sz w:val="20"/>
                <w:szCs w:val="20"/>
                <w:color w:val="auto"/>
              </w:rPr>
            </w:pPr>
            <w:r>
              <w:rPr>
                <w:rFonts w:ascii="Arial" w:cs="Arial" w:eastAsia="Arial" w:hAnsi="Arial"/>
                <w:sz w:val="15"/>
                <w:szCs w:val="15"/>
                <w:color w:val="auto"/>
                <w:w w:val="87"/>
              </w:rPr>
              <w:t>$2,997,070</w:t>
            </w:r>
          </w:p>
        </w:tc>
        <w:tc>
          <w:tcPr>
            <w:tcW w:w="80" w:type="dxa"/>
            <w:vAlign w:val="bottom"/>
          </w:tcPr>
          <w:p>
            <w:pPr>
              <w:spacing w:after="0"/>
              <w:rPr>
                <w:sz w:val="17"/>
                <w:szCs w:val="17"/>
                <w:color w:val="auto"/>
              </w:rPr>
            </w:pPr>
          </w:p>
        </w:tc>
        <w:tc>
          <w:tcPr>
            <w:tcW w:w="900" w:type="dxa"/>
            <w:vAlign w:val="bottom"/>
            <w:gridSpan w:val="2"/>
          </w:tcPr>
          <w:p>
            <w:pPr>
              <w:jc w:val="right"/>
              <w:ind w:right="85"/>
              <w:spacing w:after="0"/>
              <w:rPr>
                <w:sz w:val="20"/>
                <w:szCs w:val="20"/>
                <w:color w:val="auto"/>
              </w:rPr>
            </w:pPr>
            <w:r>
              <w:rPr>
                <w:rFonts w:ascii="Arial" w:cs="Arial" w:eastAsia="Arial" w:hAnsi="Arial"/>
                <w:sz w:val="15"/>
                <w:szCs w:val="15"/>
                <w:color w:val="auto"/>
              </w:rPr>
              <w:t>$177,500</w:t>
            </w:r>
          </w:p>
        </w:tc>
        <w:tc>
          <w:tcPr>
            <w:tcW w:w="8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w w:val="92"/>
              </w:rPr>
              <w:t>3,881,341</w:t>
            </w:r>
          </w:p>
        </w:tc>
        <w:tc>
          <w:tcPr>
            <w:tcW w:w="0" w:type="dxa"/>
            <w:vAlign w:val="bottom"/>
          </w:tcPr>
          <w:p>
            <w:pPr>
              <w:spacing w:after="0"/>
              <w:rPr>
                <w:sz w:val="1"/>
                <w:szCs w:val="1"/>
                <w:color w:val="auto"/>
              </w:rPr>
            </w:pPr>
          </w:p>
        </w:tc>
      </w:tr>
      <w:tr>
        <w:trPr>
          <w:trHeight w:val="194"/>
        </w:trPr>
        <w:tc>
          <w:tcPr>
            <w:tcW w:w="1760" w:type="dxa"/>
            <w:vAlign w:val="bottom"/>
            <w:gridSpan w:val="2"/>
          </w:tcPr>
          <w:p>
            <w:pPr>
              <w:ind w:left="140"/>
              <w:spacing w:after="0"/>
              <w:rPr>
                <w:sz w:val="20"/>
                <w:szCs w:val="20"/>
                <w:color w:val="auto"/>
              </w:rPr>
            </w:pPr>
            <w:r>
              <w:rPr>
                <w:rFonts w:ascii="Arial" w:cs="Arial" w:eastAsia="Arial" w:hAnsi="Arial"/>
                <w:sz w:val="15"/>
                <w:szCs w:val="15"/>
                <w:i w:val="1"/>
                <w:iCs w:val="1"/>
                <w:color w:val="auto"/>
              </w:rPr>
              <w:t>President and COO</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760" w:type="dxa"/>
            <w:vAlign w:val="bottom"/>
            <w:gridSpan w:val="2"/>
            <w:vMerge w:val="restart"/>
          </w:tcPr>
          <w:p>
            <w:pPr>
              <w:spacing w:after="0"/>
              <w:rPr>
                <w:sz w:val="20"/>
                <w:szCs w:val="20"/>
                <w:color w:val="auto"/>
              </w:rPr>
            </w:pPr>
            <w:r>
              <w:rPr>
                <w:rFonts w:ascii="Arial" w:cs="Arial" w:eastAsia="Arial" w:hAnsi="Arial"/>
                <w:sz w:val="15"/>
                <w:szCs w:val="15"/>
                <w:color w:val="auto"/>
                <w:w w:val="93"/>
              </w:rPr>
              <w:t>Michael P. McKenna, Ph.D.</w:t>
            </w: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continue"/>
          </w:tcPr>
          <w:p>
            <w:pPr>
              <w:spacing w:after="0"/>
              <w:rPr>
                <w:sz w:val="21"/>
                <w:szCs w:val="21"/>
                <w:color w:val="auto"/>
              </w:rPr>
            </w:pPr>
          </w:p>
        </w:tc>
        <w:tc>
          <w:tcPr>
            <w:tcW w:w="3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2022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$448,333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87"/>
              </w:rPr>
              <w:t>$1,064,388</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rPr>
              <w:t>$175,500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1,688,221</w:t>
            </w:r>
          </w:p>
        </w:tc>
        <w:tc>
          <w:tcPr>
            <w:tcW w:w="0" w:type="dxa"/>
            <w:vAlign w:val="bottom"/>
          </w:tcPr>
          <w:p>
            <w:pPr>
              <w:spacing w:after="0"/>
              <w:rPr>
                <w:sz w:val="1"/>
                <w:szCs w:val="1"/>
                <w:color w:val="auto"/>
              </w:rPr>
            </w:pPr>
          </w:p>
        </w:tc>
      </w:tr>
      <w:tr>
        <w:trPr>
          <w:trHeight w:val="224"/>
        </w:trPr>
        <w:tc>
          <w:tcPr>
            <w:tcW w:w="1760" w:type="dxa"/>
            <w:vAlign w:val="bottom"/>
            <w:gridSpan w:val="2"/>
            <w:vMerge w:val="restart"/>
          </w:tcPr>
          <w:p>
            <w:pPr>
              <w:ind w:left="140"/>
              <w:spacing w:after="0"/>
              <w:rPr>
                <w:sz w:val="20"/>
                <w:szCs w:val="20"/>
                <w:color w:val="auto"/>
              </w:rPr>
            </w:pPr>
            <w:r>
              <w:rPr>
                <w:rFonts w:ascii="Arial" w:cs="Arial" w:eastAsia="Arial" w:hAnsi="Arial"/>
                <w:sz w:val="15"/>
                <w:szCs w:val="15"/>
                <w:i w:val="1"/>
                <w:iCs w:val="1"/>
                <w:color w:val="auto"/>
                <w:w w:val="92"/>
              </w:rPr>
              <w:t>Executive Vice President,</w:t>
            </w:r>
          </w:p>
        </w:tc>
        <w:tc>
          <w:tcPr>
            <w:tcW w:w="36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760" w:type="dxa"/>
            <w:vAlign w:val="bottom"/>
            <w:gridSpan w:val="2"/>
            <w:vMerge w:val="continue"/>
          </w:tcPr>
          <w:p>
            <w:pPr>
              <w:spacing w:after="0"/>
              <w:rPr>
                <w:sz w:val="4"/>
                <w:szCs w:val="4"/>
                <w:color w:val="auto"/>
              </w:rPr>
            </w:pPr>
          </w:p>
        </w:tc>
        <w:tc>
          <w:tcPr>
            <w:tcW w:w="360" w:type="dxa"/>
            <w:vAlign w:val="bottom"/>
            <w:vMerge w:val="restart"/>
          </w:tcPr>
          <w:p>
            <w:pPr>
              <w:jc w:val="right"/>
              <w:spacing w:after="0"/>
              <w:rPr>
                <w:sz w:val="20"/>
                <w:szCs w:val="20"/>
                <w:color w:val="auto"/>
              </w:rPr>
            </w:pPr>
            <w:r>
              <w:rPr>
                <w:rFonts w:ascii="Arial" w:cs="Arial" w:eastAsia="Arial" w:hAnsi="Arial"/>
                <w:sz w:val="15"/>
                <w:szCs w:val="15"/>
                <w:color w:val="auto"/>
                <w:w w:val="95"/>
              </w:rPr>
              <w:t>2021</w:t>
            </w:r>
          </w:p>
        </w:tc>
        <w:tc>
          <w:tcPr>
            <w:tcW w:w="660" w:type="dxa"/>
            <w:vAlign w:val="bottom"/>
            <w:gridSpan w:val="3"/>
            <w:vMerge w:val="restart"/>
          </w:tcPr>
          <w:p>
            <w:pPr>
              <w:jc w:val="right"/>
              <w:spacing w:after="0"/>
              <w:rPr>
                <w:sz w:val="20"/>
                <w:szCs w:val="20"/>
                <w:color w:val="auto"/>
              </w:rPr>
            </w:pPr>
            <w:r>
              <w:rPr>
                <w:rFonts w:ascii="Arial" w:cs="Arial" w:eastAsia="Arial" w:hAnsi="Arial"/>
                <w:sz w:val="15"/>
                <w:szCs w:val="15"/>
                <w:color w:val="auto"/>
                <w:w w:val="99"/>
              </w:rPr>
              <w:t>$357,813</w:t>
            </w:r>
          </w:p>
        </w:tc>
        <w:tc>
          <w:tcPr>
            <w:tcW w:w="80" w:type="dxa"/>
            <w:vAlign w:val="bottom"/>
          </w:tcPr>
          <w:p>
            <w:pPr>
              <w:spacing w:after="0"/>
              <w:rPr>
                <w:sz w:val="4"/>
                <w:szCs w:val="4"/>
                <w:color w:val="auto"/>
              </w:rPr>
            </w:pPr>
          </w:p>
        </w:tc>
        <w:tc>
          <w:tcPr>
            <w:tcW w:w="780" w:type="dxa"/>
            <w:vAlign w:val="bottom"/>
            <w:gridSpan w:val="2"/>
            <w:vMerge w:val="restart"/>
          </w:tcPr>
          <w:p>
            <w:pPr>
              <w:jc w:val="right"/>
              <w:spacing w:after="0" w:line="228" w:lineRule="exact"/>
              <w:rPr>
                <w:sz w:val="20"/>
                <w:szCs w:val="20"/>
                <w:color w:val="auto"/>
              </w:rPr>
            </w:pPr>
            <w:r>
              <w:rPr>
                <w:rFonts w:ascii="Arial" w:cs="Arial" w:eastAsia="Arial" w:hAnsi="Arial"/>
                <w:sz w:val="15"/>
                <w:szCs w:val="15"/>
                <w:color w:val="auto"/>
                <w:w w:val="84"/>
              </w:rPr>
              <w:t>$250,000</w:t>
            </w:r>
            <w:r>
              <w:rPr>
                <w:rFonts w:ascii="Arial" w:cs="Arial" w:eastAsia="Arial" w:hAnsi="Arial"/>
                <w:sz w:val="25"/>
                <w:szCs w:val="25"/>
                <w:color w:val="auto"/>
                <w:w w:val="84"/>
                <w:vertAlign w:val="superscript"/>
              </w:rPr>
              <w:t>(8)</w:t>
            </w:r>
          </w:p>
        </w:tc>
        <w:tc>
          <w:tcPr>
            <w:tcW w:w="80" w:type="dxa"/>
            <w:vAlign w:val="bottom"/>
          </w:tcPr>
          <w:p>
            <w:pPr>
              <w:spacing w:after="0"/>
              <w:rPr>
                <w:sz w:val="4"/>
                <w:szCs w:val="4"/>
                <w:color w:val="auto"/>
              </w:rPr>
            </w:pPr>
          </w:p>
        </w:tc>
        <w:tc>
          <w:tcPr>
            <w:tcW w:w="30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104"/>
              <w:spacing w:after="0"/>
              <w:rPr>
                <w:sz w:val="20"/>
                <w:szCs w:val="20"/>
                <w:color w:val="auto"/>
              </w:rPr>
            </w:pPr>
            <w:r>
              <w:rPr>
                <w:rFonts w:ascii="Arial" w:cs="Arial" w:eastAsia="Arial" w:hAnsi="Arial"/>
                <w:sz w:val="15"/>
                <w:szCs w:val="15"/>
                <w:color w:val="auto"/>
              </w:rPr>
              <w:t>680,268</w:t>
            </w:r>
          </w:p>
        </w:tc>
        <w:tc>
          <w:tcPr>
            <w:tcW w:w="80" w:type="dxa"/>
            <w:vAlign w:val="bottom"/>
          </w:tcPr>
          <w:p>
            <w:pPr>
              <w:spacing w:after="0"/>
              <w:rPr>
                <w:sz w:val="4"/>
                <w:szCs w:val="4"/>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ind w:left="100"/>
              <w:spacing w:after="0"/>
              <w:rPr>
                <w:sz w:val="20"/>
                <w:szCs w:val="20"/>
                <w:color w:val="auto"/>
              </w:rPr>
            </w:pPr>
            <w:r>
              <w:rPr>
                <w:rFonts w:ascii="Arial" w:cs="Arial" w:eastAsia="Arial" w:hAnsi="Arial"/>
                <w:sz w:val="15"/>
                <w:szCs w:val="15"/>
                <w:color w:val="auto"/>
                <w:w w:val="88"/>
              </w:rPr>
              <w:t>492,946</w:t>
            </w:r>
          </w:p>
        </w:tc>
        <w:tc>
          <w:tcPr>
            <w:tcW w:w="80" w:type="dxa"/>
            <w:vAlign w:val="bottom"/>
          </w:tcPr>
          <w:p>
            <w:pPr>
              <w:spacing w:after="0"/>
              <w:rPr>
                <w:sz w:val="4"/>
                <w:szCs w:val="4"/>
                <w:color w:val="auto"/>
              </w:rPr>
            </w:pPr>
          </w:p>
        </w:tc>
        <w:tc>
          <w:tcPr>
            <w:tcW w:w="900" w:type="dxa"/>
            <w:vAlign w:val="bottom"/>
            <w:gridSpan w:val="2"/>
            <w:vMerge w:val="restart"/>
          </w:tcPr>
          <w:p>
            <w:pPr>
              <w:jc w:val="right"/>
              <w:ind w:right="85"/>
              <w:spacing w:after="0"/>
              <w:rPr>
                <w:sz w:val="20"/>
                <w:szCs w:val="20"/>
                <w:color w:val="auto"/>
              </w:rPr>
            </w:pPr>
            <w:r>
              <w:rPr>
                <w:rFonts w:ascii="Arial" w:cs="Arial" w:eastAsia="Arial" w:hAnsi="Arial"/>
                <w:sz w:val="15"/>
                <w:szCs w:val="15"/>
                <w:color w:val="auto"/>
              </w:rPr>
              <w:t>$150,000</w:t>
            </w:r>
          </w:p>
        </w:tc>
        <w:tc>
          <w:tcPr>
            <w:tcW w:w="80" w:type="dxa"/>
            <w:vAlign w:val="bottom"/>
          </w:tcPr>
          <w:p>
            <w:pPr>
              <w:spacing w:after="0"/>
              <w:rPr>
                <w:sz w:val="4"/>
                <w:szCs w:val="4"/>
                <w:color w:val="auto"/>
              </w:rPr>
            </w:pPr>
          </w:p>
        </w:tc>
        <w:tc>
          <w:tcPr>
            <w:tcW w:w="940" w:type="dxa"/>
            <w:vAlign w:val="bottom"/>
            <w:gridSpan w:val="2"/>
            <w:vMerge w:val="restart"/>
          </w:tcPr>
          <w:p>
            <w:pPr>
              <w:ind w:left="160"/>
              <w:spacing w:after="0" w:line="228" w:lineRule="exact"/>
              <w:rPr>
                <w:sz w:val="20"/>
                <w:szCs w:val="20"/>
                <w:color w:val="auto"/>
              </w:rPr>
            </w:pPr>
            <w:r>
              <w:rPr>
                <w:rFonts w:ascii="Arial" w:cs="Arial" w:eastAsia="Arial" w:hAnsi="Arial"/>
                <w:sz w:val="15"/>
                <w:szCs w:val="15"/>
                <w:color w:val="auto"/>
                <w:w w:val="82"/>
              </w:rPr>
              <w:t>$100,000</w:t>
            </w:r>
            <w:r>
              <w:rPr>
                <w:rFonts w:ascii="Arial" w:cs="Arial" w:eastAsia="Arial" w:hAnsi="Arial"/>
                <w:sz w:val="25"/>
                <w:szCs w:val="25"/>
                <w:color w:val="auto"/>
                <w:w w:val="82"/>
                <w:vertAlign w:val="superscript"/>
              </w:rPr>
              <w:t>(12)</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w w:val="92"/>
              </w:rPr>
              <w:t>2,031,027</w:t>
            </w:r>
          </w:p>
        </w:tc>
        <w:tc>
          <w:tcPr>
            <w:tcW w:w="0" w:type="dxa"/>
            <w:vAlign w:val="bottom"/>
          </w:tcPr>
          <w:p>
            <w:pPr>
              <w:spacing w:after="0"/>
              <w:rPr>
                <w:sz w:val="1"/>
                <w:szCs w:val="1"/>
                <w:color w:val="auto"/>
              </w:rPr>
            </w:pPr>
          </w:p>
        </w:tc>
      </w:tr>
      <w:tr>
        <w:trPr>
          <w:trHeight w:val="174"/>
        </w:trPr>
        <w:tc>
          <w:tcPr>
            <w:tcW w:w="1760" w:type="dxa"/>
            <w:vAlign w:val="bottom"/>
            <w:gridSpan w:val="2"/>
          </w:tcPr>
          <w:p>
            <w:pPr>
              <w:ind w:left="140"/>
              <w:spacing w:after="0"/>
              <w:rPr>
                <w:sz w:val="20"/>
                <w:szCs w:val="20"/>
                <w:color w:val="auto"/>
              </w:rPr>
            </w:pPr>
            <w:r>
              <w:rPr>
                <w:rFonts w:ascii="Arial" w:cs="Arial" w:eastAsia="Arial" w:hAnsi="Arial"/>
                <w:sz w:val="15"/>
                <w:szCs w:val="15"/>
                <w:i w:val="1"/>
                <w:iCs w:val="1"/>
                <w:color w:val="auto"/>
              </w:rPr>
              <w:t>Product Development</w:t>
            </w:r>
          </w:p>
        </w:tc>
        <w:tc>
          <w:tcPr>
            <w:tcW w:w="36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-452755</wp:posOffset>
            </wp:positionV>
            <wp:extent cx="5349240" cy="59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59118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-1927225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-1927225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-1927225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-1927225</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-1927225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-1927225</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-1927225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-1927225</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i w:val="1"/>
          <w:iCs w:val="1"/>
          <w:color w:val="auto"/>
        </w:rPr>
        <w:t>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28575</wp:posOffset>
            </wp:positionV>
            <wp:extent cx="4225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191135</wp:posOffset>
            </wp:positionV>
            <wp:extent cx="822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0" w:lineRule="exact"/>
        <w:rPr>
          <w:sz w:val="20"/>
          <w:szCs w:val="20"/>
          <w:color w:val="auto"/>
        </w:rPr>
      </w:pPr>
    </w:p>
    <w:p>
      <w:pPr>
        <w:jc w:val="both"/>
        <w:ind w:left="640" w:right="29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represents the aggregate grant date fair value for restricted stock unit (“RSU”) awards computed in accordance with Financial Accounting Standards Board Accounting Standards Codification Topic 718 (“ASC 718”). A discussion of our methodology for determining grant date fair value may be found in Note 10 “Equity Incentive Plan” in our consolidated financial statements included in our Annual Report on Form 10-K for the fiscal year ended December 31, 2022.</w:t>
      </w:r>
    </w:p>
    <w:p>
      <w:pPr>
        <w:spacing w:after="0" w:line="22"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 represents the aggregate grant date fair value for option awards computed in accordance with ASC 718. A discussion of our methodology for determining grant date fair value may be found in Note 10 “Equity Incentive Plan” in our consolidated financial statements included in our Annual Report on Form 10-K for the fiscal year ended December 31, 2022.</w:t>
      </w:r>
    </w:p>
    <w:p>
      <w:pPr>
        <w:spacing w:after="0" w:line="20"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connection with Mr. Hawkins’ Offer Letter of Employment, Mr. Hawkins received a one-time sign-on bonus of $150,000, of which $75,000 was paid on the first payroll date after his start date and the second half will be paid six months after his start date. Such payment is recoverable in full by us in the event Mr. Hawkins voluntarily terminates his employment or is terminated for “cause” prior to 12 months from his start date.</w:t>
      </w:r>
    </w:p>
    <w:p>
      <w:pPr>
        <w:spacing w:after="0" w:line="22" w:lineRule="exact"/>
        <w:rPr>
          <w:rFonts w:ascii="Arial" w:cs="Arial" w:eastAsia="Arial" w:hAnsi="Arial"/>
          <w:sz w:val="14"/>
          <w:szCs w:val="14"/>
          <w:color w:val="auto"/>
        </w:rPr>
      </w:pPr>
    </w:p>
    <w:p>
      <w:pPr>
        <w:jc w:val="both"/>
        <w:ind w:left="640" w:right="299" w:hanging="348"/>
        <w:spacing w:after="0" w:line="225" w:lineRule="auto"/>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Dr. Rothberg served as our Interim Chief Executive Officer from February 8, 2022 to October 10, 2022. Dr. Rothberg did not receive any additional compensation for his service as our Interim Chief Executive Officer during the year ended December 31, 2022; however, in accordance with SEC regulations, the compensation disclosed in the table above reflects compensation received for his services as a member of our board of directors during the year ended December 31, 2022, as further described below under </w:t>
      </w:r>
      <w:r>
        <w:rPr>
          <w:rFonts w:ascii="Arial" w:cs="Arial" w:eastAsia="Arial" w:hAnsi="Arial"/>
          <w:sz w:val="14"/>
          <w:szCs w:val="14"/>
          <w:i w:val="1"/>
          <w:iCs w:val="1"/>
          <w:color w:val="auto"/>
        </w:rPr>
        <w:t>“</w:t>
      </w:r>
      <w:r>
        <w:rPr>
          <w:rFonts w:ascii="Arial" w:cs="Arial" w:eastAsia="Arial" w:hAnsi="Arial"/>
          <w:sz w:val="14"/>
          <w:szCs w:val="14"/>
          <w:color w:val="auto"/>
        </w:rPr>
        <w:t>Director Compensation</w:t>
      </w:r>
      <w:r>
        <w:rPr>
          <w:rFonts w:ascii="Arial" w:cs="Arial" w:eastAsia="Arial" w:hAnsi="Arial"/>
          <w:sz w:val="14"/>
          <w:szCs w:val="14"/>
          <w:i w:val="1"/>
          <w:iCs w:val="1"/>
          <w:color w:val="auto"/>
        </w:rPr>
        <w:t>”</w:t>
      </w:r>
      <w:r>
        <w:rPr>
          <w:rFonts w:ascii="Arial" w:cs="Arial" w:eastAsia="Arial" w:hAnsi="Arial"/>
          <w:sz w:val="14"/>
          <w:szCs w:val="14"/>
          <w:color w:val="auto"/>
        </w:rPr>
        <w:t>. Consists of (i) $68,333 of cash payments for service on our board of directors, (ii) $100,000 of stock options granted for service on our board of directors, and (iii) $333,340 of cash payments paid pursuant to the Executive Chairman Agreement (as defined below) in 2022. In connection with the Business Combination, Legacy Quantum-Si and Dr. Rothberg entered into the Executive Chairman Agreement, effective as of the closing of the Business Combination (the “Executive Chairman Agreement”), pursuant to which Dr. Rothberg advised our CEO and provided guidance to the board of directors. Effective November 1, 2022, the Executive Chairman Agreement was terminated and we entered into an Advisory Agreement with Dr. Rothberg, pursuant to which Dr. Rothberg serves as Chairman of our board of directors and advises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3"/>
          <w:szCs w:val="13"/>
          <w:color w:val="auto"/>
        </w:rPr>
        <w:t>our Chief Executive Officer and the board of directors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we granted to Dr. Rothberg an option to purchase 250,000 shares of our Class A common stock pursuant to the 2021 Plan. A discussion of the terms of the Executive Chairman Agreement and Advisory Agreement can be found below under “Certain Relationships and Related Transactions, and Director Independence - Executive Chairman Agreement with Jonathan M. Rothberg, Ph.D.” and “Certain Relationships and Related Transactions, and Director Independence - Advisory Agreement with Jonathan M. Rothberg, Ph.D.”</w:t>
      </w:r>
    </w:p>
    <w:p>
      <w:pPr>
        <w:spacing w:after="0" w:line="17" w:lineRule="exact"/>
        <w:rPr>
          <w:sz w:val="20"/>
          <w:szCs w:val="20"/>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Mr. Stark’s employment ended effective as of February 8, 2022.</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Mr. Stark’s separation agreement, he received a special bonus payment equal to $250,000.</w:t>
      </w:r>
    </w:p>
    <w:p>
      <w:pPr>
        <w:spacing w:after="0" w:line="41" w:lineRule="exact"/>
        <w:rPr>
          <w:rFonts w:ascii="Arial" w:cs="Arial" w:eastAsia="Arial" w:hAnsi="Arial"/>
          <w:sz w:val="14"/>
          <w:szCs w:val="14"/>
          <w:color w:val="auto"/>
        </w:rPr>
      </w:pPr>
    </w:p>
    <w:p>
      <w:pPr>
        <w:ind w:left="640" w:right="319" w:hanging="348"/>
        <w:spacing w:after="0" w:line="281" w:lineRule="auto"/>
        <w:tabs>
          <w:tab w:leader="none" w:pos="6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connection with Mr. Stark’s separation agreement, he received severance pay in the amount of $500,000, representing one year of his base salary. Also includes a temporary housing allowance of $3,501 for housing and travel to our principal executive office in Connecticut.</w:t>
      </w: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 represents discretionary transaction bonuses paid in connection with the consummation of the Business Combination.</w:t>
      </w:r>
    </w:p>
    <w:p>
      <w:pPr>
        <w:spacing w:after="0" w:line="4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a performance-based RSU award granted to Mr. Stark in 2021. The maximum grant date fair value of this performance-based RSU award, assuming the performance conditions had been achieved in full, was the same ($2,373,254) for Mr. Stark. These RSUs were forfeited in accordance with the Stark Separation Agreement (as defined below).</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a temporary housing allowance for housing and travel to our principal executive office in Connecticut.</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connection with Mr. Schneider’s Offer Letter of Employment, Mr. Schneider received a one-time sign-on bonus of $400,000. Such payment is recoverable in full by us in the event Mr. Schneider voluntarily terminates his employment or is terminated for “cause” prior to 12 months from his start date.</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Consists of a loan amount forgiven by us in 2021 prior to the Business Combination which was provided in connection with Dr. McKenna’s commencement of employment. The company forgave the loan as consideration for Dr. McKenna’s performance throughout his time at Legacy Quantum-Si.</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or Legacy Quantum-Si entered into an Offer Letter of Employment with Mr. Hawkins on October 2, 2022, an Offer Letter of Employment with Mr. Stark on October 28, 2020, an Offer Letter of Employment with Patrick Schneider, Ph.D. on April 26, 2022, and an Offer Letter of Employment with Michael McKenna, Ph.D. on June 1, 2015, which continue to be in effect after the Business Combination, the material terms of which are described below. Dr. Rothberg was not party to an employment arrangement in connection with his role as our Interim Chief Executive Officer and he did not receive any additional compensation for serving as our Interim Chief Executive Officer. In addition, we entered into a separation agreement with Mr. Stark in connection with the termination of his employment, the material terms of which are described below. In addition, each NEO has entered into a confidentiality agreement obligating the officer to refrain from disclosing any of our proprietary information received during the course of employment.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Jeffrey Hawkins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October 2, 2022, we entered into an Offer Letter of Employment with Mr. Hawkins, effective as of October 10, 2022. Pursuant to the terms of his Offer Letter, Mr. Hawkins’ annual base salary is $575,000. Mr. Hawkins is eligible to receive an annual discretionary bonus with a target of 100% of his base salary. Mr. Hawkins received a one-time sign-on bonus in the amount of $150,000, of which $75,000 was paid on the first payroll date after his start date and the second half will be paid six months after his start date. Such payment is recoverable in full by us in the event that Mr. Hawkins voluntarily terminates his employment with us prior to the 12 month anniversary of his start date.</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Offer Letter further provided that Mr. Hawkins receive an award of 4,170,000 stock options to purchase shares of our Class A common stock, with 20% of the stock options to vest on the last day of the calendar quarter of the one-year anniversary of his start date, and 1.66% to vest monthly at the end of each month thereafter. In addition, the Offer Letter provided that, as an inducement award material to Mr. Hawkins entering into employment with the Company, pursuant to Nasdaq Rule 5635(c)(4), Mr. Hawkins receive an award of (i) 1,390,000 performance-based stock options to purchase shares of our Class A common stock, which vest in full if within 1.5 years of his start date the Class A common stock closing price is at least $10.00 for 20 out of 30 consecutive trading days, and (ii) 1,390,000 performance-based stock options to purchase shares of our Class A common stock, which vest in full if within 3.5 years of his start date the Class A common stock closing price is at least $20.00 for 20 out of 30 consecutive trading days.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John Stark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Legacy Quantum-Si entered into an Offer Letter of Employment with Mr. Stark as Legacy Quantum-Si’s Chief Executive Officer on October 28, 2020. Pursuant to the terms of his Offer Letter, Mr. Stark’s initial annual base salary was $350,000. Effective July 1, 2021, Mr. Stark’s annual base salary was increased to $500,000 and Mr. Stark was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eligible to receive an annual target bonus amount of up to 100% of his annual base salary, provided that he was employed with us through the scheduled date of payment of such bonuses. Under the terms of the Offer Letter, Mr. Stark was entitled to a payment of $50,000 following his relocation, to cover relocation expenses that was to be repaid to us if Mr. Stark voluntarily terminated his employment before November 2, 2021, as well as a monthly housing allowance of $2,500 (net of required taxes) as a temporary housing stipend until his relocation.</w:t>
      </w:r>
    </w:p>
    <w:p>
      <w:pPr>
        <w:spacing w:after="0" w:line="6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February 2021, Legacy Quantum-Si entered into a Letter Agreement with Mr. Stark that provided for a grant of Legacy Quantum-Si RSUs in lieu of the options referred to in Mr. Stark’s Offer Letter of Employment. Pursuant to the Letter Agreement, Mr. Stark was granted 1,703,460 RSUs with 25% vesting on January 7, 2022, and the remainder vesting in equal quarterly installments over the following three years beginning with the quarter ending March 31, 2022, subject to Mr. Stark’s continued employment on each vesting date. Pursuant to the Letter Agreement, Mr. Stark received an additional award of 453,777 RSUs that would vest (i) on the closing of a financing in excess of $50 million within three years of Mr. Stark’s start date at a share price greater than $16.08, or</w:t>
      </w:r>
    </w:p>
    <w:p>
      <w:pPr>
        <w:spacing w:after="0" w:line="2" w:lineRule="exact"/>
        <w:rPr>
          <w:sz w:val="20"/>
          <w:szCs w:val="20"/>
          <w:color w:val="auto"/>
        </w:rPr>
      </w:pPr>
    </w:p>
    <w:p>
      <w:pPr>
        <w:jc w:val="both"/>
        <w:ind w:left="300" w:right="299" w:hanging="8"/>
        <w:spacing w:after="0" w:line="255" w:lineRule="auto"/>
        <w:tabs>
          <w:tab w:leader="none" w:pos="5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within three years of Mr. Stark’s commencement of employment with Legacy Quantum-Si the publicly-listed closing price of our shares is $16.08 or more for any 20 trading days within any 30 consecutive trading day period, subject to Mr. Stark’s continued employment on the vesting date.</w:t>
      </w:r>
    </w:p>
    <w:p>
      <w:pPr>
        <w:spacing w:after="0" w:line="8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as of February 8, 2022, Mr. Stark’s employment as our CEO terminated. In connection with his termination of employment, on February 11, 2022 we entered into a separation agreement with Mr. Stark (the “Stark Separation Agreement”). Pursuant to the terms of the Stark Separation Agreement, Mr. Stark received: (i) severance pay equal to $500,000, or one year of his then current annual base salary, (ii) an annual bonus equal to $352,750 for the year ended December 31, 2021 and (iii) a special bonus equal to $250,000. The Stark Separation Agreement also includes a release and waiver by Mr. Stark and other customary provisions.</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Patrick Schneider, Ph.D.</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April 26, 2022, we entered into an Offer Letter of Employment with Mr. Schneider, effective as of May 9, 2022. Pursuant to the terms of his Offer Letter, Mr. Schneider’s annual base salary is $475,000. Mr. Schneider is eligible to receive an annual discretionary bonus with a target of 80% of his base salary. Mr. Schneider received a one-time sign-on bonus in the amount of $400,000, which is recoverable in full by us in the event that Mr. Schneider voluntarily terminates his employment with us prior to the 12-month anniversary of his start date.</w:t>
      </w:r>
    </w:p>
    <w:p>
      <w:pPr>
        <w:spacing w:after="0" w:line="53"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Offer Letter further provided that Mr. Schneider receive an award of 1,000,000 stock options to purchase shares of our Class A common stock, with 25% of the stock options to vest on the last day of the calendar quarter of the one-year anniversary of his start date, and 2.083% to vest monthly at the end of each month thereafter. In addition, the Offer Letter provided that Mr. Schneider receive an award of (i) 500,000 performance-based stock options to purchase shares of our Class A common stock, which vest in full if within 2 years of his start date the Class A common stock closing price is at least $10.00 for 20 out of 30 consecutive trading days, and (ii) 500,000 performance-based stock options to purchase shares of our Class A common stock, which vest in full if within 4 years of his start date the Class A common stock closing price is at least $20.00 for 20 out of 30 consecutive trading days.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Michael P. McKenna, Ph.D.</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Legacy Quantum-Si entered into an Offer Letter of Employment with Dr. McKenna, as Legacy Quantum-Si’s President and Chief Operating Officer, on June 1, 2015. Effective as of May 6, 2022, our board of directors approved a title change for Dr. McKenna to Executive Vice President, Product Development and Operations. Pursuant to the terms of his Offer Letter, Dr. McKenna’s then annual base salary was $200,000. Dr. McKenna’s current annual base salary is $450,000 and Dr. McKenna is eligible to receive annual target bonus amount of up to 50% of his annual base salary, provided that he is employed with us through the scheduled date of payment of such bonuses.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21" w:lineRule="exact"/>
        <w:rPr>
          <w:sz w:val="20"/>
          <w:szCs w:val="20"/>
          <w:color w:val="auto"/>
        </w:rPr>
      </w:pPr>
    </w:p>
    <w:p>
      <w:pPr>
        <w:ind w:left="340" w:right="320" w:firstLine="360"/>
        <w:spacing w:after="0" w:line="277" w:lineRule="auto"/>
        <w:rPr>
          <w:sz w:val="20"/>
          <w:szCs w:val="20"/>
          <w:color w:val="auto"/>
        </w:rPr>
      </w:pPr>
      <w:r>
        <w:rPr>
          <w:rFonts w:ascii="Arial" w:cs="Arial" w:eastAsia="Arial" w:hAnsi="Arial"/>
          <w:sz w:val="18"/>
          <w:szCs w:val="18"/>
          <w:color w:val="auto"/>
        </w:rPr>
        <w:t>The following table shows information regarding outstanding equity awards held by the NEOs as of December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ind w:left="88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incentive plan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Number of</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awards: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number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Underlying</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securities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Unexercised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Unexercised</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underlying</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Shares or</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of Shares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Options</w:t>
            </w: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unexercised</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Option</w:t>
            </w: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Units That</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Units of Stock</w:t>
            </w: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Exercisable</w:t>
            </w: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Unexercisable</w:t>
            </w:r>
          </w:p>
        </w:tc>
        <w:tc>
          <w:tcPr>
            <w:tcW w:w="11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5"/>
              </w:rPr>
              <w:t>unearned</w:t>
            </w:r>
          </w:p>
        </w:tc>
        <w:tc>
          <w:tcPr>
            <w:tcW w:w="66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Exercise</w:t>
            </w:r>
          </w:p>
        </w:tc>
        <w:tc>
          <w:tcPr>
            <w:tcW w:w="84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0"/>
              </w:rPr>
              <w:t>have Not</w:t>
            </w: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9"/>
              </w:rPr>
              <w:t>That Have</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2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Price</w:t>
            </w: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Vested</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jc w:val="center"/>
              <w:spacing w:after="0" w:line="243" w:lineRule="exact"/>
              <w:rPr>
                <w:sz w:val="20"/>
                <w:szCs w:val="20"/>
                <w:color w:val="auto"/>
              </w:rPr>
            </w:pPr>
            <w:r>
              <w:rPr>
                <w:rFonts w:ascii="Arial" w:cs="Arial" w:eastAsia="Arial" w:hAnsi="Arial"/>
                <w:sz w:val="13"/>
                <w:szCs w:val="13"/>
                <w:b w:val="1"/>
                <w:bCs w:val="1"/>
                <w:color w:val="auto"/>
                <w:w w:val="86"/>
              </w:rPr>
              <w:t>Not Vested</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277"/>
        </w:trPr>
        <w:tc>
          <w:tcPr>
            <w:tcW w:w="16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Jeffrey Hawkins</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7" w:lineRule="exact"/>
              <w:rPr>
                <w:sz w:val="20"/>
                <w:szCs w:val="20"/>
                <w:color w:val="auto"/>
              </w:rPr>
            </w:pPr>
            <w:r>
              <w:rPr>
                <w:rFonts w:ascii="Arial" w:cs="Arial" w:eastAsia="Arial" w:hAnsi="Arial"/>
                <w:sz w:val="15"/>
                <w:szCs w:val="15"/>
                <w:color w:val="auto"/>
                <w:w w:val="94"/>
              </w:rPr>
              <w:t>4,170,000</w:t>
            </w:r>
            <w:r>
              <w:rPr>
                <w:rFonts w:ascii="Arial" w:cs="Arial" w:eastAsia="Arial" w:hAnsi="Arial"/>
                <w:sz w:val="25"/>
                <w:szCs w:val="25"/>
                <w:color w:val="auto"/>
                <w:w w:val="94"/>
                <w:vertAlign w:val="superscript"/>
              </w:rPr>
              <w:t>(2)</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w w:val="96"/>
              </w:rPr>
              <w:t>1,390,000</w:t>
            </w:r>
            <w:r>
              <w:rPr>
                <w:rFonts w:ascii="Arial" w:cs="Arial" w:eastAsia="Arial" w:hAnsi="Arial"/>
                <w:sz w:val="25"/>
                <w:szCs w:val="25"/>
                <w:color w:val="auto"/>
                <w:w w:val="96"/>
                <w:vertAlign w:val="superscript"/>
              </w:rPr>
              <w:t>(3)</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w w:val="96"/>
              </w:rPr>
              <w:t>1,390,000</w:t>
            </w:r>
            <w:r>
              <w:rPr>
                <w:rFonts w:ascii="Arial" w:cs="Arial" w:eastAsia="Arial" w:hAnsi="Arial"/>
                <w:sz w:val="25"/>
                <w:szCs w:val="25"/>
                <w:color w:val="auto"/>
                <w:w w:val="96"/>
                <w:vertAlign w:val="superscript"/>
              </w:rPr>
              <w:t>(4)</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11/9/2032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Arial" w:cs="Arial" w:eastAsia="Arial" w:hAnsi="Arial"/>
                <w:sz w:val="15"/>
                <w:szCs w:val="15"/>
                <w:color w:val="auto"/>
              </w:rPr>
              <w:t>Jonathan M. Rothberg,</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3/12/2021</w:t>
            </w:r>
          </w:p>
        </w:tc>
        <w:tc>
          <w:tcPr>
            <w:tcW w:w="18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4"/>
                <w:szCs w:val="14"/>
                <w:color w:val="auto"/>
                <w:w w:val="91"/>
              </w:rPr>
              <w:t>1,500,000</w:t>
            </w:r>
            <w:r>
              <w:rPr>
                <w:rFonts w:ascii="Arial" w:cs="Arial" w:eastAsia="Arial" w:hAnsi="Arial"/>
                <w:sz w:val="23"/>
                <w:szCs w:val="23"/>
                <w:color w:val="auto"/>
                <w:w w:val="91"/>
                <w:vertAlign w:val="superscript"/>
              </w:rPr>
              <w:t>(6)</w:t>
            </w: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w w:val="98"/>
              </w:rPr>
              <w:t>$2,745,000</w:t>
            </w:r>
          </w:p>
        </w:tc>
        <w:tc>
          <w:tcPr>
            <w:tcW w:w="0" w:type="dxa"/>
            <w:vAlign w:val="bottom"/>
          </w:tcPr>
          <w:p>
            <w:pPr>
              <w:spacing w:after="0"/>
              <w:rPr>
                <w:sz w:val="1"/>
                <w:szCs w:val="1"/>
                <w:color w:val="auto"/>
              </w:rPr>
            </w:pPr>
          </w:p>
        </w:tc>
      </w:tr>
      <w:tr>
        <w:trPr>
          <w:trHeight w:val="194"/>
        </w:trPr>
        <w:tc>
          <w:tcPr>
            <w:tcW w:w="1640" w:type="dxa"/>
            <w:vAlign w:val="bottom"/>
            <w:gridSpan w:val="2"/>
          </w:tcPr>
          <w:p>
            <w:pPr>
              <w:ind w:left="160"/>
              <w:spacing w:after="0"/>
              <w:rPr>
                <w:sz w:val="20"/>
                <w:szCs w:val="20"/>
                <w:color w:val="auto"/>
              </w:rPr>
            </w:pPr>
            <w:r>
              <w:rPr>
                <w:rFonts w:ascii="Arial" w:cs="Arial" w:eastAsia="Arial" w:hAnsi="Arial"/>
                <w:sz w:val="15"/>
                <w:szCs w:val="15"/>
                <w:color w:val="auto"/>
              </w:rPr>
              <w:t>Ph.D.</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6/11/2021</w:t>
            </w:r>
          </w:p>
        </w:tc>
        <w:tc>
          <w:tcPr>
            <w:tcW w:w="180" w:type="dxa"/>
            <w:vAlign w:val="bottom"/>
          </w:tcPr>
          <w:p>
            <w:pPr>
              <w:spacing w:after="0"/>
              <w:rPr>
                <w:sz w:val="16"/>
                <w:szCs w:val="16"/>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13,675</w:t>
            </w:r>
            <w:r>
              <w:rPr>
                <w:rFonts w:ascii="Arial" w:cs="Arial" w:eastAsia="Arial" w:hAnsi="Arial"/>
                <w:sz w:val="25"/>
                <w:szCs w:val="25"/>
                <w:color w:val="auto"/>
                <w:vertAlign w:val="superscript"/>
              </w:rPr>
              <w:t>(7)</w:t>
            </w:r>
          </w:p>
        </w:tc>
        <w:tc>
          <w:tcPr>
            <w:tcW w:w="200" w:type="dxa"/>
            <w:vAlign w:val="bottom"/>
          </w:tcPr>
          <w:p>
            <w:pPr>
              <w:spacing w:after="0"/>
              <w:rPr>
                <w:sz w:val="16"/>
                <w:szCs w:val="16"/>
                <w:color w:val="auto"/>
              </w:rPr>
            </w:pPr>
          </w:p>
        </w:tc>
        <w:tc>
          <w:tcPr>
            <w:tcW w:w="320" w:type="dxa"/>
            <w:vAlign w:val="bottom"/>
            <w:vMerge w:val="restart"/>
          </w:tcPr>
          <w:p>
            <w:pPr>
              <w:jc w:val="right"/>
              <w:ind w:right="109"/>
              <w:spacing w:after="0"/>
              <w:rPr>
                <w:sz w:val="20"/>
                <w:szCs w:val="20"/>
                <w:color w:val="auto"/>
              </w:rPr>
            </w:pPr>
            <w:r>
              <w:rPr>
                <w:rFonts w:ascii="Arial" w:cs="Arial" w:eastAsia="Arial" w:hAnsi="Arial"/>
                <w:sz w:val="15"/>
                <w:szCs w:val="15"/>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w w:val="91"/>
              </w:rPr>
              <w:t>25,025</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5/11/2022</w:t>
            </w:r>
          </w:p>
        </w:tc>
        <w:tc>
          <w:tcPr>
            <w:tcW w:w="18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line="245" w:lineRule="exact"/>
              <w:rPr>
                <w:sz w:val="20"/>
                <w:szCs w:val="20"/>
                <w:color w:val="auto"/>
              </w:rPr>
            </w:pPr>
            <w:r>
              <w:rPr>
                <w:rFonts w:ascii="Arial" w:cs="Arial" w:eastAsia="Arial" w:hAnsi="Arial"/>
                <w:sz w:val="15"/>
                <w:szCs w:val="15"/>
                <w:color w:val="auto"/>
              </w:rPr>
              <w:t>59,880</w:t>
            </w:r>
            <w:r>
              <w:rPr>
                <w:rFonts w:ascii="Arial" w:cs="Arial" w:eastAsia="Arial" w:hAnsi="Arial"/>
                <w:sz w:val="25"/>
                <w:szCs w:val="25"/>
                <w:color w:val="auto"/>
                <w:vertAlign w:val="superscript"/>
              </w:rPr>
              <w:t>(5)</w:t>
            </w:r>
          </w:p>
        </w:tc>
        <w:tc>
          <w:tcPr>
            <w:tcW w:w="20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$3.06</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9"/>
              </w:rPr>
              <w:t>5/11/2032</w:t>
            </w:r>
          </w:p>
        </w:tc>
        <w:tc>
          <w:tcPr>
            <w:tcW w:w="200" w:type="dxa"/>
            <w:vAlign w:val="bottom"/>
          </w:tcPr>
          <w:p>
            <w:pPr>
              <w:spacing w:after="0"/>
              <w:rPr>
                <w:sz w:val="21"/>
                <w:szCs w:val="21"/>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64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99"/>
              </w:rPr>
              <w:t>Patrick Schneider, Ph.D.</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0" w:lineRule="exact"/>
              <w:rPr>
                <w:sz w:val="20"/>
                <w:szCs w:val="20"/>
                <w:color w:val="auto"/>
              </w:rPr>
            </w:pPr>
            <w:r>
              <w:rPr>
                <w:rFonts w:ascii="Arial" w:cs="Arial" w:eastAsia="Arial" w:hAnsi="Arial"/>
                <w:sz w:val="15"/>
                <w:szCs w:val="15"/>
                <w:color w:val="auto"/>
                <w:w w:val="94"/>
              </w:rPr>
              <w:t>1,000,000</w:t>
            </w:r>
            <w:r>
              <w:rPr>
                <w:rFonts w:ascii="Arial" w:cs="Arial" w:eastAsia="Arial" w:hAnsi="Arial"/>
                <w:sz w:val="25"/>
                <w:szCs w:val="25"/>
                <w:color w:val="auto"/>
                <w:w w:val="94"/>
                <w:vertAlign w:val="superscript"/>
              </w:rPr>
              <w:t>(8)</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7"/>
              <w:spacing w:after="0" w:line="270" w:lineRule="exact"/>
              <w:rPr>
                <w:sz w:val="20"/>
                <w:szCs w:val="20"/>
                <w:color w:val="auto"/>
              </w:rPr>
            </w:pPr>
            <w:r>
              <w:rPr>
                <w:rFonts w:ascii="Arial" w:cs="Arial" w:eastAsia="Arial" w:hAnsi="Arial"/>
                <w:sz w:val="15"/>
                <w:szCs w:val="15"/>
                <w:color w:val="auto"/>
              </w:rPr>
              <w:t>500,000</w:t>
            </w:r>
            <w:r>
              <w:rPr>
                <w:rFonts w:ascii="Arial" w:cs="Arial" w:eastAsia="Arial" w:hAnsi="Arial"/>
                <w:sz w:val="25"/>
                <w:szCs w:val="25"/>
                <w:color w:val="auto"/>
                <w:vertAlign w:val="superscript"/>
              </w:rPr>
              <w:t>(9)</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5/9/2022</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270" w:lineRule="exact"/>
              <w:rPr>
                <w:sz w:val="20"/>
                <w:szCs w:val="20"/>
                <w:color w:val="auto"/>
              </w:rPr>
            </w:pPr>
            <w:r>
              <w:rPr>
                <w:rFonts w:ascii="Arial" w:cs="Arial" w:eastAsia="Arial" w:hAnsi="Arial"/>
                <w:sz w:val="15"/>
                <w:szCs w:val="15"/>
                <w:color w:val="auto"/>
              </w:rPr>
              <w:t>500,000</w:t>
            </w:r>
            <w:r>
              <w:rPr>
                <w:rFonts w:ascii="Arial" w:cs="Arial" w:eastAsia="Arial" w:hAnsi="Arial"/>
                <w:sz w:val="25"/>
                <w:szCs w:val="25"/>
                <w:color w:val="auto"/>
                <w:vertAlign w:val="superscript"/>
              </w:rPr>
              <w:t>(10)</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$3.49</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5/9/2032</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1640" w:type="dxa"/>
            <w:vAlign w:val="bottom"/>
            <w:gridSpan w:val="2"/>
          </w:tcPr>
          <w:p>
            <w:pPr>
              <w:spacing w:after="0"/>
              <w:rPr>
                <w:sz w:val="20"/>
                <w:szCs w:val="20"/>
                <w:color w:val="auto"/>
              </w:rPr>
            </w:pPr>
            <w:r>
              <w:rPr>
                <w:rFonts w:ascii="Arial" w:cs="Arial" w:eastAsia="Arial" w:hAnsi="Arial"/>
                <w:sz w:val="15"/>
                <w:szCs w:val="15"/>
                <w:color w:val="auto"/>
              </w:rPr>
              <w:t>Michael P. McKenna,</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3/15/2022</w:t>
            </w:r>
          </w:p>
        </w:tc>
        <w:tc>
          <w:tcPr>
            <w:tcW w:w="900" w:type="dxa"/>
            <w:vAlign w:val="bottom"/>
            <w:gridSpan w:val="2"/>
          </w:tcPr>
          <w:p>
            <w:pPr>
              <w:jc w:val="right"/>
              <w:ind w:right="47"/>
              <w:spacing w:after="0"/>
              <w:rPr>
                <w:sz w:val="20"/>
                <w:szCs w:val="20"/>
                <w:color w:val="auto"/>
              </w:rPr>
            </w:pPr>
            <w:r>
              <w:rPr>
                <w:rFonts w:ascii="Arial" w:cs="Arial" w:eastAsia="Arial" w:hAnsi="Arial"/>
                <w:sz w:val="15"/>
                <w:szCs w:val="15"/>
                <w:color w:val="auto"/>
              </w:rPr>
              <w:t>104,167</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4"/>
                <w:szCs w:val="14"/>
                <w:color w:val="auto"/>
              </w:rPr>
              <w:t>395,833</w:t>
            </w:r>
            <w:r>
              <w:rPr>
                <w:rFonts w:ascii="Arial" w:cs="Arial" w:eastAsia="Arial" w:hAnsi="Arial"/>
                <w:sz w:val="23"/>
                <w:szCs w:val="23"/>
                <w:color w:val="auto"/>
                <w:vertAlign w:val="superscript"/>
              </w:rPr>
              <w:t>(11)</w:t>
            </w:r>
          </w:p>
        </w:tc>
        <w:tc>
          <w:tcPr>
            <w:tcW w:w="2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tcPr>
          <w:p>
            <w:pPr>
              <w:jc w:val="right"/>
              <w:ind w:right="5"/>
              <w:spacing w:after="0"/>
              <w:rPr>
                <w:sz w:val="20"/>
                <w:szCs w:val="20"/>
                <w:color w:val="auto"/>
              </w:rPr>
            </w:pPr>
            <w:r>
              <w:rPr>
                <w:rFonts w:ascii="Arial" w:cs="Arial" w:eastAsia="Arial" w:hAnsi="Arial"/>
                <w:sz w:val="15"/>
                <w:szCs w:val="15"/>
                <w:color w:val="auto"/>
              </w:rPr>
              <w:t>$3.86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w w:val="89"/>
              </w:rPr>
              <w:t>3/15/2032</w:t>
            </w:r>
          </w:p>
        </w:tc>
        <w:tc>
          <w:tcPr>
            <w:tcW w:w="2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640" w:type="dxa"/>
            <w:vAlign w:val="bottom"/>
            <w:gridSpan w:val="2"/>
          </w:tcPr>
          <w:p>
            <w:pPr>
              <w:ind w:left="160"/>
              <w:spacing w:after="0"/>
              <w:rPr>
                <w:sz w:val="20"/>
                <w:szCs w:val="20"/>
                <w:color w:val="auto"/>
              </w:rPr>
            </w:pPr>
            <w:r>
              <w:rPr>
                <w:rFonts w:ascii="Arial" w:cs="Arial" w:eastAsia="Arial" w:hAnsi="Arial"/>
                <w:sz w:val="15"/>
                <w:szCs w:val="15"/>
                <w:color w:val="auto"/>
              </w:rPr>
              <w:t>Ph.D.</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8/31/2021</w:t>
            </w:r>
          </w:p>
        </w:tc>
        <w:tc>
          <w:tcPr>
            <w:tcW w:w="900" w:type="dxa"/>
            <w:vAlign w:val="bottom"/>
            <w:gridSpan w:val="2"/>
            <w:vMerge w:val="restart"/>
          </w:tcPr>
          <w:p>
            <w:pPr>
              <w:jc w:val="right"/>
              <w:ind w:right="47"/>
              <w:spacing w:after="0"/>
              <w:rPr>
                <w:sz w:val="20"/>
                <w:szCs w:val="20"/>
                <w:color w:val="auto"/>
              </w:rPr>
            </w:pPr>
            <w:r>
              <w:rPr>
                <w:rFonts w:ascii="Arial" w:cs="Arial" w:eastAsia="Arial" w:hAnsi="Arial"/>
                <w:sz w:val="15"/>
                <w:szCs w:val="15"/>
                <w:color w:val="auto"/>
              </w:rPr>
              <w:t>35,415</w:t>
            </w:r>
          </w:p>
        </w:tc>
        <w:tc>
          <w:tcPr>
            <w:tcW w:w="2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64,585</w:t>
            </w:r>
            <w:r>
              <w:rPr>
                <w:rFonts w:ascii="Arial" w:cs="Arial" w:eastAsia="Arial" w:hAnsi="Arial"/>
                <w:sz w:val="25"/>
                <w:szCs w:val="25"/>
                <w:color w:val="auto"/>
                <w:vertAlign w:val="superscript"/>
              </w:rPr>
              <w:t>(12)</w:t>
            </w:r>
          </w:p>
        </w:tc>
        <w:tc>
          <w:tcPr>
            <w:tcW w:w="200" w:type="dxa"/>
            <w:vAlign w:val="bottom"/>
          </w:tcPr>
          <w:p>
            <w:pPr>
              <w:spacing w:after="0"/>
              <w:rPr>
                <w:sz w:val="16"/>
                <w:szCs w:val="16"/>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5"/>
                <w:szCs w:val="15"/>
                <w:color w:val="auto"/>
              </w:rPr>
              <w:t>—</w:t>
            </w:r>
          </w:p>
        </w:tc>
        <w:tc>
          <w:tcPr>
            <w:tcW w:w="480" w:type="dxa"/>
            <w:vAlign w:val="bottom"/>
            <w:vMerge w:val="restart"/>
          </w:tcPr>
          <w:p>
            <w:pPr>
              <w:jc w:val="right"/>
              <w:ind w:right="5"/>
              <w:spacing w:after="0"/>
              <w:rPr>
                <w:sz w:val="20"/>
                <w:szCs w:val="20"/>
                <w:color w:val="auto"/>
              </w:rPr>
            </w:pPr>
            <w:r>
              <w:rPr>
                <w:rFonts w:ascii="Arial" w:cs="Arial" w:eastAsia="Arial" w:hAnsi="Arial"/>
                <w:sz w:val="15"/>
                <w:szCs w:val="15"/>
                <w:color w:val="auto"/>
              </w:rPr>
              <w:t>$9.72</w:t>
            </w: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w w:val="89"/>
              </w:rPr>
              <w:t>8/31/2031</w:t>
            </w:r>
          </w:p>
        </w:tc>
        <w:tc>
          <w:tcPr>
            <w:tcW w:w="200" w:type="dxa"/>
            <w:vAlign w:val="bottom"/>
          </w:tcPr>
          <w:p>
            <w:pPr>
              <w:spacing w:after="0"/>
              <w:rPr>
                <w:sz w:val="16"/>
                <w:szCs w:val="16"/>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50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3/12/2021</w:t>
            </w:r>
          </w:p>
        </w:tc>
        <w:tc>
          <w:tcPr>
            <w:tcW w:w="1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44,856</w:t>
            </w:r>
            <w:r>
              <w:rPr>
                <w:rFonts w:ascii="Arial" w:cs="Arial" w:eastAsia="Arial" w:hAnsi="Arial"/>
                <w:sz w:val="25"/>
                <w:szCs w:val="25"/>
                <w:color w:val="auto"/>
                <w:vertAlign w:val="superscript"/>
              </w:rPr>
              <w:t>(13)</w:t>
            </w:r>
          </w:p>
        </w:tc>
        <w:tc>
          <w:tcPr>
            <w:tcW w:w="200" w:type="dxa"/>
            <w:vAlign w:val="bottom"/>
          </w:tcPr>
          <w:p>
            <w:pPr>
              <w:spacing w:after="0"/>
              <w:rPr>
                <w:sz w:val="24"/>
                <w:szCs w:val="24"/>
                <w:color w:val="auto"/>
              </w:rPr>
            </w:pPr>
          </w:p>
        </w:tc>
        <w:tc>
          <w:tcPr>
            <w:tcW w:w="32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w w:val="91"/>
              </w:rPr>
              <w:t>82,086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-2129155</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-2129155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-2129155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-2129155</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-2129155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-2129155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-2129155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-2129155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822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3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market value of the stock awards is based on the closing price of our Class A common stock of $1.83 per share on December 30, 2022.</w:t>
      </w:r>
    </w:p>
    <w:p>
      <w:pPr>
        <w:spacing w:after="0" w:line="4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shares underlying this option vest, subject to continued service, 20% on December 31, 2023 and then equal monthly installments beginning on January 31, 2024.</w:t>
      </w:r>
    </w:p>
    <w:p>
      <w:pPr>
        <w:spacing w:after="0" w:line="11"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vesting of the award shall vest, subject to continued service, in full if within 1.5 years of Mr. Hawkins’ start date the Class A common stock closing price is at least $10.00 for 20 out of 30 consecutive trading days.</w:t>
      </w:r>
    </w:p>
    <w:p>
      <w:pPr>
        <w:spacing w:after="0" w:line="20"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our Class A common stock granted on November 9, 2022. The vesting of the award shall vest, subject to continued service, in full if within 3.5 years of Mr. Hawkins’ start date the Class A common stock closing price is at least $20.00 for 20 out of 30 consecutive trading days</w:t>
      </w:r>
    </w:p>
    <w:p>
      <w:pPr>
        <w:spacing w:after="0" w:line="20" w:lineRule="exact"/>
        <w:rPr>
          <w:rFonts w:ascii="Arial" w:cs="Arial" w:eastAsia="Arial" w:hAnsi="Arial"/>
          <w:sz w:val="14"/>
          <w:szCs w:val="14"/>
          <w:color w:val="auto"/>
        </w:rPr>
      </w:pPr>
    </w:p>
    <w:p>
      <w:pPr>
        <w:ind w:left="360" w:right="2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11, 2022. The shares underlying this option vest, subject to continued service on the Board of Directors, on May 11, 2023.</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grant of RSUs on March 12, 2021. The RSUs vested on March 12, 2023.</w:t>
      </w:r>
    </w:p>
    <w:p>
      <w:pPr>
        <w:spacing w:after="0" w:line="4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grant of RSUs on June 11, 2021. The RSUs vest in three equal annual installments beginning June 11, 2022, subject to continued service.</w:t>
      </w:r>
    </w:p>
    <w:p>
      <w:pPr>
        <w:spacing w:after="0" w:line="11" w:lineRule="exact"/>
        <w:rPr>
          <w:rFonts w:ascii="Arial" w:cs="Arial" w:eastAsia="Arial" w:hAnsi="Arial"/>
          <w:sz w:val="14"/>
          <w:szCs w:val="14"/>
          <w:color w:val="auto"/>
        </w:rPr>
      </w:pPr>
    </w:p>
    <w:p>
      <w:pPr>
        <w:ind w:left="360" w:right="2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shares underlying this option vest, subject to continued service, 25% on June 30, 2023 and then equal monthly installments beginning on July 31, 2023.</w:t>
      </w:r>
    </w:p>
    <w:p>
      <w:pPr>
        <w:spacing w:after="0" w:line="11"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vesting of the award shall vest, subject to continued service, in full if within 2 years of Dr. Schneider’s start date the Class A common stock closing price is at least $10.00 for 20 out of 30 consecutive trading days.</w:t>
      </w:r>
    </w:p>
    <w:p>
      <w:pPr>
        <w:spacing w:after="0" w:line="20" w:lineRule="exact"/>
        <w:rPr>
          <w:rFonts w:ascii="Arial" w:cs="Arial" w:eastAsia="Arial" w:hAnsi="Arial"/>
          <w:sz w:val="14"/>
          <w:szCs w:val="14"/>
          <w:color w:val="auto"/>
        </w:rPr>
      </w:pPr>
    </w:p>
    <w:p>
      <w:pPr>
        <w:jc w:val="both"/>
        <w:ind w:left="360" w:hanging="352"/>
        <w:spacing w:after="0" w:line="238"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May 9, 2022. The vesting of the award shall vest, subject to continued service, in full if within 4 years of Dr. Schneider’s start date the Class A common stock closing price is at least $20.00 for 20 out of 30 consecutive trading days.</w:t>
      </w:r>
    </w:p>
    <w:p>
      <w:pPr>
        <w:spacing w:after="0" w:line="20"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March 15, 2022. The shares underlying this option vest, subject to continued service, in 48 equal monthly installments beginning March 31, 2022.</w:t>
      </w:r>
    </w:p>
    <w:p>
      <w:pPr>
        <w:spacing w:after="0" w:line="1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option to purchase shares of our Class A common stock granted on August 31, 2021. The shares underlying this option vest, subject to continued service, in 48 equal monthly installments beginning August 31, 2021.</w:t>
      </w:r>
    </w:p>
    <w:p>
      <w:pPr>
        <w:spacing w:after="0" w:line="11"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an RSU grant on March 12, 2021. The units underlying this vest, subject to continued service, 25% on March 12, 2022 and in equal quarterly installments beginning June 12,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NEOs participate in employee benefit programs available to our employees generally, including medical and dental insurance, a relocation program, and a tax-qualified 401(k) plan.</w:t>
      </w:r>
    </w:p>
    <w:p>
      <w:pPr>
        <w:spacing w:after="0" w:line="261" w:lineRule="exact"/>
        <w:rPr>
          <w:sz w:val="20"/>
          <w:szCs w:val="20"/>
          <w:color w:val="auto"/>
        </w:rPr>
      </w:pPr>
    </w:p>
    <w:p>
      <w:pPr>
        <w:ind w:right="4420"/>
        <w:spacing w:after="0" w:line="393" w:lineRule="auto"/>
        <w:rPr>
          <w:sz w:val="20"/>
          <w:szCs w:val="20"/>
          <w:color w:val="auto"/>
        </w:rPr>
      </w:pPr>
      <w:r>
        <w:rPr>
          <w:rFonts w:ascii="Arial" w:cs="Arial" w:eastAsia="Arial" w:hAnsi="Arial"/>
          <w:sz w:val="18"/>
          <w:szCs w:val="18"/>
          <w:b w:val="1"/>
          <w:bCs w:val="1"/>
          <w:color w:val="auto"/>
        </w:rPr>
        <w:t xml:space="preserve">Potential Payments upon Termination or Change-In-Control </w:t>
      </w:r>
      <w:r>
        <w:rPr>
          <w:rFonts w:ascii="Arial" w:cs="Arial" w:eastAsia="Arial" w:hAnsi="Arial"/>
          <w:sz w:val="18"/>
          <w:szCs w:val="18"/>
          <w:b w:val="1"/>
          <w:bCs w:val="1"/>
          <w:i w:val="1"/>
          <w:iCs w:val="1"/>
          <w:color w:val="auto"/>
        </w:rPr>
        <w:t>Severance Plan</w:t>
      </w:r>
    </w:p>
    <w:p>
      <w:pPr>
        <w:spacing w:after="0" w:line="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On June 29, 2021, the compensation committee adopted the Quantum-Si Incorporated Executive Severance Plan (the “Severance Plan”). Eligible participants in the Severance Plan include our Chief Executive Officer and our other executive officers, including the NEOs.</w:t>
      </w:r>
    </w:p>
    <w:p>
      <w:pPr>
        <w:spacing w:after="0" w:line="7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Under the Severance Plan, if we terminate a participant’s employment without cause (as defined in the Severance Plan) at any time other than during the twelve month period following a Change in Control (as such term is defined below) (the “Change in Control Period”) then the participant is eligible to receive the following benefits:</w:t>
      </w:r>
    </w:p>
    <w:p>
      <w:pPr>
        <w:spacing w:after="0" w:line="57" w:lineRule="exact"/>
        <w:rPr>
          <w:sz w:val="20"/>
          <w:szCs w:val="20"/>
          <w:color w:val="auto"/>
        </w:rPr>
      </w:pPr>
    </w:p>
    <w:p>
      <w:pPr>
        <w:jc w:val="both"/>
        <w:ind w:left="720" w:right="20" w:hanging="352"/>
        <w:spacing w:after="0" w:line="31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Severance payable in the form of salary continuation or a lump sum payment. The severance amount is equal to participant’s then-current base salary times a multiplier determined based on the participant’s title or role with us. The multiplier for our Chief Executive Officer is 1.0 and the multiplier for our other executive officers is 0.75.</w:t>
      </w:r>
    </w:p>
    <w:p>
      <w:pPr>
        <w:spacing w:after="0" w:line="40" w:lineRule="exact"/>
        <w:rPr>
          <w:rFonts w:ascii="Arial" w:cs="Arial" w:eastAsia="Arial" w:hAnsi="Arial"/>
          <w:sz w:val="16"/>
          <w:szCs w:val="16"/>
          <w:color w:val="auto"/>
        </w:rPr>
      </w:pPr>
    </w:p>
    <w:p>
      <w:pPr>
        <w:jc w:val="both"/>
        <w:ind w:left="720" w:right="20" w:hanging="352"/>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portion of any outstanding unvested equity award that would vest on an annual cliff vesting date in accordance with the terms of the award during the three months following the participant’s termination date will vest as of the date the termination of such participant’s employment becomes effective.</w:t>
      </w:r>
    </w:p>
    <w:p>
      <w:pPr>
        <w:spacing w:after="0" w:line="75" w:lineRule="exact"/>
        <w:rPr>
          <w:rFonts w:ascii="Arial" w:cs="Arial" w:eastAsia="Arial" w:hAnsi="Arial"/>
          <w:sz w:val="18"/>
          <w:szCs w:val="18"/>
          <w:color w:val="auto"/>
        </w:rPr>
      </w:pPr>
    </w:p>
    <w:p>
      <w:pPr>
        <w:ind w:left="720" w:hanging="352"/>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pay for company contribution for continuation coverage under the Consolidated Omnibus Budget Reconciliation Act of 1985, as amended (“COBRA”) during the severance period.</w:t>
      </w:r>
    </w:p>
    <w:p>
      <w:pPr>
        <w:spacing w:after="0" w:line="62" w:lineRule="exact"/>
        <w:rPr>
          <w:sz w:val="20"/>
          <w:szCs w:val="20"/>
          <w:color w:val="auto"/>
        </w:rPr>
      </w:pPr>
    </w:p>
    <w:p>
      <w:pPr>
        <w:ind w:right="20" w:firstLine="360"/>
        <w:spacing w:after="0" w:line="308" w:lineRule="auto"/>
        <w:rPr>
          <w:sz w:val="20"/>
          <w:szCs w:val="20"/>
          <w:color w:val="auto"/>
        </w:rPr>
      </w:pPr>
      <w:r>
        <w:rPr>
          <w:rFonts w:ascii="Arial" w:cs="Arial" w:eastAsia="Arial" w:hAnsi="Arial"/>
          <w:sz w:val="17"/>
          <w:szCs w:val="17"/>
          <w:color w:val="auto"/>
        </w:rPr>
        <w:t>Under the Severance Plan, if we terminate a participant’s employment without cause or participant resigns for good reason, during the Change in Control Period, then the participant is eligible to receive the following benefits:</w:t>
      </w:r>
    </w:p>
    <w:p>
      <w:pPr>
        <w:spacing w:after="0" w:line="38" w:lineRule="exact"/>
        <w:rPr>
          <w:sz w:val="20"/>
          <w:szCs w:val="20"/>
          <w:color w:val="auto"/>
        </w:rPr>
      </w:pPr>
    </w:p>
    <w:p>
      <w:pPr>
        <w:jc w:val="both"/>
        <w:ind w:left="720" w:hanging="352"/>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payable in a single lump sum. The severance amount is equal to participant’s then-current base salary and then-current target annual bonus opportunity, times a change in control multiplier determined based on the participant’s title or role with us. The multiplier for our Chief Executive Officer is 1.5 and the multiplier for our other executive officers is 1.0.</w:t>
      </w:r>
    </w:p>
    <w:p>
      <w:pPr>
        <w:spacing w:after="0" w:line="78" w:lineRule="exact"/>
        <w:rPr>
          <w:rFonts w:ascii="Arial" w:cs="Arial" w:eastAsia="Arial" w:hAnsi="Arial"/>
          <w:sz w:val="18"/>
          <w:szCs w:val="18"/>
          <w:color w:val="auto"/>
        </w:rPr>
      </w:pPr>
    </w:p>
    <w:p>
      <w:pPr>
        <w:jc w:val="both"/>
        <w:ind w:left="720" w:hanging="352"/>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outstanding unvested equity awards held by the participant under any then-current outstanding equity incentive plan(s) will become fully vested as of the date the termination of such participant’s employment becomes effective.</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will pay for company contribution for continuation coverage under COBRA during the severance period.</w:t>
      </w:r>
    </w:p>
    <w:p>
      <w:pPr>
        <w:spacing w:after="0" w:line="128" w:lineRule="exact"/>
        <w:rPr>
          <w:rFonts w:ascii="Arial" w:cs="Arial" w:eastAsia="Arial" w:hAnsi="Arial"/>
          <w:sz w:val="17"/>
          <w:szCs w:val="17"/>
          <w:color w:val="auto"/>
        </w:rPr>
      </w:pPr>
    </w:p>
    <w:p>
      <w:pPr>
        <w:ind w:left="720" w:right="20" w:hanging="352"/>
        <w:spacing w:after="0" w:line="342"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participant’s rights to any severance benefits under the Severance Plan are conditioned upon the participant executing and not revoking a valid separation and general release of claims agreement in a form provided by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term Change in Control under the Severance Plan means the occurrence of any of the following events:</w:t>
      </w:r>
    </w:p>
    <w:p>
      <w:pPr>
        <w:spacing w:after="0" w:line="117" w:lineRule="exact"/>
        <w:rPr>
          <w:sz w:val="20"/>
          <w:szCs w:val="20"/>
          <w:color w:val="auto"/>
        </w:rPr>
      </w:pPr>
    </w:p>
    <w:p>
      <w:pPr>
        <w:jc w:val="both"/>
        <w:ind w:left="720" w:right="20" w:hanging="352"/>
        <w:spacing w:after="0" w:line="25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or group of persons (other than the Company or its affiliates) becomes the owner, directly or indirectly, of securities of the Company representing more than 50% of the combined voting power of the Company’s then outstanding voting securities (the “Outstanding Company Voting Securities”) (but excluding any bona fide financing event in which securities are acquired directly from the Company); or</w:t>
      </w:r>
    </w:p>
    <w:p>
      <w:pPr>
        <w:spacing w:after="0" w:line="78" w:lineRule="exact"/>
        <w:rPr>
          <w:rFonts w:ascii="Arial" w:cs="Arial" w:eastAsia="Arial" w:hAnsi="Arial"/>
          <w:sz w:val="18"/>
          <w:szCs w:val="18"/>
          <w:color w:val="auto"/>
        </w:rPr>
      </w:pPr>
    </w:p>
    <w:p>
      <w:pPr>
        <w:jc w:val="both"/>
        <w:ind w:left="720" w:right="20" w:hanging="352"/>
        <w:spacing w:after="0" w:line="296"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(i) that results in the Outstanding Company Voting Securities immediately prior thereto continuing to represent (either by remaining outstanding or by being converted into voting securities of the surviving entity) at least 50% of the combined voting power of the Outstanding Company Voting Securities (or such surviving entity or, if the Company or the entity surviving such merger is then a subsidiary, the ultimate parent thereof) outstanding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immediately after such merger or consolidation, or (ii) immediately following which the individuals who comprise the board of directors immediately prior thereto constitute at least a majority of the board of directors of the entity surviving such merger or consolidation or, if the Company or the entity surviving such merger is then a subsidiary, the ultimate parent thereof; or</w:t>
      </w:r>
    </w:p>
    <w:p>
      <w:pPr>
        <w:spacing w:after="0" w:line="79" w:lineRule="exact"/>
        <w:rPr>
          <w:sz w:val="20"/>
          <w:szCs w:val="20"/>
          <w:color w:val="auto"/>
        </w:rPr>
      </w:pPr>
    </w:p>
    <w:p>
      <w:pPr>
        <w:jc w:val="both"/>
        <w:ind w:left="720" w:hanging="352"/>
        <w:spacing w:after="0" w:line="271"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of directors immediately prior thereto constitute at least a majority of the board of directors of the entity to which such assets are sold or disposed or, if such entity is a subsidiary, the ultimate parent thereof;</w:t>
      </w:r>
    </w:p>
    <w:p>
      <w:pPr>
        <w:spacing w:after="0" w:line="70" w:lineRule="exact"/>
        <w:rPr>
          <w:rFonts w:ascii="Arial" w:cs="Arial" w:eastAsia="Arial" w:hAnsi="Arial"/>
          <w:sz w:val="17"/>
          <w:szCs w:val="17"/>
          <w:color w:val="auto"/>
        </w:rPr>
      </w:pPr>
    </w:p>
    <w:p>
      <w:pPr>
        <w:jc w:val="both"/>
        <w:ind w:left="720" w:hanging="352"/>
        <w:spacing w:after="0" w:line="272"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provided that with respect to Sections (i), (ii) and (iii) above, a transaction or series of integrated transactions will not be deemed a Change in Control (A) unless the transaction qualifies as a change in control within the meaning of Section 409A of the Internal Revenue Code of 1986, as amended, or (B) if following the conclusion of the transaction or series of integrated transactions, the holders of the Company’s Class B common stock immediately prior to such transaction or series of transactions continue to have substantially the same proportionate voting power in an entity which owns all or substantially all of the assets of the Company immediately following such transaction or series of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HighCape</w:t>
      </w:r>
    </w:p>
    <w:p>
      <w:pPr>
        <w:spacing w:after="0" w:line="11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Prior to the Business Combination, none of the executive officers or directors of HighCape received any cash compensation for services rendered to HighCape. HighCape agreed to pay an affiliate of HighCape Capital Acquisition LLC (the “Sponsor”) a total of $10,000 per month, for up to 24 months, for office space, utilities, administrative and support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2022 to each of our non-employee directors. Directors who are employed by us are not compensated for their service on our board of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Fees Earned or</w:t>
            </w:r>
          </w:p>
        </w:tc>
        <w:tc>
          <w:tcPr>
            <w:tcW w:w="12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Option</w:t>
            </w: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vMerge w:val="restart"/>
          </w:tcPr>
          <w:p>
            <w:pPr>
              <w:spacing w:after="0"/>
              <w:rPr>
                <w:sz w:val="12"/>
                <w:szCs w:val="12"/>
                <w:color w:val="auto"/>
              </w:rPr>
            </w:pPr>
          </w:p>
        </w:tc>
        <w:tc>
          <w:tcPr>
            <w:tcW w:w="138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5"/>
              </w:rPr>
              <w:t>Paid in Cash</w:t>
            </w:r>
          </w:p>
        </w:tc>
        <w:tc>
          <w:tcPr>
            <w:tcW w:w="112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04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216"/>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14"/>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17"/>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4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8"/>
        </w:trPr>
        <w:tc>
          <w:tcPr>
            <w:tcW w:w="3480" w:type="dxa"/>
            <w:vAlign w:val="bottom"/>
            <w:gridSpan w:val="2"/>
            <w:shd w:val="clear" w:color="auto" w:fill="CCEEFF"/>
          </w:tcPr>
          <w:p>
            <w:pPr>
              <w:spacing w:after="0" w:line="317" w:lineRule="exact"/>
              <w:rPr>
                <w:sz w:val="20"/>
                <w:szCs w:val="20"/>
                <w:color w:val="auto"/>
              </w:rPr>
            </w:pPr>
            <w:r>
              <w:rPr>
                <w:rFonts w:ascii="Arial" w:cs="Arial" w:eastAsia="Arial" w:hAnsi="Arial"/>
                <w:sz w:val="18"/>
                <w:szCs w:val="18"/>
                <w:color w:val="auto"/>
              </w:rPr>
              <w:t>Jonathan M. Rothberg, Ph.D.</w:t>
            </w:r>
            <w:r>
              <w:rPr>
                <w:rFonts w:ascii="Arial" w:cs="Arial" w:eastAsia="Arial" w:hAnsi="Arial"/>
                <w:sz w:val="29"/>
                <w:szCs w:val="29"/>
                <w:color w:val="auto"/>
                <w:vertAlign w:val="superscript"/>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line="296" w:lineRule="exact"/>
              <w:rPr>
                <w:sz w:val="20"/>
                <w:szCs w:val="20"/>
                <w:color w:val="auto"/>
              </w:rPr>
            </w:pPr>
            <w:r>
              <w:rPr>
                <w:rFonts w:ascii="Arial" w:cs="Arial" w:eastAsia="Arial" w:hAnsi="Arial"/>
                <w:sz w:val="18"/>
                <w:szCs w:val="18"/>
                <w:color w:val="auto"/>
              </w:rPr>
              <w:t>Vikram Bajaj, Ph.D.</w:t>
            </w:r>
            <w:r>
              <w:rPr>
                <w:rFonts w:ascii="Arial" w:cs="Arial" w:eastAsia="Arial" w:hAnsi="Arial"/>
                <w:sz w:val="29"/>
                <w:szCs w:val="29"/>
                <w:color w:val="auto"/>
                <w:vertAlign w:val="superscript"/>
              </w:rPr>
              <w:t>(4)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$199,998</w:t>
            </w:r>
          </w:p>
        </w:tc>
        <w:tc>
          <w:tcPr>
            <w:tcW w:w="4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$199,998</w:t>
            </w: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$67,500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$167,500</w:t>
            </w:r>
          </w:p>
        </w:tc>
        <w:tc>
          <w:tcPr>
            <w:tcW w:w="0" w:type="dxa"/>
            <w:vAlign w:val="bottom"/>
          </w:tcPr>
          <w:p>
            <w:pPr>
              <w:spacing w:after="0"/>
              <w:rPr>
                <w:sz w:val="1"/>
                <w:szCs w:val="1"/>
                <w:color w:val="auto"/>
              </w:rPr>
            </w:pPr>
          </w:p>
        </w:tc>
      </w:tr>
      <w:tr>
        <w:trPr>
          <w:trHeight w:val="257"/>
        </w:trPr>
        <w:tc>
          <w:tcPr>
            <w:tcW w:w="348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$100,000</w:t>
            </w:r>
          </w:p>
        </w:tc>
        <w:tc>
          <w:tcPr>
            <w:tcW w:w="440" w:type="dxa"/>
            <w:vAlign w:val="bottom"/>
          </w:tcPr>
          <w:p>
            <w:pPr>
              <w:spacing w:after="0"/>
              <w:rPr>
                <w:sz w:val="22"/>
                <w:szCs w:val="22"/>
                <w:color w:val="auto"/>
              </w:rPr>
            </w:pP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$175,000</w:t>
            </w: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$70,000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$170,000</w:t>
            </w:r>
          </w:p>
        </w:tc>
        <w:tc>
          <w:tcPr>
            <w:tcW w:w="0" w:type="dxa"/>
            <w:vAlign w:val="bottom"/>
          </w:tcPr>
          <w:p>
            <w:pPr>
              <w:spacing w:after="0"/>
              <w:rPr>
                <w:sz w:val="1"/>
                <w:szCs w:val="1"/>
                <w:color w:val="auto"/>
              </w:rPr>
            </w:pPr>
          </w:p>
        </w:tc>
      </w:tr>
      <w:tr>
        <w:trPr>
          <w:trHeight w:val="297"/>
        </w:trPr>
        <w:tc>
          <w:tcPr>
            <w:tcW w:w="3480" w:type="dxa"/>
            <w:vAlign w:val="bottom"/>
            <w:gridSpan w:val="2"/>
          </w:tcPr>
          <w:p>
            <w:pPr>
              <w:spacing w:after="0" w:line="296" w:lineRule="exact"/>
              <w:rPr>
                <w:sz w:val="20"/>
                <w:szCs w:val="20"/>
                <w:color w:val="auto"/>
              </w:rPr>
            </w:pPr>
            <w:r>
              <w:rPr>
                <w:rFonts w:ascii="Arial" w:cs="Arial" w:eastAsia="Arial" w:hAnsi="Arial"/>
                <w:sz w:val="18"/>
                <w:szCs w:val="18"/>
                <w:color w:val="auto"/>
              </w:rPr>
              <w:t>Michael Mina, M.D., Ph.D.</w:t>
            </w:r>
            <w:r>
              <w:rPr>
                <w:rFonts w:ascii="Arial" w:cs="Arial" w:eastAsia="Arial" w:hAnsi="Arial"/>
                <w:sz w:val="29"/>
                <w:szCs w:val="29"/>
                <w:color w:val="auto"/>
                <w:vertAlign w:val="superscript"/>
              </w:rPr>
              <w:t>(5)</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20"/>
                <w:szCs w:val="20"/>
                <w:color w:val="auto"/>
              </w:rPr>
            </w:pPr>
            <w:r>
              <w:rPr>
                <w:rFonts w:ascii="Arial" w:cs="Arial" w:eastAsia="Arial" w:hAnsi="Arial"/>
                <w:sz w:val="18"/>
                <w:szCs w:val="18"/>
                <w:color w:val="auto"/>
                <w:w w:val="85"/>
              </w:rPr>
              <w:t>$117,023</w:t>
            </w:r>
          </w:p>
        </w:tc>
        <w:tc>
          <w:tcPr>
            <w:tcW w:w="440" w:type="dxa"/>
            <w:vAlign w:val="bottom"/>
          </w:tcPr>
          <w:p>
            <w:pPr>
              <w:spacing w:after="0"/>
              <w:rPr>
                <w:sz w:val="24"/>
                <w:szCs w:val="24"/>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$16,000</w:t>
            </w:r>
          </w:p>
        </w:tc>
        <w:tc>
          <w:tcPr>
            <w:tcW w:w="4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$183,023</w:t>
            </w:r>
          </w:p>
        </w:tc>
        <w:tc>
          <w:tcPr>
            <w:tcW w:w="0" w:type="dxa"/>
            <w:vAlign w:val="bottom"/>
          </w:tcPr>
          <w:p>
            <w:pPr>
              <w:spacing w:after="0"/>
              <w:rPr>
                <w:sz w:val="1"/>
                <w:szCs w:val="1"/>
                <w:color w:val="auto"/>
              </w:rPr>
            </w:pPr>
          </w:p>
        </w:tc>
      </w:tr>
      <w:tr>
        <w:trPr>
          <w:trHeight w:val="277"/>
        </w:trPr>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9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$55,000</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5"/>
              </w:rPr>
              <w:t>$100,000</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7"/>
              </w:rPr>
              <w:t>$155,000</w:t>
            </w:r>
          </w:p>
        </w:tc>
        <w:tc>
          <w:tcPr>
            <w:tcW w:w="0" w:type="dxa"/>
            <w:vAlign w:val="bottom"/>
          </w:tcPr>
          <w:p>
            <w:pPr>
              <w:spacing w:after="0"/>
              <w:rPr>
                <w:sz w:val="1"/>
                <w:szCs w:val="1"/>
                <w:color w:val="auto"/>
              </w:rPr>
            </w:pPr>
          </w:p>
        </w:tc>
      </w:tr>
      <w:tr>
        <w:trPr>
          <w:trHeight w:val="406"/>
        </w:trPr>
        <w:tc>
          <w:tcPr>
            <w:tcW w:w="3480" w:type="dxa"/>
            <w:vAlign w:val="bottom"/>
            <w:gridSpan w:val="2"/>
          </w:tcPr>
          <w:p>
            <w:pPr>
              <w:spacing w:after="0"/>
              <w:rPr>
                <w:sz w:val="20"/>
                <w:szCs w:val="20"/>
                <w:color w:val="auto"/>
              </w:rPr>
            </w:pPr>
            <w:r>
              <w:rPr>
                <w:rFonts w:ascii="Arial" w:cs="Arial" w:eastAsia="Arial" w:hAnsi="Arial"/>
                <w:sz w:val="18"/>
                <w:szCs w:val="18"/>
                <w:color w:val="auto"/>
              </w:rPr>
              <w:t>James Tananbaum, M.D.</w:t>
            </w:r>
            <w:r>
              <w:rPr>
                <w:rFonts w:ascii="Arial" w:cs="Arial" w:eastAsia="Arial" w:hAnsi="Arial"/>
                <w:sz w:val="29"/>
                <w:szCs w:val="29"/>
                <w:color w:val="auto"/>
                <w:vertAlign w:val="superscript"/>
              </w:rPr>
              <w:t>(6)</w:t>
            </w:r>
          </w:p>
        </w:tc>
        <w:tc>
          <w:tcPr>
            <w:tcW w:w="960" w:type="dxa"/>
            <w:vAlign w:val="bottom"/>
            <w:gridSpan w:val="2"/>
          </w:tcPr>
          <w:p>
            <w:pPr>
              <w:jc w:val="right"/>
              <w:ind w:right="116"/>
              <w:spacing w:after="0"/>
              <w:rPr>
                <w:sz w:val="20"/>
                <w:szCs w:val="20"/>
                <w:color w:val="auto"/>
              </w:rPr>
            </w:pPr>
            <w:r>
              <w:rPr>
                <w:rFonts w:ascii="Arial" w:cs="Arial" w:eastAsia="Arial" w:hAnsi="Arial"/>
                <w:sz w:val="18"/>
                <w:szCs w:val="18"/>
                <w:color w:val="auto"/>
              </w:rPr>
              <w:t>$20,764</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-1603375</wp:posOffset>
            </wp:positionV>
            <wp:extent cx="274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-1603375</wp:posOffset>
            </wp:positionV>
            <wp:extent cx="274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-1603375</wp:posOffset>
            </wp:positionV>
            <wp:extent cx="274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-1603375</wp:posOffset>
            </wp:positionV>
            <wp:extent cx="274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-1603375</wp:posOffset>
            </wp:positionV>
            <wp:extent cx="2825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represent fees earned during 2022 under our Non-Employee Director Compensation Policy.</w:t>
      </w:r>
    </w:p>
    <w:p>
      <w:pPr>
        <w:spacing w:after="0" w:line="41" w:lineRule="exact"/>
        <w:rPr>
          <w:rFonts w:ascii="Arial" w:cs="Arial" w:eastAsia="Arial" w:hAnsi="Arial"/>
          <w:sz w:val="14"/>
          <w:szCs w:val="14"/>
          <w:color w:val="auto"/>
        </w:rPr>
      </w:pPr>
    </w:p>
    <w:p>
      <w:pPr>
        <w:jc w:val="both"/>
        <w:ind w:left="360" w:hanging="352"/>
        <w:spacing w:after="0" w:line="228"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 represents the aggregate grant date fair value for options and RSUs, computed in accordance with FASB ASC Topic 718. Each non-employee director serving as a director at the time was granted 59,880 stock options on May 11, 2022. Dr. Bajaj was granted 66,666 RSUs upon his appointment as a director on June 16, 2022. A discussion of the assumptions used in determining grant date fair value may be found in Note 10 “Equity Incentive Plan” in our consolidated financial statements included in our Annual Report on Form 10-K for the fiscal year ended December 31, 2022. The shares underlying the stock options vest on May 11, 2023, subject to the director’s continued service through the applicable vesting date. The RSUs would have vested in equal annual installments over three years beginning on June 16, 2023, subject to Dr. Bajaj’s continued service through the applicable vesting date. See also footnote 5.</w:t>
      </w:r>
    </w:p>
    <w:p>
      <w:pPr>
        <w:spacing w:after="0" w:line="22" w:lineRule="exact"/>
        <w:rPr>
          <w:rFonts w:ascii="Arial" w:cs="Arial" w:eastAsia="Arial" w:hAnsi="Arial"/>
          <w:sz w:val="14"/>
          <w:szCs w:val="14"/>
          <w:color w:val="auto"/>
        </w:rPr>
      </w:pPr>
    </w:p>
    <w:p>
      <w:pPr>
        <w:ind w:left="360" w:hanging="352"/>
        <w:spacing w:after="0" w:line="253"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Dr. Rothberg served as our Interim Chief Executive Officer for part of 2022; as such, his compensation earned as a director is disclosed in the Summary Compensation Table above.</w:t>
      </w:r>
    </w:p>
    <w:p>
      <w:pPr>
        <w:spacing w:after="0" w:line="11" w:lineRule="exact"/>
        <w:rPr>
          <w:rFonts w:ascii="Arial" w:cs="Arial" w:eastAsia="Arial" w:hAnsi="Arial"/>
          <w:sz w:val="14"/>
          <w:szCs w:val="14"/>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Dr. Bajaj joined our Board of Directors in June 2022 and has declined compensation for his service on our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both"/>
        <w:ind w:left="360" w:hanging="352"/>
        <w:spacing w:after="0" w:line="238"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February 24, 2022, we and Michael Mina, M.D., Ph.D. entered into a scientific advisory board agreement. Under the terms of the scientific advisory board agreement, Dr. Mina received $16,000 for service to us and Dr. Mina was granted an option to purchase 8,000 shares of our common stock, vesting in eight equal quarterly installments over two years beginning March 31, 2022.</w:t>
      </w:r>
    </w:p>
    <w:p>
      <w:pPr>
        <w:spacing w:after="0" w:line="20" w:lineRule="exact"/>
        <w:rPr>
          <w:rFonts w:ascii="Arial" w:cs="Arial" w:eastAsia="Arial" w:hAnsi="Arial"/>
          <w:sz w:val="14"/>
          <w:szCs w:val="14"/>
          <w:color w:val="auto"/>
        </w:rPr>
      </w:pPr>
    </w:p>
    <w:p>
      <w:pPr>
        <w:ind w:left="360" w:hanging="352"/>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Tananbaum resigned from our Board of Directors in May 2022.</w:t>
      </w:r>
    </w:p>
    <w:p>
      <w:pPr>
        <w:spacing w:after="0" w:line="10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shows the aggregate number of shares subject to options and RSUs held by each of our non-employee directors as of December 31, 2022.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 Stock</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Restricted</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 Held at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Units Held at</w:t>
            </w:r>
          </w:p>
        </w:tc>
        <w:tc>
          <w:tcPr>
            <w:tcW w:w="0" w:type="dxa"/>
            <w:vAlign w:val="bottom"/>
          </w:tcPr>
          <w:p>
            <w:pPr>
              <w:spacing w:after="0"/>
              <w:rPr>
                <w:sz w:val="1"/>
                <w:szCs w:val="1"/>
                <w:color w:val="auto"/>
              </w:rPr>
            </w:pPr>
          </w:p>
        </w:tc>
      </w:tr>
      <w:tr>
        <w:trPr>
          <w:trHeight w:val="186"/>
        </w:trPr>
        <w:tc>
          <w:tcPr>
            <w:tcW w:w="6260" w:type="dxa"/>
            <w:vAlign w:val="bottom"/>
            <w:gridSpan w:val="2"/>
            <w:vMerge w:val="continue"/>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Fiscal Year-End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Fiscal Year-End</w:t>
            </w:r>
          </w:p>
        </w:tc>
        <w:tc>
          <w:tcPr>
            <w:tcW w:w="0" w:type="dxa"/>
            <w:vAlign w:val="bottom"/>
          </w:tcPr>
          <w:p>
            <w:pPr>
              <w:spacing w:after="0"/>
              <w:rPr>
                <w:sz w:val="1"/>
                <w:szCs w:val="1"/>
                <w:color w:val="auto"/>
              </w:rPr>
            </w:pPr>
          </w:p>
        </w:tc>
      </w:tr>
      <w:tr>
        <w:trPr>
          <w:trHeight w:val="53"/>
        </w:trPr>
        <w:tc>
          <w:tcPr>
            <w:tcW w:w="5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1,513,675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Vikram Bajaj, Ph.D.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66,666</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Marijn Dekkers, Ph.D.</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76,210</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Ruth Fattori</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Pr>
          <w:p>
            <w:pPr>
              <w:spacing w:after="0"/>
              <w:rPr>
                <w:sz w:val="23"/>
                <w:szCs w:val="23"/>
                <w:color w:val="auto"/>
              </w:rPr>
            </w:pP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76,210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Michael Mina, M.D., Ph.D.</w:t>
            </w: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67,880</w:t>
            </w:r>
          </w:p>
        </w:tc>
        <w:tc>
          <w:tcPr>
            <w:tcW w:w="400" w:type="dxa"/>
            <w:vAlign w:val="bottom"/>
          </w:tcPr>
          <w:p>
            <w:pPr>
              <w:spacing w:after="0"/>
              <w:rPr>
                <w:sz w:val="23"/>
                <w:szCs w:val="23"/>
                <w:color w:val="auto"/>
              </w:rPr>
            </w:pP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Kevin Rakin</w:t>
            </w:r>
          </w:p>
        </w:tc>
        <w:tc>
          <w:tcPr>
            <w:tcW w:w="10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59,880</w:t>
            </w:r>
          </w:p>
        </w:tc>
        <w:tc>
          <w:tcPr>
            <w:tcW w:w="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13,675</w:t>
            </w:r>
          </w:p>
        </w:tc>
        <w:tc>
          <w:tcPr>
            <w:tcW w:w="0" w:type="dxa"/>
            <w:vAlign w:val="bottom"/>
          </w:tcPr>
          <w:p>
            <w:pPr>
              <w:spacing w:after="0"/>
              <w:rPr>
                <w:sz w:val="1"/>
                <w:szCs w:val="1"/>
                <w:color w:val="auto"/>
              </w:rPr>
            </w:pPr>
          </w:p>
        </w:tc>
      </w:tr>
      <w:tr>
        <w:trPr>
          <w:trHeight w:val="270"/>
        </w:trPr>
        <w:tc>
          <w:tcPr>
            <w:tcW w:w="6260" w:type="dxa"/>
            <w:vAlign w:val="bottom"/>
            <w:gridSpan w:val="2"/>
          </w:tcPr>
          <w:p>
            <w:pPr>
              <w:spacing w:after="0"/>
              <w:rPr>
                <w:sz w:val="20"/>
                <w:szCs w:val="20"/>
                <w:color w:val="auto"/>
              </w:rPr>
            </w:pPr>
            <w:r>
              <w:rPr>
                <w:rFonts w:ascii="Arial" w:cs="Arial" w:eastAsia="Arial" w:hAnsi="Arial"/>
                <w:sz w:val="18"/>
                <w:szCs w:val="18"/>
                <w:color w:val="auto"/>
              </w:rPr>
              <w:t>James Tananbaum, M.D.</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-1628140</wp:posOffset>
            </wp:positionV>
            <wp:extent cx="257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-1628140</wp:posOffset>
            </wp:positionV>
            <wp:extent cx="257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11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We have a non-employee director compensation policy, which was adopted in June 2021 and amended in November 2022. Pursuant to the policy, the annual retainer for non-employee directors is $50,000. Annual retainers for the Chairman of the board of directors and committee membership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70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9"/>
              </w:rPr>
              <w:t>Retainer</w:t>
            </w:r>
          </w:p>
        </w:tc>
      </w:tr>
      <w:tr>
        <w:trPr>
          <w:trHeight w:val="53"/>
        </w:trPr>
        <w:tc>
          <w:tcPr>
            <w:tcW w:w="7780" w:type="dxa"/>
            <w:vAlign w:val="bottom"/>
            <w:tcBorders>
              <w:bottom w:val="single" w:sz="8" w:color="auto"/>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9"/>
              </w:rPr>
              <w:t>$50,000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Audit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$20,000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89"/>
              </w:rPr>
              <w:t>$10,000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Compensation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$15,000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6"/>
              </w:rPr>
              <w:t>$ 7,500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w w:val="89"/>
              </w:rPr>
              <w:t>$10,000</w:t>
            </w:r>
          </w:p>
        </w:tc>
      </w:tr>
      <w:tr>
        <w:trPr>
          <w:trHeight w:val="54"/>
        </w:trPr>
        <w:tc>
          <w:tcPr>
            <w:tcW w:w="7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6"/>
              </w:rPr>
              <w:t>$ 5,000</w:t>
            </w:r>
          </w:p>
        </w:tc>
      </w:tr>
      <w:tr>
        <w:trPr>
          <w:trHeight w:val="54"/>
        </w:trPr>
        <w:tc>
          <w:tcPr>
            <w:tcW w:w="77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-1456690</wp:posOffset>
            </wp:positionV>
            <wp:extent cx="4457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7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our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69"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In addition, we grant to new non-employee directors upon their initial election to our board of directors (including any non-employee director whose election to our board of directors was approved at the special meeting of stockholders held on June 9, 2021) a number of RSUs having an aggregate fair market value equal to $200,000, determined by dividing</w:t>
      </w:r>
    </w:p>
    <w:p>
      <w:pPr>
        <w:spacing w:after="0" w:line="2" w:lineRule="exact"/>
        <w:rPr>
          <w:sz w:val="20"/>
          <w:szCs w:val="20"/>
          <w:color w:val="auto"/>
        </w:rPr>
      </w:pPr>
    </w:p>
    <w:p>
      <w:pPr>
        <w:jc w:val="both"/>
        <w:ind w:firstLine="8"/>
        <w:spacing w:after="0" w:line="273" w:lineRule="auto"/>
        <w:tabs>
          <w:tab w:leader="none" w:pos="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$200,000 by (B) the closing price of our Class A common stock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director’s continued service as a director on the applicable vesting dates.</w:t>
      </w:r>
    </w:p>
    <w:p>
      <w:pPr>
        <w:spacing w:after="0" w:line="68"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Further, in connection with each of our annual meetings of stockholders, each non-employee director automatically receives an option to purchase shares of our Class A common stock having an aggregate grant date fair value of $100,000, valued based on a Black-Scholes valuation method (rounded down to the nearest whole share), each year beginning in 2022 on the first business day after our annual meeting of stockholders. Each of these options has a term of 10 years from the date of the award and vests at the end of the period beginning on the date of each regular annual meeting of stockholders and ending on the date of the next regular annual meeting of stockholders, subject to the director’s continued service through the applicable vesting date.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29" w:name="page30"/>
    <w:bookmarkEnd w:id="29"/>
    <w:p>
      <w:pPr>
        <w:ind w:left="8"/>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PAY VERSUS PERFORMANCE</w:t>
      </w:r>
    </w:p>
    <w:p>
      <w:pPr>
        <w:spacing w:after="0" w:line="121" w:lineRule="exact"/>
        <w:rPr>
          <w:sz w:val="20"/>
          <w:szCs w:val="20"/>
          <w:color w:val="auto"/>
        </w:rPr>
      </w:pPr>
    </w:p>
    <w:p>
      <w:pPr>
        <w:jc w:val="both"/>
        <w:ind w:left="8" w:firstLine="360"/>
        <w:spacing w:after="0" w:line="301" w:lineRule="auto"/>
        <w:rPr>
          <w:sz w:val="20"/>
          <w:szCs w:val="20"/>
          <w:color w:val="auto"/>
        </w:rPr>
      </w:pPr>
      <w:r>
        <w:rPr>
          <w:rFonts w:ascii="Arial" w:cs="Arial" w:eastAsia="Arial" w:hAnsi="Arial"/>
          <w:sz w:val="16"/>
          <w:szCs w:val="16"/>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officers (“PEOs”) and Non-PEO NEOs and Company performance for the fiscal years listed below. The compensation committee did not consider the pay versus performance disclosure below in making its pay decisions for any of the years shown.</w:t>
      </w:r>
    </w:p>
    <w:p>
      <w:pPr>
        <w:spacing w:after="0" w:line="84" w:lineRule="exact"/>
        <w:rPr>
          <w:sz w:val="20"/>
          <w:szCs w:val="20"/>
          <w:color w:val="auto"/>
        </w:rPr>
      </w:pPr>
    </w:p>
    <w:tbl>
      <w:tblPr>
        <w:tblLayout w:type="fixed"/>
        <w:tblInd w:w="18" w:type="dxa"/>
        <w:tblCellMar>
          <w:top w:w="0" w:type="dxa"/>
          <w:left w:w="0" w:type="dxa"/>
          <w:bottom w:w="0" w:type="dxa"/>
          <w:right w:w="0" w:type="dxa"/>
        </w:tblCellMar>
      </w:tblPr>
      <w:tr>
        <w:trPr>
          <w:trHeight w:val="238"/>
        </w:trPr>
        <w:tc>
          <w:tcPr>
            <w:tcW w:w="760" w:type="dxa"/>
            <w:vAlign w:val="bottom"/>
            <w:tcBorders>
              <w:top w:val="single" w:sz="8" w:color="auto"/>
              <w:left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900" w:type="dxa"/>
            <w:vAlign w:val="bottom"/>
            <w:tcBorders>
              <w:top w:val="single" w:sz="8" w:color="auto"/>
              <w:right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1"/>
              </w:rPr>
              <w:t>Summary</w:t>
            </w:r>
          </w:p>
        </w:tc>
        <w:tc>
          <w:tcPr>
            <w:tcW w:w="88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880" w:type="dxa"/>
            <w:vAlign w:val="bottom"/>
            <w:tcBorders>
              <w:top w:val="single" w:sz="8" w:color="auto"/>
              <w:right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Summary</w:t>
            </w:r>
          </w:p>
        </w:tc>
        <w:tc>
          <w:tcPr>
            <w:tcW w:w="90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Summary</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1"/>
              </w:rPr>
              <w:t>Summary</w:t>
            </w:r>
          </w:p>
        </w:tc>
        <w:tc>
          <w:tcPr>
            <w:tcW w:w="880" w:type="dxa"/>
            <w:vAlign w:val="bottom"/>
            <w:tcBorders>
              <w:right w:val="single" w:sz="8" w:color="auto"/>
            </w:tcBorders>
          </w:tcPr>
          <w:p>
            <w:pPr>
              <w:jc w:val="center"/>
              <w:ind w:right="20"/>
              <w:spacing w:after="0" w:line="135" w:lineRule="exact"/>
              <w:rPr>
                <w:sz w:val="20"/>
                <w:szCs w:val="20"/>
                <w:color w:val="auto"/>
              </w:rPr>
            </w:pPr>
            <w:r>
              <w:rPr>
                <w:rFonts w:ascii="Arial" w:cs="Arial" w:eastAsia="Arial" w:hAnsi="Arial"/>
                <w:sz w:val="13"/>
                <w:szCs w:val="13"/>
                <w:b w:val="1"/>
                <w:bCs w:val="1"/>
                <w:color w:val="auto"/>
                <w:w w:val="85"/>
              </w:rPr>
              <w:t>Average</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760" w:type="dxa"/>
            <w:vAlign w:val="bottom"/>
            <w:tcBorders>
              <w:right w:val="single" w:sz="8" w:color="auto"/>
            </w:tcBorders>
          </w:tcPr>
          <w:p>
            <w:pPr>
              <w:spacing w:after="0"/>
              <w:rPr>
                <w:sz w:val="11"/>
                <w:szCs w:val="1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Table Total for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90"/>
              </w:rPr>
              <w:t>Actually</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98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Initial Fixed</w:t>
            </w:r>
          </w:p>
        </w:tc>
        <w:tc>
          <w:tcPr>
            <w:tcW w:w="760" w:type="dxa"/>
            <w:vAlign w:val="bottom"/>
            <w:tcBorders>
              <w:right w:val="single" w:sz="8" w:color="auto"/>
            </w:tcBorders>
          </w:tcPr>
          <w:p>
            <w:pPr>
              <w:spacing w:after="0"/>
              <w:rPr>
                <w:sz w:val="11"/>
                <w:szCs w:val="11"/>
                <w:color w:val="auto"/>
              </w:rPr>
            </w:pPr>
          </w:p>
        </w:tc>
      </w:tr>
      <w:tr>
        <w:trPr>
          <w:trHeight w:val="135"/>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Table Total for</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Jonathan M.</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Table Total for</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ind w:right="18"/>
              <w:spacing w:after="0" w:line="135" w:lineRule="exact"/>
              <w:rPr>
                <w:sz w:val="20"/>
                <w:szCs w:val="20"/>
                <w:color w:val="auto"/>
              </w:rPr>
            </w:pPr>
            <w:r>
              <w:rPr>
                <w:rFonts w:ascii="Arial" w:cs="Arial" w:eastAsia="Arial" w:hAnsi="Arial"/>
                <w:sz w:val="13"/>
                <w:szCs w:val="13"/>
                <w:b w:val="1"/>
                <w:bCs w:val="1"/>
                <w:color w:val="auto"/>
                <w:w w:val="87"/>
              </w:rPr>
              <w:t>Paid to</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Table Total</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Actually Paid</w:t>
            </w:r>
          </w:p>
        </w:tc>
        <w:tc>
          <w:tcPr>
            <w:tcW w:w="9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$100 Investment</w:t>
            </w:r>
          </w:p>
        </w:tc>
        <w:tc>
          <w:tcPr>
            <w:tcW w:w="760" w:type="dxa"/>
            <w:vAlign w:val="bottom"/>
            <w:tcBorders>
              <w:right w:val="single" w:sz="8" w:color="auto"/>
            </w:tcBorders>
          </w:tcPr>
          <w:p>
            <w:pPr>
              <w:spacing w:after="0"/>
              <w:rPr>
                <w:sz w:val="11"/>
                <w:szCs w:val="11"/>
                <w:color w:val="auto"/>
              </w:rPr>
            </w:pPr>
          </w:p>
        </w:tc>
      </w:tr>
      <w:tr>
        <w:trPr>
          <w:trHeight w:val="129"/>
        </w:trPr>
        <w:tc>
          <w:tcPr>
            <w:tcW w:w="760" w:type="dxa"/>
            <w:vAlign w:val="bottom"/>
            <w:tcBorders>
              <w:left w:val="single" w:sz="8" w:color="auto"/>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John</w:t>
            </w:r>
          </w:p>
        </w:tc>
        <w:tc>
          <w:tcPr>
            <w:tcW w:w="9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Rothberg,</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Jeffrey</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3"/>
              </w:rPr>
              <w:t>John</w:t>
            </w:r>
          </w:p>
        </w:tc>
        <w:tc>
          <w:tcPr>
            <w:tcW w:w="860" w:type="dxa"/>
            <w:vAlign w:val="bottom"/>
            <w:tcBorders>
              <w:right w:val="single" w:sz="8" w:color="auto"/>
            </w:tcBorders>
          </w:tcPr>
          <w:p>
            <w:pPr>
              <w:jc w:val="center"/>
              <w:ind w:right="18"/>
              <w:spacing w:after="0" w:line="129" w:lineRule="exact"/>
              <w:rPr>
                <w:sz w:val="20"/>
                <w:szCs w:val="20"/>
                <w:color w:val="auto"/>
              </w:rPr>
            </w:pPr>
            <w:r>
              <w:rPr>
                <w:rFonts w:ascii="Arial" w:cs="Arial" w:eastAsia="Arial" w:hAnsi="Arial"/>
                <w:sz w:val="13"/>
                <w:szCs w:val="13"/>
                <w:b w:val="1"/>
                <w:bCs w:val="1"/>
                <w:color w:val="auto"/>
                <w:w w:val="92"/>
              </w:rPr>
              <w:t>Jonathan M.</w:t>
            </w:r>
          </w:p>
        </w:tc>
        <w:tc>
          <w:tcPr>
            <w:tcW w:w="860" w:type="dxa"/>
            <w:vAlign w:val="bottom"/>
            <w:tcBorders>
              <w:right w:val="single" w:sz="8" w:color="auto"/>
            </w:tcBorders>
          </w:tcPr>
          <w:p>
            <w:pPr>
              <w:jc w:val="center"/>
              <w:ind w:right="18"/>
              <w:spacing w:after="0" w:line="129" w:lineRule="exact"/>
              <w:rPr>
                <w:sz w:val="20"/>
                <w:szCs w:val="20"/>
                <w:color w:val="auto"/>
              </w:rPr>
            </w:pPr>
            <w:r>
              <w:rPr>
                <w:rFonts w:ascii="Arial" w:cs="Arial" w:eastAsia="Arial" w:hAnsi="Arial"/>
                <w:sz w:val="13"/>
                <w:szCs w:val="13"/>
                <w:b w:val="1"/>
                <w:bCs w:val="1"/>
                <w:color w:val="auto"/>
                <w:w w:val="89"/>
              </w:rPr>
              <w:t>Jeffrey</w:t>
            </w:r>
          </w:p>
        </w:tc>
        <w:tc>
          <w:tcPr>
            <w:tcW w:w="8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for Non-PEO</w:t>
            </w:r>
          </w:p>
        </w:tc>
        <w:tc>
          <w:tcPr>
            <w:tcW w:w="8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to Non-PEO</w:t>
            </w:r>
          </w:p>
        </w:tc>
        <w:tc>
          <w:tcPr>
            <w:tcW w:w="98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based on:</w:t>
            </w:r>
          </w:p>
        </w:tc>
        <w:tc>
          <w:tcPr>
            <w:tcW w:w="760" w:type="dxa"/>
            <w:vAlign w:val="bottom"/>
            <w:tcBorders>
              <w:right w:val="single" w:sz="8" w:color="auto"/>
            </w:tcBorders>
          </w:tcPr>
          <w:p>
            <w:pPr>
              <w:spacing w:after="0"/>
              <w:rPr>
                <w:sz w:val="11"/>
                <w:szCs w:val="11"/>
                <w:color w:val="auto"/>
              </w:rPr>
            </w:pPr>
          </w:p>
        </w:tc>
      </w:tr>
      <w:tr>
        <w:trPr>
          <w:trHeight w:val="141"/>
        </w:trPr>
        <w:tc>
          <w:tcPr>
            <w:tcW w:w="76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Stark</w:t>
            </w:r>
            <w:r>
              <w:rPr>
                <w:rFonts w:ascii="Arial" w:cs="Arial" w:eastAsia="Arial" w:hAnsi="Arial"/>
                <w:sz w:val="16"/>
                <w:szCs w:val="16"/>
                <w:b w:val="1"/>
                <w:bCs w:val="1"/>
                <w:color w:val="auto"/>
                <w:vertAlign w:val="superscript"/>
              </w:rPr>
              <w:t>1</w:t>
            </w:r>
          </w:p>
        </w:tc>
        <w:tc>
          <w:tcPr>
            <w:tcW w:w="9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0"/>
                <w:szCs w:val="10"/>
                <w:b w:val="1"/>
                <w:bCs w:val="1"/>
                <w:color w:val="auto"/>
              </w:rPr>
              <w:t>Ph.D.</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0"/>
                <w:szCs w:val="10"/>
                <w:b w:val="1"/>
                <w:bCs w:val="1"/>
                <w:color w:val="auto"/>
              </w:rPr>
              <w:t>Hawkins</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Stark</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38"/>
              <w:spacing w:after="0" w:line="142" w:lineRule="exact"/>
              <w:rPr>
                <w:sz w:val="20"/>
                <w:szCs w:val="20"/>
                <w:color w:val="auto"/>
              </w:rPr>
            </w:pPr>
            <w:r>
              <w:rPr>
                <w:rFonts w:ascii="Arial" w:cs="Arial" w:eastAsia="Arial" w:hAnsi="Arial"/>
                <w:sz w:val="10"/>
                <w:szCs w:val="10"/>
                <w:b w:val="1"/>
                <w:bCs w:val="1"/>
                <w:color w:val="auto"/>
              </w:rPr>
              <w:t>Rothberg</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Hawkins</w:t>
            </w:r>
            <w:r>
              <w:rPr>
                <w:rFonts w:ascii="Arial" w:cs="Arial" w:eastAsia="Arial" w:hAnsi="Arial"/>
                <w:sz w:val="16"/>
                <w:szCs w:val="16"/>
                <w:b w:val="1"/>
                <w:bCs w:val="1"/>
                <w:color w:val="auto"/>
                <w:vertAlign w:val="superscript"/>
              </w:rPr>
              <w:t>1,2,3</w:t>
            </w:r>
          </w:p>
        </w:tc>
        <w:tc>
          <w:tcPr>
            <w:tcW w:w="860" w:type="dxa"/>
            <w:vAlign w:val="bottom"/>
            <w:tcBorders>
              <w:right w:val="single" w:sz="8" w:color="auto"/>
            </w:tcBorders>
          </w:tcPr>
          <w:p>
            <w:pPr>
              <w:jc w:val="center"/>
              <w:ind w:right="18"/>
              <w:spacing w:after="0" w:line="142" w:lineRule="exact"/>
              <w:rPr>
                <w:sz w:val="20"/>
                <w:szCs w:val="20"/>
                <w:color w:val="auto"/>
              </w:rPr>
            </w:pPr>
            <w:r>
              <w:rPr>
                <w:rFonts w:ascii="Arial" w:cs="Arial" w:eastAsia="Arial" w:hAnsi="Arial"/>
                <w:sz w:val="10"/>
                <w:szCs w:val="10"/>
                <w:b w:val="1"/>
                <w:bCs w:val="1"/>
                <w:color w:val="auto"/>
              </w:rPr>
              <w:t>NEOs</w:t>
            </w:r>
            <w:r>
              <w:rPr>
                <w:rFonts w:ascii="Arial" w:cs="Arial" w:eastAsia="Arial" w:hAnsi="Arial"/>
                <w:sz w:val="16"/>
                <w:szCs w:val="16"/>
                <w:b w:val="1"/>
                <w:bCs w:val="1"/>
                <w:color w:val="auto"/>
                <w:vertAlign w:val="superscript"/>
              </w:rPr>
              <w:t>1</w:t>
            </w:r>
          </w:p>
        </w:tc>
        <w:tc>
          <w:tcPr>
            <w:tcW w:w="8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NEOs</w:t>
            </w:r>
            <w:r>
              <w:rPr>
                <w:rFonts w:ascii="Arial" w:cs="Arial" w:eastAsia="Arial" w:hAnsi="Arial"/>
                <w:sz w:val="8"/>
                <w:szCs w:val="8"/>
                <w:b w:val="1"/>
                <w:bCs w:val="1"/>
                <w:color w:val="auto"/>
              </w:rPr>
              <w:t>1,2,3</w:t>
            </w:r>
          </w:p>
        </w:tc>
        <w:tc>
          <w:tcPr>
            <w:tcW w:w="9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9"/>
              </w:rPr>
              <w:t>Company TSR</w:t>
            </w:r>
          </w:p>
        </w:tc>
        <w:tc>
          <w:tcPr>
            <w:tcW w:w="76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3"/>
                <w:szCs w:val="13"/>
                <w:b w:val="1"/>
                <w:bCs w:val="1"/>
                <w:color w:val="auto"/>
                <w:w w:val="96"/>
              </w:rPr>
              <w:t>Net Income</w:t>
            </w:r>
          </w:p>
        </w:tc>
      </w:tr>
      <w:tr>
        <w:trPr>
          <w:trHeight w:val="164"/>
        </w:trPr>
        <w:tc>
          <w:tcPr>
            <w:tcW w:w="7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Year</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 Millions)</w:t>
            </w:r>
          </w:p>
        </w:tc>
      </w:tr>
      <w:tr>
        <w:trPr>
          <w:trHeight w:val="57"/>
        </w:trPr>
        <w:tc>
          <w:tcPr>
            <w:tcW w:w="7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r>
        <w:trPr>
          <w:trHeight w:val="268"/>
        </w:trPr>
        <w:tc>
          <w:tcPr>
            <w:tcW w:w="760" w:type="dxa"/>
            <w:vAlign w:val="bottom"/>
            <w:tcBorders>
              <w:left w:val="single" w:sz="8" w:color="auto"/>
              <w:bottom w:val="single" w:sz="8" w:color="CCEEFF"/>
              <w:right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2022</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816,001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501,673</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7,695,136</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(10,089,326)</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(8,701,847)</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6,119,261</w:t>
            </w:r>
          </w:p>
        </w:tc>
        <w:tc>
          <w:tcPr>
            <w:tcW w:w="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2,784,781</w:t>
            </w: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6"/>
              </w:rPr>
              <w:t>1,421,149</w:t>
            </w: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5"/>
              </w:rPr>
              <w:t>18.77</w:t>
            </w:r>
          </w:p>
        </w:tc>
        <w:tc>
          <w:tcPr>
            <w:tcW w:w="760" w:type="dxa"/>
            <w:vAlign w:val="bottom"/>
            <w:tcBorders>
              <w:bottom w:val="single" w:sz="8" w:color="CCEEFF"/>
              <w:right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(0.13)</w:t>
            </w:r>
          </w:p>
        </w:tc>
      </w:tr>
      <w:tr>
        <w:trPr>
          <w:trHeight w:val="207"/>
        </w:trPr>
        <w:tc>
          <w:tcPr>
            <w:tcW w:w="76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3"/>
                <w:szCs w:val="13"/>
                <w:color w:val="auto"/>
              </w:rPr>
              <w:t>2021</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16,540,942</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14,980,020</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1,981,868</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1,773,606</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80.72</w:t>
            </w:r>
          </w:p>
        </w:tc>
        <w:tc>
          <w:tcPr>
            <w:tcW w:w="760" w:type="dxa"/>
            <w:vAlign w:val="bottom"/>
            <w:tcBorders>
              <w:top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(969.08)</w:t>
            </w:r>
          </w:p>
        </w:tc>
      </w:tr>
      <w:tr>
        <w:trPr>
          <w:trHeight w:val="43"/>
        </w:trPr>
        <w:tc>
          <w:tcPr>
            <w:tcW w:w="76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bl>
    <w:p>
      <w:pPr>
        <w:spacing w:after="0" w:line="35" w:lineRule="exact"/>
        <w:rPr>
          <w:sz w:val="20"/>
          <w:szCs w:val="20"/>
          <w:color w:val="auto"/>
        </w:rPr>
      </w:pPr>
    </w:p>
    <w:p>
      <w:pPr>
        <w:ind w:left="348" w:right="20" w:hanging="348"/>
        <w:spacing w:after="0" w:line="253" w:lineRule="auto"/>
        <w:tabs>
          <w:tab w:leader="none" w:pos="348" w:val="left"/>
        </w:tabs>
        <w:numPr>
          <w:ilvl w:val="0"/>
          <w:numId w:val="28"/>
        </w:numPr>
        <w:rPr>
          <w:rFonts w:ascii="Arial" w:cs="Arial" w:eastAsia="Arial" w:hAnsi="Arial"/>
          <w:sz w:val="14"/>
          <w:szCs w:val="14"/>
          <w:color w:val="auto"/>
        </w:rPr>
      </w:pPr>
      <w:r>
        <w:rPr>
          <w:rFonts w:ascii="Arial" w:cs="Arial" w:eastAsia="Arial" w:hAnsi="Arial"/>
          <w:sz w:val="14"/>
          <w:szCs w:val="14"/>
          <w:color w:val="auto"/>
        </w:rPr>
        <w:t>John Stark, Jonathan M. Rothberg, Ph.D., and Jeffrey Hawkins were our PEOs for 2022. John Stark was our PEO for 2021. The individuals comprising the Non-PEO named executive officers for each year presented are listed below.</w:t>
      </w:r>
    </w:p>
    <w:p>
      <w:pPr>
        <w:spacing w:after="0" w:line="78" w:lineRule="exact"/>
        <w:rPr>
          <w:sz w:val="20"/>
          <w:szCs w:val="20"/>
          <w:color w:val="auto"/>
        </w:rPr>
      </w:pPr>
    </w:p>
    <w:tbl>
      <w:tblPr>
        <w:tblLayout w:type="fixed"/>
        <w:tblInd w:w="2178" w:type="dxa"/>
        <w:tblCellMar>
          <w:top w:w="0" w:type="dxa"/>
          <w:left w:w="0" w:type="dxa"/>
          <w:bottom w:w="0" w:type="dxa"/>
          <w:right w:w="0" w:type="dxa"/>
        </w:tblCellMar>
      </w:tblPr>
      <w:tr>
        <w:trPr>
          <w:trHeight w:val="338"/>
        </w:trPr>
        <w:tc>
          <w:tcPr>
            <w:tcW w:w="2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Claudia Drayton</w:t>
            </w:r>
          </w:p>
        </w:tc>
        <w:tc>
          <w:tcPr>
            <w:tcW w:w="25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Patrick Schneider, Ph.D.</w:t>
            </w:r>
          </w:p>
        </w:tc>
      </w:tr>
      <w:tr>
        <w:trPr>
          <w:trHeight w:val="67"/>
        </w:trPr>
        <w:tc>
          <w:tcPr>
            <w:tcW w:w="26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258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Michael McKenna, Ph.D.</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Michael McKenna, Ph.D.</w:t>
            </w:r>
          </w:p>
        </w:tc>
      </w:tr>
      <w:tr>
        <w:trPr>
          <w:trHeight w:val="68"/>
        </w:trPr>
        <w:tc>
          <w:tcPr>
            <w:tcW w:w="2600" w:type="dxa"/>
            <w:vAlign w:val="bottom"/>
            <w:tcBorders>
              <w:left w:val="single" w:sz="8" w:color="auto"/>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260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Matthew Dyer, Ph.D.</w:t>
            </w:r>
          </w:p>
        </w:tc>
        <w:tc>
          <w:tcPr>
            <w:tcW w:w="2580" w:type="dxa"/>
            <w:vAlign w:val="bottom"/>
            <w:tcBorders>
              <w:right w:val="single" w:sz="8" w:color="auto"/>
            </w:tcBorders>
            <w:shd w:val="clear" w:color="auto" w:fill="CCEEFF"/>
          </w:tcPr>
          <w:p>
            <w:pPr>
              <w:spacing w:after="0"/>
              <w:rPr>
                <w:sz w:val="24"/>
                <w:szCs w:val="24"/>
                <w:color w:val="auto"/>
              </w:rPr>
            </w:pPr>
          </w:p>
        </w:tc>
      </w:tr>
      <w:tr>
        <w:trPr>
          <w:trHeight w:val="68"/>
        </w:trPr>
        <w:tc>
          <w:tcPr>
            <w:tcW w:w="26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258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Christian LaPointe, Ph.D.</w:t>
            </w:r>
          </w:p>
        </w:tc>
        <w:tc>
          <w:tcPr>
            <w:tcW w:w="2580" w:type="dxa"/>
            <w:vAlign w:val="bottom"/>
            <w:tcBorders>
              <w:right w:val="single" w:sz="8" w:color="auto"/>
            </w:tcBorders>
          </w:tcPr>
          <w:p>
            <w:pPr>
              <w:spacing w:after="0"/>
              <w:rPr>
                <w:sz w:val="24"/>
                <w:szCs w:val="24"/>
                <w:color w:val="auto"/>
              </w:rPr>
            </w:pPr>
          </w:p>
        </w:tc>
      </w:tr>
      <w:tr>
        <w:trPr>
          <w:trHeight w:val="54"/>
        </w:trPr>
        <w:tc>
          <w:tcPr>
            <w:tcW w:w="260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r>
    </w:tbl>
    <w:p>
      <w:pPr>
        <w:spacing w:after="0" w:line="35" w:lineRule="exact"/>
        <w:rPr>
          <w:sz w:val="20"/>
          <w:szCs w:val="20"/>
          <w:color w:val="auto"/>
        </w:rPr>
      </w:pPr>
    </w:p>
    <w:p>
      <w:pPr>
        <w:jc w:val="both"/>
        <w:ind w:left="348" w:right="20" w:hanging="348"/>
        <w:spacing w:after="0" w:line="238"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0" w:lineRule="exact"/>
        <w:rPr>
          <w:rFonts w:ascii="Arial" w:cs="Arial" w:eastAsia="Arial" w:hAnsi="Arial"/>
          <w:sz w:val="14"/>
          <w:szCs w:val="14"/>
          <w:color w:val="auto"/>
        </w:rPr>
      </w:pPr>
    </w:p>
    <w:p>
      <w:pPr>
        <w:jc w:val="both"/>
        <w:ind w:left="348" w:hanging="348"/>
        <w:spacing w:after="0" w:line="238"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00" w:lineRule="exact"/>
        <w:rPr>
          <w:sz w:val="20"/>
          <w:szCs w:val="20"/>
          <w:color w:val="auto"/>
        </w:rPr>
      </w:pPr>
    </w:p>
    <w:tbl>
      <w:tblPr>
        <w:tblLayout w:type="fixed"/>
        <w:tblInd w:w="18" w:type="dxa"/>
        <w:tblCellMar>
          <w:top w:w="0" w:type="dxa"/>
          <w:left w:w="0" w:type="dxa"/>
          <w:bottom w:w="0" w:type="dxa"/>
          <w:right w:w="0" w:type="dxa"/>
        </w:tblCellMar>
      </w:tblPr>
      <w:tr>
        <w:trPr>
          <w:trHeight w:val="319"/>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John Stark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816,001</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(10,905,327)</w:t>
            </w:r>
          </w:p>
        </w:tc>
        <w:tc>
          <w:tcPr>
            <w:tcW w:w="1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(10,089,326)</w:t>
            </w:r>
          </w:p>
        </w:tc>
      </w:tr>
      <w:tr>
        <w:trPr>
          <w:trHeight w:val="67"/>
        </w:trPr>
        <w:tc>
          <w:tcPr>
            <w:tcW w:w="19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880" w:type="dxa"/>
            <w:vAlign w:val="bottom"/>
            <w:tcBorders>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92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2021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16,540,942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(15,711,346)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14,150,424</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14,980,020</w:t>
            </w:r>
          </w:p>
        </w:tc>
      </w:tr>
      <w:tr>
        <w:trPr>
          <w:trHeight w:val="54"/>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r>
      <w:tr>
        <w:trPr>
          <w:trHeight w:val="101"/>
        </w:trPr>
        <w:tc>
          <w:tcPr>
            <w:tcW w:w="19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r>
      <w:tr>
        <w:trPr>
          <w:trHeight w:val="299"/>
        </w:trPr>
        <w:tc>
          <w:tcPr>
            <w:tcW w:w="1920" w:type="dxa"/>
            <w:vAlign w:val="bottom"/>
            <w:tcBorders>
              <w:left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06"/>
        </w:trPr>
        <w:tc>
          <w:tcPr>
            <w:tcW w:w="19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for Jonathan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26"/>
        </w:trPr>
        <w:tc>
          <w:tcPr>
            <w:tcW w:w="192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Jonathan M. Rothberg</w:t>
            </w:r>
          </w:p>
        </w:tc>
        <w:tc>
          <w:tcPr>
            <w:tcW w:w="188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b w:val="1"/>
                <w:bCs w:val="1"/>
                <w:color w:val="auto"/>
              </w:rPr>
              <w:t>M. Rothberg</w:t>
            </w:r>
            <w:r>
              <w:rPr>
                <w:rFonts w:ascii="Arial" w:cs="Arial" w:eastAsia="Arial" w:hAnsi="Arial"/>
                <w:sz w:val="26"/>
                <w:szCs w:val="26"/>
                <w:b w:val="1"/>
                <w:bCs w:val="1"/>
                <w:color w:val="auto"/>
                <w:vertAlign w:val="superscript"/>
              </w:rPr>
              <w:t>1</w:t>
            </w:r>
          </w:p>
        </w:tc>
        <w:tc>
          <w:tcPr>
            <w:tcW w:w="1900" w:type="dxa"/>
            <w:vAlign w:val="bottom"/>
            <w:tcBorders>
              <w:right w:val="single" w:sz="8" w:color="auto"/>
            </w:tcBorders>
          </w:tcPr>
          <w:p>
            <w:pPr>
              <w:jc w:val="center"/>
              <w:spacing w:after="0" w:line="226" w:lineRule="exact"/>
              <w:rPr>
                <w:sz w:val="20"/>
                <w:szCs w:val="20"/>
                <w:color w:val="auto"/>
              </w:rPr>
            </w:pPr>
            <w:r>
              <w:rPr>
                <w:rFonts w:ascii="Arial" w:cs="Arial" w:eastAsia="Arial" w:hAnsi="Arial"/>
                <w:sz w:val="16"/>
                <w:szCs w:val="16"/>
                <w:b w:val="1"/>
                <w:bCs w:val="1"/>
                <w:color w:val="auto"/>
              </w:rPr>
              <w:t>Rothberg</w:t>
            </w:r>
            <w:r>
              <w:rPr>
                <w:rFonts w:ascii="Arial" w:cs="Arial" w:eastAsia="Arial" w:hAnsi="Arial"/>
                <w:sz w:val="26"/>
                <w:szCs w:val="26"/>
                <w:b w:val="1"/>
                <w:bCs w:val="1"/>
                <w:color w:val="auto"/>
                <w:vertAlign w:val="superscript"/>
              </w:rPr>
              <w:t>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Jonathan M. Rothberg</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bottom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501,673</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(100,000)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(9,103,520)</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(8,701,847)</w:t>
            </w:r>
          </w:p>
        </w:tc>
      </w:tr>
    </w:tbl>
    <w:p>
      <w:pPr>
        <w:spacing w:after="0" w:line="143" w:lineRule="exact"/>
        <w:rPr>
          <w:sz w:val="20"/>
          <w:szCs w:val="20"/>
          <w:color w:val="auto"/>
        </w:rPr>
      </w:pPr>
    </w:p>
    <w:p>
      <w:pPr>
        <w:ind w:left="348" w:right="20" w:hanging="348"/>
        <w:spacing w:after="0" w:line="253"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Dr. Rothberg received these stock options for services as a director of the Company, the equity value was listed in the all other compensation column of the Summary Compensation Table.</w:t>
      </w:r>
    </w:p>
    <w:p>
      <w:pPr>
        <w:spacing w:after="0" w:line="11" w:lineRule="exact"/>
        <w:rPr>
          <w:rFonts w:ascii="Arial" w:cs="Arial" w:eastAsia="Arial" w:hAnsi="Arial"/>
          <w:sz w:val="14"/>
          <w:szCs w:val="14"/>
          <w:color w:val="auto"/>
        </w:rPr>
      </w:pPr>
    </w:p>
    <w:p>
      <w:pPr>
        <w:jc w:val="both"/>
        <w:ind w:left="348" w:right="20" w:hanging="348"/>
        <w:spacing w:after="0" w:line="238" w:lineRule="auto"/>
        <w:tabs>
          <w:tab w:leader="none" w:pos="348" w:val="left"/>
        </w:tabs>
        <w:numPr>
          <w:ilvl w:val="0"/>
          <w:numId w:val="30"/>
        </w:numPr>
        <w:rPr>
          <w:rFonts w:ascii="Arial" w:cs="Arial" w:eastAsia="Arial" w:hAnsi="Arial"/>
          <w:sz w:val="14"/>
          <w:szCs w:val="14"/>
          <w:color w:val="auto"/>
        </w:rPr>
      </w:pPr>
      <w:r>
        <w:rPr>
          <w:rFonts w:ascii="Arial" w:cs="Arial" w:eastAsia="Arial" w:hAnsi="Arial"/>
          <w:sz w:val="14"/>
          <w:szCs w:val="14"/>
          <w:color w:val="auto"/>
        </w:rPr>
        <w:t>All of Dr. Rothberg’s equity was received in his role as director, Executive Chairman or advisor to the Company. See “Certain Relationships and Related Transactions, and Director Independence - Executive Chairman Agreement with Jonathan M. Rothberg, Ph.D.” and “Certain Relationships and Related Transactions, and Director Independence - Advisory Agreement with Jonathan M. Rothberg, Ph.D.”</w:t>
      </w:r>
    </w:p>
    <w:p>
      <w:pPr>
        <w:spacing w:after="0" w:line="18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30" w:name="page31"/>
    <w:bookmarkEnd w:id="30"/>
    <w:p>
      <w:pPr>
        <w:ind w:left="7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5" w:lineRule="exact"/>
        <w:rPr>
          <w:sz w:val="20"/>
          <w:szCs w:val="20"/>
          <w:color w:val="auto"/>
        </w:rPr>
      </w:pPr>
    </w:p>
    <w:tbl>
      <w:tblPr>
        <w:tblLayout w:type="fixed"/>
        <w:tblInd w:w="770" w:type="dxa"/>
        <w:tblCellMar>
          <w:top w:w="0" w:type="dxa"/>
          <w:left w:w="0" w:type="dxa"/>
          <w:bottom w:w="0" w:type="dxa"/>
          <w:right w:w="0" w:type="dxa"/>
        </w:tblCellMar>
      </w:tblPr>
      <w:tr>
        <w:trPr>
          <w:trHeight w:val="319"/>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top w:val="single" w:sz="8" w:color="auto"/>
              <w:right w:val="single" w:sz="8" w:color="auto"/>
            </w:tcBorders>
          </w:tcPr>
          <w:p>
            <w:pPr>
              <w:spacing w:after="0"/>
              <w:rPr>
                <w:sz w:val="24"/>
                <w:szCs w:val="2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Compensation Table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Awards and Option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 Jeffrey</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 Hawkins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 Hawkins</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Jeffrey Hawkins</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8"/>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336"/>
        </w:trPr>
        <w:tc>
          <w:tcPr>
            <w:tcW w:w="1920" w:type="dxa"/>
            <w:vAlign w:val="bottom"/>
            <w:tcBorders>
              <w:left w:val="single" w:sz="8" w:color="auto"/>
              <w:bottom w:val="single" w:sz="8" w:color="CCEEFF"/>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7,695,136</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(7,488,365)</w:t>
            </w:r>
          </w:p>
        </w:tc>
        <w:tc>
          <w:tcPr>
            <w:tcW w:w="1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1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6,119,261</w:t>
            </w:r>
          </w:p>
        </w:tc>
      </w:tr>
      <w:tr>
        <w:trPr>
          <w:trHeight w:val="196"/>
        </w:trPr>
        <w:tc>
          <w:tcPr>
            <w:tcW w:w="19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r>
      <w:tr>
        <w:trPr>
          <w:trHeight w:val="299"/>
        </w:trPr>
        <w:tc>
          <w:tcPr>
            <w:tcW w:w="1920" w:type="dxa"/>
            <w:vAlign w:val="bottom"/>
            <w:tcBorders>
              <w:left w:val="single" w:sz="8" w:color="auto"/>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90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Summary</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Exclusion of Stock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Inclusion of Equity</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Actually</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Table Total for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 Option Awards for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Values for</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Paid to</w:t>
            </w: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Non-PEO NEOs</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 NEOs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Non-PEO NEOs</w:t>
            </w:r>
          </w:p>
        </w:tc>
        <w:tc>
          <w:tcPr>
            <w:tcW w:w="192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Non-PEO NEOs</w:t>
            </w:r>
          </w:p>
        </w:tc>
      </w:tr>
      <w:tr>
        <w:trPr>
          <w:trHeight w:val="234"/>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Year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67"/>
        </w:trPr>
        <w:tc>
          <w:tcPr>
            <w:tcW w:w="19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r>
      <w:tr>
        <w:trPr>
          <w:trHeight w:val="277"/>
        </w:trPr>
        <w:tc>
          <w:tcPr>
            <w:tcW w:w="1920" w:type="dxa"/>
            <w:vAlign w:val="bottom"/>
            <w:tcBorders>
              <w:left w:val="single" w:sz="8" w:color="auto"/>
              <w:right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2022</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2,784,781</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(2,030,729)</w:t>
            </w:r>
          </w:p>
        </w:tc>
        <w:tc>
          <w:tcPr>
            <w:tcW w:w="1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667,097</w:t>
            </w:r>
          </w:p>
        </w:tc>
        <w:tc>
          <w:tcPr>
            <w:tcW w:w="1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1,421,149</w:t>
            </w:r>
          </w:p>
        </w:tc>
      </w:tr>
      <w:tr>
        <w:trPr>
          <w:trHeight w:val="68"/>
        </w:trPr>
        <w:tc>
          <w:tcPr>
            <w:tcW w:w="192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880" w:type="dxa"/>
            <w:vAlign w:val="bottom"/>
            <w:tcBorders>
              <w:bottom w:val="single" w:sz="8" w:color="auto"/>
              <w:right w:val="single" w:sz="8" w:color="auto"/>
            </w:tcBorders>
            <w:shd w:val="clear" w:color="auto" w:fill="CCEEFF"/>
          </w:tcPr>
          <w:p>
            <w:pPr>
              <w:spacing w:after="0"/>
              <w:rPr>
                <w:sz w:val="5"/>
                <w:szCs w:val="5"/>
                <w:color w:val="auto"/>
              </w:rPr>
            </w:pPr>
          </w:p>
        </w:tc>
        <w:tc>
          <w:tcPr>
            <w:tcW w:w="1900" w:type="dxa"/>
            <w:vAlign w:val="bottom"/>
            <w:tcBorders>
              <w:bottom w:val="single" w:sz="8" w:color="auto"/>
              <w:right w:val="single" w:sz="8" w:color="auto"/>
            </w:tcBorders>
            <w:shd w:val="clear" w:color="auto" w:fill="CCEEFF"/>
          </w:tcPr>
          <w:p>
            <w:pPr>
              <w:spacing w:after="0"/>
              <w:rPr>
                <w:sz w:val="5"/>
                <w:szCs w:val="5"/>
                <w:color w:val="auto"/>
              </w:rPr>
            </w:pPr>
          </w:p>
        </w:tc>
        <w:tc>
          <w:tcPr>
            <w:tcW w:w="1920" w:type="dxa"/>
            <w:vAlign w:val="bottom"/>
            <w:tcBorders>
              <w:bottom w:val="single" w:sz="8" w:color="auto"/>
              <w:right w:val="single" w:sz="8" w:color="auto"/>
            </w:tcBorders>
            <w:shd w:val="clear" w:color="auto" w:fill="CCEEFF"/>
          </w:tcPr>
          <w:p>
            <w:pPr>
              <w:spacing w:after="0"/>
              <w:rPr>
                <w:sz w:val="5"/>
                <w:szCs w:val="5"/>
                <w:color w:val="auto"/>
              </w:rPr>
            </w:pPr>
          </w:p>
        </w:tc>
      </w:tr>
      <w:tr>
        <w:trPr>
          <w:trHeight w:val="277"/>
        </w:trPr>
        <w:tc>
          <w:tcPr>
            <w:tcW w:w="1920" w:type="dxa"/>
            <w:vAlign w:val="bottom"/>
            <w:tcBorders>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2021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1,981,868</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(1,364,611)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1,157,349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1,774,606</w:t>
            </w:r>
          </w:p>
        </w:tc>
      </w:tr>
      <w:tr>
        <w:trPr>
          <w:trHeight w:val="54"/>
        </w:trPr>
        <w:tc>
          <w:tcPr>
            <w:tcW w:w="192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r>
    </w:tbl>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amounts in the Inclusion of Equity Values in the tables above are derived from the amounts set forth in the following tables: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80" w:type="dxa"/>
            <w:vAlign w:val="bottom"/>
            <w:tcBorders>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Change in Fair</w:t>
            </w:r>
          </w:p>
        </w:tc>
        <w:tc>
          <w:tcPr>
            <w:tcW w:w="136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of 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John Stark</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7"/>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(944,356)</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(9,960,971)</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(10,905,327)</w:t>
            </w:r>
          </w:p>
        </w:tc>
        <w:tc>
          <w:tcPr>
            <w:tcW w:w="74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2021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14,150,424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14,150,424</w:t>
            </w:r>
          </w:p>
        </w:tc>
        <w:tc>
          <w:tcPr>
            <w:tcW w:w="740" w:type="dxa"/>
            <w:vAlign w:val="bottom"/>
          </w:tcPr>
          <w:p>
            <w:pPr>
              <w:spacing w:after="0"/>
              <w:rPr>
                <w:sz w:val="24"/>
                <w:szCs w:val="24"/>
                <w:color w:val="auto"/>
              </w:rPr>
            </w:pPr>
          </w:p>
        </w:tc>
      </w:tr>
      <w:tr>
        <w:trPr>
          <w:trHeight w:val="54"/>
        </w:trPr>
        <w:tc>
          <w:tcPr>
            <w:tcW w:w="7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102"/>
        </w:trPr>
        <w:tc>
          <w:tcPr>
            <w:tcW w:w="78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r>
      <w:tr>
        <w:trPr>
          <w:trHeight w:val="299"/>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Jonathan M.</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Jonathan M.</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Rothberg</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Rothberg</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336"/>
        </w:trPr>
        <w:tc>
          <w:tcPr>
            <w:tcW w:w="780" w:type="dxa"/>
            <w:vAlign w:val="bottom"/>
            <w:tcBorders>
              <w:right w:val="single" w:sz="8" w:color="auto"/>
            </w:tcBorders>
          </w:tcPr>
          <w:p>
            <w:pPr>
              <w:spacing w:after="0"/>
              <w:rPr>
                <w:sz w:val="24"/>
                <w:szCs w:val="24"/>
                <w:color w:val="auto"/>
              </w:rPr>
            </w:pP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69,433</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(9,142,597)</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(30,356)</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(9,103,520)</w:t>
            </w:r>
          </w:p>
        </w:tc>
        <w:tc>
          <w:tcPr>
            <w:tcW w:w="740" w:type="dxa"/>
            <w:vAlign w:val="bottom"/>
          </w:tcPr>
          <w:p>
            <w:pPr>
              <w:spacing w:after="0"/>
              <w:rPr>
                <w:sz w:val="24"/>
                <w:szCs w:val="24"/>
                <w:color w:val="auto"/>
              </w:rPr>
            </w:pPr>
          </w:p>
        </w:tc>
      </w:tr>
      <w:tr>
        <w:trPr>
          <w:trHeight w:val="425"/>
        </w:trPr>
        <w:tc>
          <w:tcPr>
            <w:tcW w:w="7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27</w:t>
            </w:r>
          </w:p>
        </w:tc>
        <w:tc>
          <w:tcPr>
            <w:tcW w:w="13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7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ind w:left="7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780" w:type="dxa"/>
            <w:vAlign w:val="bottom"/>
            <w:tcBorders>
              <w:right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Change in Fair</w:t>
            </w:r>
          </w:p>
        </w:tc>
        <w:tc>
          <w:tcPr>
            <w:tcW w:w="136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Jeffrey</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Hawkins</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Hawkins</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336"/>
        </w:trPr>
        <w:tc>
          <w:tcPr>
            <w:tcW w:w="780" w:type="dxa"/>
            <w:vAlign w:val="bottom"/>
            <w:tcBorders>
              <w:right w:val="single" w:sz="8" w:color="auto"/>
            </w:tcBorders>
          </w:tcPr>
          <w:p>
            <w:pPr>
              <w:spacing w:after="0"/>
              <w:rPr>
                <w:sz w:val="24"/>
                <w:szCs w:val="24"/>
                <w:color w:val="auto"/>
              </w:rPr>
            </w:pPr>
          </w:p>
        </w:tc>
        <w:tc>
          <w:tcPr>
            <w:tcW w:w="1380" w:type="dxa"/>
            <w:vAlign w:val="bottom"/>
            <w:tcBorders>
              <w:bottom w:val="single" w:sz="8" w:color="CCEEFF"/>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5,912,490</w:t>
            </w:r>
          </w:p>
        </w:tc>
        <w:tc>
          <w:tcPr>
            <w:tcW w:w="7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r>
      <w:tr>
        <w:trPr>
          <w:trHeight w:val="299"/>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Year-End Fair</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Change in Fair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Vesting-Date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Fair Value at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from Last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Fair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Last</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Value of Equity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 Vesting Date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Day of Prior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That</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Last Day of</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 Equity</w:t>
            </w:r>
          </w:p>
        </w:tc>
        <w:tc>
          <w:tcPr>
            <w:tcW w:w="136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Unvested</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During Year</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Total - Average</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as of Last Day</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Unvested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that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that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Forfeited</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Inclusion of</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3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Equity</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Vested During</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During</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Equity Values</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Awards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During Year for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Year for</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for</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Non-PEO</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Non-PEO</w:t>
            </w:r>
          </w:p>
        </w:tc>
        <w:tc>
          <w:tcPr>
            <w:tcW w:w="740" w:type="dxa"/>
            <w:vAlign w:val="bottom"/>
          </w:tcPr>
          <w:p>
            <w:pPr>
              <w:spacing w:after="0"/>
              <w:rPr>
                <w:sz w:val="18"/>
                <w:szCs w:val="18"/>
                <w:color w:val="auto"/>
              </w:rPr>
            </w:pPr>
          </w:p>
        </w:tc>
      </w:tr>
      <w:tr>
        <w:trPr>
          <w:trHeight w:val="216"/>
        </w:trPr>
        <w:tc>
          <w:tcPr>
            <w:tcW w:w="7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13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NEOs</w:t>
            </w:r>
          </w:p>
        </w:tc>
        <w:tc>
          <w:tcPr>
            <w:tcW w:w="740" w:type="dxa"/>
            <w:vAlign w:val="bottom"/>
          </w:tcPr>
          <w:p>
            <w:pPr>
              <w:spacing w:after="0"/>
              <w:rPr>
                <w:sz w:val="18"/>
                <w:szCs w:val="18"/>
                <w:color w:val="auto"/>
              </w:rPr>
            </w:pPr>
          </w:p>
        </w:tc>
      </w:tr>
      <w:tr>
        <w:trPr>
          <w:trHeight w:val="234"/>
        </w:trPr>
        <w:tc>
          <w:tcPr>
            <w:tcW w:w="7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Year</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spacing w:after="0"/>
              <w:rPr>
                <w:sz w:val="20"/>
                <w:szCs w:val="20"/>
                <w:color w:val="auto"/>
              </w:rPr>
            </w:pPr>
          </w:p>
        </w:tc>
      </w:tr>
      <w:tr>
        <w:trPr>
          <w:trHeight w:val="67"/>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2022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942,397</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(269,092)</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106,077</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(112,285)</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667,097</w:t>
            </w:r>
          </w:p>
        </w:tc>
        <w:tc>
          <w:tcPr>
            <w:tcW w:w="740" w:type="dxa"/>
            <w:vAlign w:val="bottom"/>
          </w:tcPr>
          <w:p>
            <w:pPr>
              <w:spacing w:after="0"/>
              <w:rPr>
                <w:sz w:val="24"/>
                <w:szCs w:val="24"/>
                <w:color w:val="auto"/>
              </w:rPr>
            </w:pPr>
          </w:p>
        </w:tc>
      </w:tr>
      <w:tr>
        <w:trPr>
          <w:trHeight w:val="68"/>
        </w:trPr>
        <w:tc>
          <w:tcPr>
            <w:tcW w:w="780" w:type="dxa"/>
            <w:vAlign w:val="bottom"/>
            <w:tcBorders>
              <w:right w:val="single" w:sz="8" w:color="auto"/>
            </w:tcBorders>
          </w:tcPr>
          <w:p>
            <w:pPr>
              <w:spacing w:after="0"/>
              <w:rPr>
                <w:sz w:val="5"/>
                <w:szCs w:val="5"/>
                <w:color w:val="auto"/>
              </w:rPr>
            </w:pPr>
          </w:p>
        </w:tc>
        <w:tc>
          <w:tcPr>
            <w:tcW w:w="138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4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1360" w:type="dxa"/>
            <w:vAlign w:val="bottom"/>
            <w:tcBorders>
              <w:bottom w:val="single" w:sz="8" w:color="auto"/>
              <w:right w:val="single" w:sz="8" w:color="auto"/>
            </w:tcBorders>
            <w:shd w:val="clear" w:color="auto" w:fill="CCEEFF"/>
          </w:tcPr>
          <w:p>
            <w:pPr>
              <w:spacing w:after="0"/>
              <w:rPr>
                <w:sz w:val="5"/>
                <w:szCs w:val="5"/>
                <w:color w:val="auto"/>
              </w:rPr>
            </w:pPr>
          </w:p>
        </w:tc>
        <w:tc>
          <w:tcPr>
            <w:tcW w:w="740" w:type="dxa"/>
            <w:vAlign w:val="bottom"/>
          </w:tcPr>
          <w:p>
            <w:pPr>
              <w:spacing w:after="0"/>
              <w:rPr>
                <w:sz w:val="5"/>
                <w:szCs w:val="5"/>
                <w:color w:val="auto"/>
              </w:rPr>
            </w:pPr>
          </w:p>
        </w:tc>
      </w:tr>
      <w:tr>
        <w:trPr>
          <w:trHeight w:val="277"/>
        </w:trPr>
        <w:tc>
          <w:tcPr>
            <w:tcW w:w="7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2021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1,251,885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(87,448)</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12,891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(19,979)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1,157,349</w:t>
            </w:r>
          </w:p>
        </w:tc>
        <w:tc>
          <w:tcPr>
            <w:tcW w:w="740" w:type="dxa"/>
            <w:vAlign w:val="bottom"/>
          </w:tcPr>
          <w:p>
            <w:pPr>
              <w:spacing w:after="0"/>
              <w:rPr>
                <w:sz w:val="24"/>
                <w:szCs w:val="24"/>
                <w:color w:val="auto"/>
              </w:rPr>
            </w:pPr>
          </w:p>
        </w:tc>
      </w:tr>
      <w:tr>
        <w:trPr>
          <w:trHeight w:val="54"/>
        </w:trPr>
        <w:tc>
          <w:tcPr>
            <w:tcW w:w="7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40" w:type="dxa"/>
            <w:vAlign w:val="bottom"/>
          </w:tcPr>
          <w:p>
            <w:pPr>
              <w:spacing w:after="0"/>
              <w:rPr>
                <w:sz w:val="4"/>
                <w:szCs w:val="4"/>
                <w:color w:val="auto"/>
              </w:rPr>
            </w:pPr>
          </w:p>
        </w:tc>
      </w:tr>
      <w:tr>
        <w:trPr>
          <w:trHeight w:val="426"/>
        </w:trPr>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Description of Relationship Between PEOs and Non-PEO NEO Compensation Actually Paid and Company Total Shareholder Return (“TSR”)</w:t>
      </w:r>
    </w:p>
    <w:p>
      <w:pPr>
        <w:spacing w:after="0" w:line="62"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The following chart sets forth the relationship between Compensation Actually Paid to our PEOs, the average of Compensation Actually Paid to our Non-PEO NEOs,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160020</wp:posOffset>
            </wp:positionV>
            <wp:extent cx="5194935" cy="26485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Relationship Between PEOs and Non-PEO NEO Compensation Actually Paid and Net Income</w:t>
      </w:r>
    </w:p>
    <w:p>
      <w:pPr>
        <w:spacing w:after="0" w:line="11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The following chart sets forth the relationship between Compensation Actually Paid to our PEOs, the average of Compensation Actually Paid to our Non-PEO NEOs, and our Net Income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127635</wp:posOffset>
            </wp:positionV>
            <wp:extent cx="5194935" cy="2648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493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2022.</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480" w:type="dxa"/>
            <w:vAlign w:val="bottom"/>
          </w:tcPr>
          <w:p>
            <w:pPr>
              <w:spacing w:after="0"/>
              <w:rPr>
                <w:sz w:val="16"/>
                <w:szCs w:val="16"/>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53"/>
        </w:trPr>
        <w:tc>
          <w:tcPr>
            <w:tcW w:w="3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Plan category</w:t>
            </w: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 of securities to be</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options,</w:t>
            </w:r>
          </w:p>
        </w:tc>
        <w:tc>
          <w:tcPr>
            <w:tcW w:w="1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86"/>
        </w:trPr>
        <w:tc>
          <w:tcPr>
            <w:tcW w:w="3440" w:type="dxa"/>
            <w:vAlign w:val="bottom"/>
            <w:gridSpan w:val="2"/>
            <w:vMerge w:val="continue"/>
          </w:tcPr>
          <w:p>
            <w:pPr>
              <w:spacing w:after="0"/>
              <w:rPr>
                <w:sz w:val="16"/>
                <w:szCs w:val="16"/>
                <w:color w:val="auto"/>
              </w:rPr>
            </w:pPr>
          </w:p>
        </w:tc>
        <w:tc>
          <w:tcPr>
            <w:tcW w:w="1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warrants and rights</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warrants and rights</w:t>
            </w: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53"/>
        </w:trPr>
        <w:tc>
          <w:tcPr>
            <w:tcW w:w="32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w:t>
            </w:r>
          </w:p>
        </w:tc>
        <w:tc>
          <w:tcPr>
            <w:tcW w:w="166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18,666,204</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2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$3.91</w:t>
            </w:r>
            <w:r>
              <w:rPr>
                <w:rFonts w:ascii="Arial" w:cs="Arial" w:eastAsia="Arial" w:hAnsi="Arial"/>
                <w:sz w:val="29"/>
                <w:szCs w:val="29"/>
                <w:color w:val="auto"/>
                <w:vertAlign w:val="superscript"/>
              </w:rPr>
              <w:t>(2)</w:t>
            </w:r>
          </w:p>
        </w:tc>
        <w:tc>
          <w:tcPr>
            <w:tcW w:w="180" w:type="dxa"/>
            <w:vAlign w:val="bottom"/>
            <w:shd w:val="clear" w:color="auto" w:fill="CCEEFF"/>
          </w:tcPr>
          <w:p>
            <w:pPr>
              <w:spacing w:after="0"/>
              <w:rPr>
                <w:sz w:val="22"/>
                <w:szCs w:val="22"/>
                <w:color w:val="auto"/>
              </w:rPr>
            </w:pPr>
          </w:p>
        </w:tc>
        <w:tc>
          <w:tcPr>
            <w:tcW w:w="1680" w:type="dxa"/>
            <w:vAlign w:val="bottom"/>
            <w:gridSpan w:val="3"/>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9,133,702</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r>
        <w:trPr>
          <w:trHeight w:val="284"/>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660" w:type="dxa"/>
            <w:vAlign w:val="bottom"/>
            <w:gridSpan w:val="3"/>
            <w:vMerge w:val="continue"/>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vMerge w:val="continue"/>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gridSpan w:val="3"/>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440" w:type="dxa"/>
            <w:vAlign w:val="bottom"/>
            <w:gridSpan w:val="2"/>
          </w:tcPr>
          <w:p>
            <w:pPr>
              <w:spacing w:after="0"/>
              <w:rPr>
                <w:sz w:val="20"/>
                <w:szCs w:val="20"/>
                <w:color w:val="auto"/>
              </w:rPr>
            </w:pPr>
            <w:r>
              <w:rPr>
                <w:rFonts w:ascii="Arial" w:cs="Arial" w:eastAsia="Arial" w:hAnsi="Arial"/>
                <w:sz w:val="18"/>
                <w:szCs w:val="18"/>
                <w:color w:val="auto"/>
                <w:w w:val="97"/>
              </w:rPr>
              <w:t>Equity compensation plans not approved by</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44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security holders</w:t>
            </w:r>
            <w:r>
              <w:rPr>
                <w:rFonts w:ascii="Arial" w:cs="Arial" w:eastAsia="Arial" w:hAnsi="Arial"/>
                <w:sz w:val="26"/>
                <w:szCs w:val="26"/>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2,780,000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21,446,204</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$3.69</w:t>
            </w:r>
          </w:p>
        </w:tc>
        <w:tc>
          <w:tcPr>
            <w:tcW w:w="180" w:type="dxa"/>
            <w:vAlign w:val="bottom"/>
            <w:shd w:val="clear" w:color="auto" w:fill="CCEEFF"/>
          </w:tcPr>
          <w:p>
            <w:pPr>
              <w:spacing w:after="0"/>
              <w:rPr>
                <w:sz w:val="24"/>
                <w:szCs w:val="24"/>
                <w:color w:val="auto"/>
              </w:rPr>
            </w:pPr>
          </w:p>
        </w:tc>
        <w:tc>
          <w:tcPr>
            <w:tcW w:w="1680" w:type="dxa"/>
            <w:vAlign w:val="bottom"/>
            <w:gridSpan w:val="3"/>
            <w:shd w:val="clear" w:color="auto" w:fill="CCEEFF"/>
          </w:tcPr>
          <w:p>
            <w:pPr>
              <w:jc w:val="right"/>
              <w:ind w:right="320"/>
              <w:spacing w:after="0" w:line="270" w:lineRule="exact"/>
              <w:rPr>
                <w:sz w:val="20"/>
                <w:szCs w:val="20"/>
                <w:color w:val="auto"/>
              </w:rPr>
            </w:pPr>
            <w:r>
              <w:rPr>
                <w:rFonts w:ascii="Arial" w:cs="Arial" w:eastAsia="Arial" w:hAnsi="Arial"/>
                <w:sz w:val="18"/>
                <w:szCs w:val="18"/>
                <w:b w:val="1"/>
                <w:bCs w:val="1"/>
                <w:color w:val="auto"/>
              </w:rPr>
              <w:t>9,133,702</w:t>
            </w:r>
            <w:r>
              <w:rPr>
                <w:rFonts w:ascii="Arial" w:cs="Arial" w:eastAsia="Arial" w:hAnsi="Arial"/>
                <w:sz w:val="29"/>
                <w:szCs w:val="29"/>
                <w:b w:val="1"/>
                <w:bCs w:val="1"/>
                <w:color w:val="auto"/>
                <w:vertAlign w:val="superscript"/>
              </w:rPr>
              <w:t>(5)</w:t>
            </w:r>
          </w:p>
        </w:tc>
        <w:tc>
          <w:tcPr>
            <w:tcW w:w="0" w:type="dxa"/>
            <w:vAlign w:val="bottom"/>
          </w:tcPr>
          <w:p>
            <w:pPr>
              <w:spacing w:after="0"/>
              <w:rPr>
                <w:sz w:val="1"/>
                <w:szCs w:val="1"/>
                <w:color w:val="auto"/>
              </w:rPr>
            </w:pPr>
          </w:p>
        </w:tc>
      </w:tr>
      <w:tr>
        <w:trPr>
          <w:trHeight w:val="27"/>
        </w:trPr>
        <w:tc>
          <w:tcPr>
            <w:tcW w:w="3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-925195</wp:posOffset>
            </wp:positionV>
            <wp:extent cx="120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-925195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-925195</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5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6,606,547 shares to be issued upon exercise of outstanding options and RSUs under the 2013 Plan and (ii) 12,059,657 shares to be issued upon exercise of outstanding options and RSUs under the 2021 Plan.</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$3.91 stock options outstanding on December 31, 2022.</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shares that remained available for future issuance under the 2021 Plan as of December 31, 2022. No shares remained available for future issuance under the 2013 Plan as of December 31, 2022.</w:t>
      </w:r>
    </w:p>
    <w:p>
      <w:pPr>
        <w:spacing w:after="0" w:line="11" w:lineRule="exact"/>
        <w:rPr>
          <w:rFonts w:ascii="Arial" w:cs="Arial" w:eastAsia="Arial" w:hAnsi="Arial"/>
          <w:sz w:val="14"/>
          <w:szCs w:val="14"/>
          <w:color w:val="auto"/>
        </w:rPr>
      </w:pPr>
    </w:p>
    <w:p>
      <w:pPr>
        <w:jc w:val="both"/>
        <w:ind w:left="640" w:right="319" w:hanging="348"/>
        <w:spacing w:after="0" w:line="264" w:lineRule="auto"/>
        <w:tabs>
          <w:tab w:leader="none" w:pos="6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Column (a) includes shares of common stock available for issuance upon the exercise of performance-based non-qualified stock options granted to Mr. Hawkins in connection with the commencement of his employment with us on October 10, 2022. These awards were granted as an inducement award material to Mr. Hawkins entering into employment with us pursuant to Nasdaq Rule 5635(c)(4).</w:t>
      </w:r>
    </w:p>
    <w:p>
      <w:pPr>
        <w:spacing w:after="0" w:line="6"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2021 Plan has an evergreen provision that allows for an annual increase in the number of shares available for issuance under the 2021 Plan to be added on the first day of each fiscal year, beginning in fiscal year 2022 and ending on the second day of fiscal year 2031. The evergreen provides for an automatic increase in the number of shares available for issuance equal to the lesser of (i) 4% of the number of outstanding shares of common stock on such date and (ii) an amount determined by the plan administrator. This total does not reflect the automatic increase in the number of shares available for issuance under the 2021 Plan that was effective on January 1, 2023 pursuant the evergreen provision.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audit committee of our board of directors, which consists entirely of directors who meet the independence and experience requirements of the Nasdaq Stock Market, has furnished the following report:</w:t>
      </w:r>
    </w:p>
    <w:p>
      <w:pPr>
        <w:spacing w:after="0" w:line="3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www.quantum-si.com. This committee reviews and reassesses our charter annually and recommends any changes to our board of directors for approval. The audit committee is responsible for overseeing our overall financial reporting process, and for the appointment, compensation, retention, and oversight of the work of Deloitte &amp; Touche LLP. In fulfilling its responsibilities for the financial statements for fiscal year ended December 31, 2022, the audit committee took the following actions:</w:t>
      </w:r>
    </w:p>
    <w:p>
      <w:pPr>
        <w:spacing w:after="0" w:line="57" w:lineRule="exact"/>
        <w:rPr>
          <w:sz w:val="20"/>
          <w:szCs w:val="20"/>
          <w:color w:val="auto"/>
        </w:rPr>
      </w:pPr>
    </w:p>
    <w:p>
      <w:pPr>
        <w:ind w:left="1360" w:right="319" w:hanging="348"/>
        <w:spacing w:after="0" w:line="342"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2022 with management and Deloitte &amp; Touche LLP, our independent registered public accounting firm;</w:t>
      </w:r>
    </w:p>
    <w:p>
      <w:pPr>
        <w:spacing w:after="0" w:line="15" w:lineRule="exact"/>
        <w:rPr>
          <w:rFonts w:ascii="Arial" w:cs="Arial" w:eastAsia="Arial" w:hAnsi="Arial"/>
          <w:sz w:val="16"/>
          <w:szCs w:val="16"/>
          <w:color w:val="auto"/>
        </w:rPr>
      </w:pPr>
    </w:p>
    <w:p>
      <w:pPr>
        <w:ind w:left="1360" w:right="319" w:hanging="348"/>
        <w:spacing w:after="0" w:line="277"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Discussed with Deloitte &amp; Touche LLP the matters required to be discussed in accordance with Auditing Standard No. 1301- Communications with Audit Committees; and</w:t>
      </w:r>
    </w:p>
    <w:p>
      <w:pPr>
        <w:spacing w:after="0" w:line="62" w:lineRule="exact"/>
        <w:rPr>
          <w:rFonts w:ascii="Arial" w:cs="Arial" w:eastAsia="Arial" w:hAnsi="Arial"/>
          <w:sz w:val="18"/>
          <w:szCs w:val="18"/>
          <w:color w:val="auto"/>
        </w:rPr>
      </w:pPr>
    </w:p>
    <w:p>
      <w:pPr>
        <w:jc w:val="both"/>
        <w:ind w:left="1360" w:right="319" w:hanging="348"/>
        <w:spacing w:after="0" w:line="293" w:lineRule="auto"/>
        <w:tabs>
          <w:tab w:leader="none" w:pos="1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Received written disclosures and the letter from Deloitte &amp; Touche LLP regarding its independence as required by applicable requirements of the Public Company Accounting Oversight Board regarding Deloitte &amp; Touche LLP’s communications with the audit committee and the audit committee further discussed with Deloitte &amp; Touche LLP their independence. The audit committee also considered the status of pending litigation, taxation matters and other areas of oversight relating to the financial reporting and audit process that the committee determined appropriate.</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Deloitte &amp; Touche LLP, the audit committee recommended to our board of directors that the audited financial statements be included in our Annual Report on Form 10-K for the fiscal year ended December 31, 2022 for filing with the SEC.</w:t>
      </w:r>
    </w:p>
    <w:p>
      <w:pPr>
        <w:spacing w:after="0" w:line="16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Members of the Quantum-Si Incorporated Audit Committee</w:t>
      </w:r>
    </w:p>
    <w:p>
      <w:pPr>
        <w:spacing w:after="0" w:line="200" w:lineRule="exact"/>
        <w:rPr>
          <w:sz w:val="20"/>
          <w:szCs w:val="20"/>
          <w:color w:val="auto"/>
        </w:rPr>
      </w:pPr>
    </w:p>
    <w:p>
      <w:pPr>
        <w:spacing w:after="0" w:line="25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Brigid A. Makes</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Ruth Fattori</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HighCape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Relationship with Sponsor</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HighCape’s executive offices were located at 452 Fifth Avenue, 21st Floor, New York, NY 10018, which office space was leased by an affiliate of the Sponsor. Commencing upon consummation of its initial public offering, HighCape reimbursed the affiliate of the Sponsor $10,000 per month for office space, utilities, administrative and support services. Upon completion of the Business Combination in June 2021, HighCape ceased paying these monthly fees.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Financing</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connection with the execution of the Business Combination Agreement, HighCape entered into the PIPE Investor Subscription Agreements with certain institutional and accredited investors (the “PIPE Investors”), pursuant to which, among other things, HighCape issued and sold in the PIPE Financing an aggregate of 42,500,000 shares of HighCape Class A common stock to the PIPE Investors, for $10.00 per share immediately prior to the Closing, for aggregate gross proceeds to HighCape of $425.0 million. HighCape Partners QSI II Invest, L.P. purchases 601,000 shares of HighCape Class A common stock, HighCape Partners II, L.P. purchased 24,527 shares of HighCape Class A common stock, HighCape Partners QP II, L.P. purchased 1,175,473 shares of HighCape Class A common stock, the Rothberg Family Fund I, LLC purchased 500,000 shares of HighCape Class A common stock, Foresite Capital Fund V, L.P. purchased 1,250,000 shares of HighCape Class A common stock, Foresite Capital Opportunity Fund V, L.P. purchased 1,250,000 shares of HighCape Class A common stock, Glenview Capital Management, LLC purchased 6,000,000 shares of HighCape Class A common stock, Kevin Rakin purchased 50,000 shares of HighCape Class A common stock, the Kevin L. Rakin Irrevocable Trust purchased 50,000 shares of HighCape Class A common stock, Novalis Lifesciences Investments I, LLP (of which Marijn Dekkers, Ph.D. has sole voting and investment control over the entity’s shares) purchased 500,000 shares of HighCape Class A common stock, and Christian LaPointe, Ph.D. purchased 50,000 shares of HighCape Class A common stock in the PIPE Financing.</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with certain affiliates of Foresite Capital Management, LLC (the “Foresite Funds”), pursuant to which the Foresite Funds were issued 696,250 shares of HighCape Class A common stock at a price of $0.001 per share for aggregate gross proceeds of $696.25 after a corresponding number of shares of HighCape Class B common stock were irrevocably forfeited by the Sponsor to HighCape for no consideration and automatically cancelled.</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Quantum-Si</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 Arrangements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occupy office space located at 530 Old Whitfield Street, Guilford, Connecticut, which is owned by PB &amp; AJ Express, LLC, whose manager and owner is Michael Rothberg, who is a sibling of Jonathan M. Rothberg, Ph.D., the founder of Legacy Quantum-Si and Chairman of our board of directors. We paid PB &amp; AJ Express, LLC on a month-to-month basis for use of the space, and in connection with the Business Combination, we entered into a month-to-month lease with PB &amp; AJ Express, LLC for this space. Under this arrangement, we or Legacy Quantum-Si paid $321,600 and $321,600 for the years ended December 31, 2021 and 2022, respectively, and have incurred $80,400 and paid $53,600 for the period January 1, 2023 to March 1, 2023.</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We also occupy office space at 351 New Whitfield Street, Guilford, Connecticut, 485 Old Whitfield Street, Guilford, Connecticut, and 3000 El Camino Real, Suite 100, Palo Alto, California. The office space at 485 Old Whitfield Street, Guilford, Connecticut is leased from Oceanco, LLC by 4C, of which Michael Rothberg, who is a sibling of Jonathan M. Rothberg, Ph.D., the founder of Legacy Quantum-Si and Chairman of our board of directors, is the sole stockholder, and we will have the right to rent rooms at 485 Old Whitfield Street from 4C for $100 per employee per day. The office space at 351 New Whitfield Street, Guilford, Connecticut is leased from an unrelated landlord by 4C. In connection with the Business Combination, 4C subleased space to us at 351 New Whitfield Street, where we occupy such portions of the space as 4C may designate from time to time on a month-to-month basis, and pay our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expenses paid by 4C for such space under the master lease. The office space at 3000 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Camino Real is leased from an unrelated landlord by 4C. In connection with the Business Combination, 4C granted us a license to use such portions of the office space at 3000 El Camino Real as 4C may designate from time to time. We pay 4C on a per diem and month-to-month basis, respectively, for use of the space in 485 Old Whitfield Street and 351 New Whitfield Street, but no rental or lease agreement is effective. Under these arrangements, we or Legacy Quantum-Si paid $9,225 and $30,850 for the years ended December 31, 2021 and 2022, respectively, and have incurred and paid $0 for the period January 1, 2023 to March 1, 2023 related to 485 Old Whitfield Street; $51,095 and $60,148 for the same time periods, and have incurred $14,367 and paid $0 for the period January 1, 2023 to March 1, 2023 related to 351 New Whitfield Street; $87,259 and $75,579 for the same time periods and have incurred $4,199 and paid $0 for the period January 1, 2023 to March 1, 2023 related to Suite 100 at 3000 El Camino Real.</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Technology Services Agreement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On November 11, 2020, Legacy Quantum-Si entered into an Amended and Restated Technology Services Agreement (the “ARTSA”) by and among 4C, Legacy Quantum-Si and other participant companies controlled by the Rothberg family, including Butterfly Network, Inc., AI Therapeutics, Inc., Hyperfine, Inc., 4Bionics LLC, identifeye Health Inc., Liminal Sciences, Inc. and Detect, Inc. Under the ARTSA, Legacy Quantum-Si and the other participant companies agreed to share certain non-core technologies, which means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subject to certain restrictions on use, with the other participant companies. The ARTSA provided that ownership of each non-core technology shared by 4C, Legacy Quantum-Si or another participant company remained with the company that originally shared the non-core technology. The ARTSA also provides for 4C to perform certain services to Legacy Quantum-Si and each other participant company, such as general administration, facilities, information technology, financing, legal, human resources and other services. The ARTSA also provided for the participant companies to provide other services to each other. The fees due to 4C or the other participants for such services were allocated to Legacy Quantum-Si and the participant companies based on the total costs and expenses for the relative amount of services and resources used by the participant company, except for services with respect to intellectual property, which were based on a negotiated cost plus methodology. The ARTSA provided that all inventions of 4C, Legacy Quantum-Si or the other participants made in the course of providing such services are owned by the receiving participant and that the receiving participant will grant to the participant company providing the services a royalty-free, perpetual, limited, worldwide, non-exclusive license to use such inventions only in the core business field of the participating company.</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ARTSA had an initial term of five years from the date of the ARTSA and provided that the ARTSA be automatically extended for additional, consecutive one-year renewal terms. Each participating company, including Legacy Quantum-Si, has the right to terminate the ARTSA at any time upon 30 days’ prior notice and 4C had the right to terminate the ARTSA at any time upon 90 days’ prior notice. On February 17, 2021, Legacy Quantum-Si and 4C entered into the First Addendum to the ARTSA, pursuant to which Legacy Quantum-Si agreed to terminate its participation under the ARTSA in connection with the Business Combination. Legacy Quantum-Si entered into a Master Services Agreement (“MSA”) with 4C effective as of February 17, 2021 pursuant to which we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w:t>
      </w:r>
    </w:p>
    <w:p>
      <w:pPr>
        <w:spacing w:after="0" w:line="7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Legacy Quantum-Si paid approximately $1,579,000 from January 1, 2021 until the Closing of the Business Combination, for services under the ARTSA. We paid approximately $302,000 from the Closing of the Business Combination until the year ended December 31 2021 and paid an additional $128,000 in February 2022, for services under the MSA. We paid approximately $567,000 related to the year ended December 31, 2022, and have incurred approximately $70,000 and paid $0 related to the period from January 1, 2023 to March 1, 2023, for services under the MSA. The incurred expenses for the years ended December 31, 2021 and 2022 include the amounts reported in the “Lease Arrangements” section above for the office space at 351 New Whitfield Street, Guilford, Connecticut, 485 Old Whitfield Street, Guilford, Connecticut, and 3000 El Camino Real, Suite 100, Palo Alto, California.</w:t>
      </w:r>
    </w:p>
    <w:p>
      <w:pPr>
        <w:spacing w:after="0" w:line="165" w:lineRule="exact"/>
        <w:rPr>
          <w:sz w:val="20"/>
          <w:szCs w:val="20"/>
          <w:color w:val="auto"/>
        </w:rPr>
      </w:pPr>
    </w:p>
    <w:p>
      <w:pPr>
        <w:ind w:left="300" w:right="959"/>
        <w:spacing w:after="0" w:line="277" w:lineRule="auto"/>
        <w:rPr>
          <w:sz w:val="20"/>
          <w:szCs w:val="20"/>
          <w:color w:val="auto"/>
        </w:rPr>
      </w:pPr>
      <w:r>
        <w:rPr>
          <w:rFonts w:ascii="Arial" w:cs="Arial" w:eastAsia="Arial" w:hAnsi="Arial"/>
          <w:sz w:val="18"/>
          <w:szCs w:val="18"/>
          <w:b w:val="1"/>
          <w:bCs w:val="1"/>
          <w:i w:val="1"/>
          <w:iCs w:val="1"/>
          <w:color w:val="auto"/>
        </w:rPr>
        <w:t>Technology and Services Exchange Agreement, License Agreements, Binders Collaboration, and Protein Engineering Collaboration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Legacy Quantum-Si has entered into a Technology and Services Exchange Agreement (the “TSEA”) by and among Legacy Quantum-Si and other participant companies controlled by the Rothberg family, consisting of Butterfly Network, Inc., AI Therapeutics, Inc., Hyperfine, Inc., 4Bionics LLC, identifeye Health Inc., Liminal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Sciences, Inc. and Detect, Inc. The TSEA with Butterfly Network, Inc. was signed in November 2020, and the TSEA with the remaining participant companies was signed in February 2021 and became effective in connection with the Closing of the Business Combination. Under the TSEA, each participant company may, in its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 The TSEA provides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279"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Legacy Quantum-Si has entered into license agreements with certain of the TSEA participant companies. Pursuant to an Exclusive Patent License Agreement and Exclusive Software License Agreement, Legacy Quantum-Si has granted (i) Detect, Inc. a worldwide, exclusive (even as to us) royalty-free, fully paid up, perpetual license to exploit certain products and software for the detection of COVID-19 (and other viruses, pathogens and/or components thereof including without limitation nucleic acids that might be useful for understanding COVID-19, including controls for correct application) using a risk assessment assay that performs, without an electronic instrument (except for a small heater and/or fluorescent readout), in an at-home or personal use environment, and/or without the assistance of a health care provider or laboratory professional; (ii) drug discovery, drug development, and drug commercialization (but excluding biological sequencing and protein design using “intelligent” evolution);</w:t>
      </w:r>
    </w:p>
    <w:p>
      <w:pPr>
        <w:spacing w:after="0" w:line="6" w:lineRule="exact"/>
        <w:rPr>
          <w:sz w:val="20"/>
          <w:szCs w:val="20"/>
          <w:color w:val="auto"/>
        </w:rPr>
      </w:pPr>
    </w:p>
    <w:p>
      <w:pPr>
        <w:jc w:val="both"/>
        <w:ind w:left="300" w:right="299" w:hanging="8"/>
        <w:spacing w:after="0" w:line="284" w:lineRule="auto"/>
        <w:tabs>
          <w:tab w:leader="none" w:pos="6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ophthalmic imaging and/or measuring, including but not limited to associated point-of-care diagnostics, including but not limited to fluorescence-lifetime imaging (FLI) and/or optical coherence tomography (OCT), and time-of-flight sensors, including but not limited to range finding and 3D imaging; and (iv) protein design using directed evolution. Pursuant to an Exclusive Patent License Agreement and Exclusive Software License Agreement, Legacy Quantum-Si has granted LAM Therapeutics, Inc. a worldwide, exclusive (even as to us) royalty-free, fully paid up, perpetual license to exploit certain products and software for drug discovery, drug development, and drug commercialization (but excluding biological sequencing and protein design using “intelligent” evolution). Pursuant to an Exclusive License Agreement providing for a one-time upfront payment of $100,000 and royalties to us in the mid-single digits, Legacy Quantum-Si has granted identifeye Health Inc. a worldwide, exclusive license to exploit certain products for ophthalmic imaging and/or measuring, including but not limited to associated (i) point-of-care diagnostics, including but not limited to fluorescence-lifetime imaging (FLI) and/or optical coherence tomography (OCT), and (ii) time-of-flight sensors, including but not limited to range finding and 3D imaging. In addition, pursuant to the terms of an Exclusive Technology and Patent License Agreement and Exclusive Software License Agreement, Legacy Quantum-Si has granted Protein Evolution, Inc. (“PEI”) a worldwide, exclusive (even as to us) royalty-free, fully paid up, perpetual license to exploit certain products and software for protein design using directed evolution, and pursuant to the terms of an Exclusive Patent Sublicense Agreement with royalties in the low single digits, Legacy Quantum-Si has granted PEI a worldwide, exclusive to license to exploit certain patents, services and technology (i) for protein design using directed evolution (the “PEI Field”) and (ii) for the concentration, purification, analysis and/or other manipulation of biomolecules solely within the PEI Field.</w:t>
      </w:r>
    </w:p>
    <w:p>
      <w:pPr>
        <w:spacing w:after="0" w:line="6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September 20, 2021, we entered into a Binders Collaboration (the “Collaboration”) with PEI to develop technology and methods in the field of nanobodies and potentially other binders to produce novel biological reagents and related data. The Collaboration is made pursuant to and governed by the TSEA. Dr. Rothberg serves as Chairman of the board of directors of PEI and the Rothberg family are controlling stockholders of PEI. Effective March 31, 2022, the Collaboration with PEI was terminated, and we agreed to pay a final payment of approximately $1,135,000 under the Collaboration for all services rendered. We did not make any payments under the Collaboration for the year ended December 31, 2021. There was no amount payable at December 31, 2021 or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Effective October 1, 2022, we entered into a Protein Engineering Collaboration (the “New Collaboration”) with PEI to develop technology and methods in the field of nanobodies and potentially other binders to produce novel biological reagents and related data. The New Collaboration was made pursuant to and governed by the TSEA. Dr. Rothberg serves as Chairman of the Board of Directors of PEI and the Rothberg family are controlling stockholders of PEI. The amounts advanced and due from PEI at December 31, 2022 related to operating expenses were approximately $45,000.</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Agreements with Quantum-Si Stockholders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Closing of the Business Combination, we, the Sponsor and certain stockholders of Legacy Quantum-Si entered into the Amended and Restated Registration Rights Agreement, pursuant to which, among other things, the parties to the Amended and Restated Registration Rights Agreement were granted certain registration rights with respect to their respective shares of our common stock, in each case, on the terms and subject to the conditions therein.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Chairman Agreement with Jonathan M. Rothberg, Ph.D.</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connection with the Business Combination Agreement, Legacy Quantum-Si and Dr. Rothberg, the founder of Legacy Quantum-Si, and Chairman of our board of directors, entered into the Executive Chairman Agreement, effective as of the Closing, pursuant to which Dr. Rothberg advised our Chief Executive Officer and provided guidance to our board of directors. As compensation for Dr. Rothberg’s services under the Executive Chairman Agreement, we paid Dr. Rothberg a consulting fee of $33,334 per month during the term of the Executive Chairman Agreement. The Legacy Quantum-Si board of directors granted to Dr. Rothberg 1,500,000 RSUs. The RSUs will vest on the second anniversary of the grant date, without regard to Dr. Rothberg’s continued service to us, with full acceleration of vesting in the event of Dr. Rothberg’s death or disability or a change in control. Effective November 1, 2022, the Executive Chairman Agreement was terminated.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Advisory Agreement with Jonathan M. Rothberg, Ph.D.</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Effective November 1, 2022, we entered into an Advisory Agreement with Dr. Rothberg, pursuant to which Dr. Rothberg serves as Chairman of our board of directors and advises our Chief Executive Officer and the board of directors on strategic matters, and provides consulting, business development and similar services on matters relating to our current, future and potential scientific and strategic initiatives and such other consulting services reasonably requested from time to time. Pursuant to the Advisory Agreement, as compensation for the services provided thereunder, in March 2023, we granted to Dr. Rothberg an option to purchase 250,000 shares of our Class A common stock pursuant to the 2021 Plan. In connection with the Advisory Agreement, Dr. Rothberg’s title was changed from Executive Chairman to Chairman of our board of directors.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Indemnification Agreements with Officers and Directors and Directors’ and Officers’ Liability Insurance</w:t>
      </w:r>
    </w:p>
    <w:p>
      <w:pPr>
        <w:spacing w:after="0" w:line="13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connection with this Business Combination, we entered into indemnification agreements with each of our executive officers and directors. The indemnification agreements, our restated certificate of incorporation and our bylaws require that we indemnify our directors to the fullest extent not prohibited by Delaware law. Subject to certain limitations, the bylaws will also require us to advance expenses incurred by our directors and officers. We will also maintain a general liability insurance policy, which covers certain liabilities of our directors and officers arising out of claims based on acts or omissions in their capacities as directors or officers.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ELECTION OF DIRECTORS</w:t>
      </w:r>
    </w:p>
    <w:p>
      <w:pPr>
        <w:spacing w:after="0" w:line="10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March 12, 2023, our board of directors nominated Jonathan M. Rothberg, Ph.D., Jeffrey Hawkins, Ruth Fattori, Brigid A. Makes, Michael Mina, M.D., Ph.D., Kevin Rakin, and Scott Mendel for election at the annual meeting. If they are elected, they will serve on our board of directors until the 2024 annual meeting of stockholders and until their respective successors have been elected and qualified or subject to their earlier death, resignation or removal.</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authority to vote for any of these nominees is withheld, the shares represented by the enclosed proxy will be voted FOR the election of Jonathan M. Rothberg, Ph.D., Jeffrey Hawkins, Ruth Fattori, Brigid A. Makes, Michael Mina, M.D., Ph.D., Kevin Rakin, and Scott Mendel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Each nominee for director who receives the affirmative vote of a majority of the votes cast will be elected (meaning the number of shares voted “for” a nominee must exceed the number of shares voted “against” such nominee).</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THE ELECTION OF JONATHAN M. ROTHBERG, PH.D., JEFFREY HAWKINS, RUTH FATTORI, BRIGID A. MAKES, MICHAEL MINA, M.D., PH.D.,</w:t>
      </w:r>
    </w:p>
    <w:p>
      <w:pPr>
        <w:jc w:val="both"/>
        <w:ind w:left="300" w:right="299"/>
        <w:spacing w:after="0" w:line="255" w:lineRule="auto"/>
        <w:rPr>
          <w:sz w:val="20"/>
          <w:szCs w:val="20"/>
          <w:color w:val="auto"/>
        </w:rPr>
      </w:pPr>
      <w:r>
        <w:rPr>
          <w:rFonts w:ascii="Arial" w:cs="Arial" w:eastAsia="Arial" w:hAnsi="Arial"/>
          <w:sz w:val="18"/>
          <w:szCs w:val="18"/>
          <w:b w:val="1"/>
          <w:bCs w:val="1"/>
          <w:color w:val="auto"/>
        </w:rPr>
        <w:t>KEVIN RAKIN, AND SCOTT MENDEL AS DIRECTORS, AND PROXIES SOLICITED BY OUR BOARD OF DIRECTORS WILL BE VOTED IN FAVOR THEREOF UNLESS A STOCKHOLDER HAS INDICATED OTHERWISE ON THE PROXY.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firm of WithumSmith+Brown, PC (“Withum”) acted as HighCape’s independent registered public accounting firm. As previously disclosed, as a result of the Business Combination, the audit committee approved the dismissal of Withum as our independent registered public accounting firm. At the completion of the Business Combination, on June 10, 2021, our board of directors engaged Deloitte &amp; Touche LLP (“Deloitte”) as the independent registered public accounting firm to audit our consolidated financial statements for the fiscal years ended December 31, 2021 and December 31, 2022.</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Our board of directors proposes that the stockholders ratify the appointment of Deloitte &amp; Touche LLP as the independent registered public accounting firm to audit our financial statements for the fiscal year ended December 31, 2023. We expect that representatives of Deloitte &amp; Touche LLP will be present at the annual meeting, will be able to make a statement if they so desire, and will be available to respond to appropriate questions.</w:t>
      </w:r>
    </w:p>
    <w:p>
      <w:pPr>
        <w:spacing w:after="0" w:line="4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deciding to appoint Deloitte &amp; Touche LLP, the audit committee reviewed auditor independence issues and existing commercial relationships with Deloitte &amp; Touche LLP and concluded that Deloitte &amp; Touche LLP has no commercial relationship with the Company that would impair its independence for the fiscal year ending December 31, 2023.</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 summary of fees paid to Deloitte for the fiscal years ended December 31, 2022 and December 31, 2021.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r>
      <w:tr>
        <w:trPr>
          <w:trHeight w:val="53"/>
        </w:trPr>
        <w:tc>
          <w:tcPr>
            <w:tcW w:w="65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31"/>
        </w:trPr>
        <w:tc>
          <w:tcPr>
            <w:tcW w:w="650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$988,200</w:t>
            </w:r>
          </w:p>
        </w:tc>
        <w:tc>
          <w:tcPr>
            <w:tcW w:w="4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$1,431,200</w:t>
            </w:r>
          </w:p>
        </w:tc>
      </w:tr>
      <w:tr>
        <w:trPr>
          <w:trHeight w:val="324"/>
        </w:trPr>
        <w:tc>
          <w:tcPr>
            <w:tcW w:w="6500" w:type="dxa"/>
            <w:vAlign w:val="bottom"/>
          </w:tcPr>
          <w:p>
            <w:pPr>
              <w:spacing w:after="0" w:line="324"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1,155,000</w:t>
            </w:r>
          </w:p>
        </w:tc>
      </w:tr>
      <w:tr>
        <w:trPr>
          <w:trHeight w:val="324"/>
        </w:trPr>
        <w:tc>
          <w:tcPr>
            <w:tcW w:w="650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11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(2)</w:t>
            </w: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65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988,200</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2,586,200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-1062355</wp:posOffset>
            </wp:positionV>
            <wp:extent cx="274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-1062355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jc w:val="both"/>
        <w:ind w:left="640" w:right="299" w:hanging="348"/>
        <w:spacing w:after="0" w:line="264" w:lineRule="auto"/>
        <w:tabs>
          <w:tab w:leader="none" w:pos="6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Audit fees consisted of audit work performed in the preparation of consolidated financial statements, as well as work generally only the independent registered public accounting firm can reasonably be expected to provide, such as quarterly review procedures and the provision of consents in connection with the filing of registration statements and related amendments, as well as other filings.</w:t>
      </w:r>
    </w:p>
    <w:p>
      <w:pPr>
        <w:spacing w:after="0" w:line="6"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Audit-related fees consisted of services related to the Business Combination in 2021. There were no tax and other related fees in 2022 or 2021.</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the audit committee has pre-approved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60" w:lineRule="exact"/>
        <w:rPr>
          <w:sz w:val="20"/>
          <w:szCs w:val="20"/>
          <w:color w:val="auto"/>
        </w:rPr>
      </w:pPr>
    </w:p>
    <w:p>
      <w:pPr>
        <w:jc w:val="both"/>
        <w:ind w:left="300" w:right="319"/>
        <w:spacing w:after="0" w:line="282"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xml:space="preserve">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or reporting standards.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i w:val="1"/>
          <w:iCs w:val="1"/>
          <w:color w:val="auto"/>
        </w:rPr>
        <w:t>Audit-Related</w:t>
      </w:r>
      <w:r>
        <w:rPr>
          <w:rFonts w:ascii="Arial" w:cs="Arial" w:eastAsia="Arial" w:hAnsi="Arial"/>
          <w:sz w:val="17"/>
          <w:szCs w:val="17"/>
          <w:color w:val="auto"/>
        </w:rPr>
        <w:t xml:space="preserve">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i w:val="1"/>
          <w:iCs w:val="1"/>
          <w:color w:val="auto"/>
        </w:rPr>
        <w:t>Tax</w:t>
      </w:r>
      <w:r>
        <w:rPr>
          <w:rFonts w:ascii="Arial" w:cs="Arial" w:eastAsia="Arial" w:hAnsi="Arial"/>
          <w:sz w:val="18"/>
          <w:szCs w:val="18"/>
          <w:color w:val="auto"/>
        </w:rPr>
        <w:t xml:space="preserve">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i w:val="1"/>
          <w:iCs w:val="1"/>
          <w:color w:val="auto"/>
        </w:rPr>
        <w:t>Other Fees</w:t>
      </w:r>
      <w:r>
        <w:rPr>
          <w:rFonts w:ascii="Arial" w:cs="Arial" w:eastAsia="Arial" w:hAnsi="Arial"/>
          <w:sz w:val="18"/>
          <w:szCs w:val="18"/>
          <w:color w:val="auto"/>
        </w:rPr>
        <w:t xml:space="preserve"> are those associated with services not captured in the other categories. We generally do not request such services from our independent registered public accounting firm.</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5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the stockholders do not ratify the appointment of Deloitte &amp; Touche LLP as our independent registered public accounting firm, the audit committee will reconsider its appointment.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affirmative vote of a majority of the votes cast at the annual meeting is required to ratify the appointment of the independent registered public accounting firm.</w:t>
      </w:r>
    </w:p>
    <w:p>
      <w:pPr>
        <w:spacing w:after="0" w:line="5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RATIFY THE APPOINTMENT OF DELOITTE &amp; TOUCHE LLP AS OUR INDEPENDENT REGISTERED PUBLIC ACCOUNTING FIRM, AND PROXIES SOLICITED BY OUR BOARD OF DIRECTORS WILL BE VOTED IN FAVOR OF SUCH RATIFICATION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360"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NON-BINDING, ADVISORY VOTE ON APPROVAL OF EXECUTIVE COMPENSATION AS DISCLOSED IN THIS PROXY STATEMENT</w:t>
      </w:r>
    </w:p>
    <w:p>
      <w:pPr>
        <w:spacing w:after="0" w:line="5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are seeking your advisory vote as required by Section 14A of the Securities Exchange Act of 1934, as amended, on the approval of the compensation of our named executive officers as described in the compensation tables and related material contained in this proxy statement. Because your vote is advisory, it will not be binding on our compensation committee or our board of directors. However, the Compensation Committee and our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2024 Annual Meeting of Stockholders.</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compensation philosophy is designed to align each executive’s compensation with Quantum-Si Incorporated’s short-term and long-term performance and to provide the compensation and incentives needed to attract, motivate and retain key executives who are crucial to our long-term success. Consistent with this philosophy, a significant portion of the total compensation opportunity for each of our executives is directly related to performance factors that measure our progress against the goals of our strategic and operating plans, as well as our performance against that of our peer companies.</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2023 annual meeting:</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“RESOLVED, that the compensation paid to the named executive officers of Quantum-Si Incorporated, as disclosed pursuant to the compensation disclosure rules of the Securities and Exchange Commission, including the compensation tables and the related material disclosed in this proxy statement, is hereby APPROVED.”</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affirmative vote of the majority of the votes cast at the annual meeting is required to approve, on a non-binding, advisory basis, this resolution.</w:t>
      </w:r>
    </w:p>
    <w:p>
      <w:pPr>
        <w:spacing w:after="0" w:line="5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APPROVE THE COMPENSATION OF OUR NAMED EXECUTIVE OFFICERS, AND PROXIES SOLICITED BY OUR BOARD OF DIRECTORS WILL BE VOTED IN FAVOR OF SUCH APPROVAL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360"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AMENDMENT OF OUR CERTIFICATE OF INCORPORATION TO LIMIT THE LIABILITY OF OUR OFFICERS AS PERMITTED BY RECENT AMENDMENTS TO DELAWARE LAW</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board of directors has determined that it is advisable to amend our second amended and restated certificate of incorporation to provide for the elimination or limitation of monetary liability of our officers for breach of the duty of care, and has voted to recommend that the stockholders adopt an amendment to our second amended and restated certificate of incorporation to limit the liability of our officers as permitted by recent amendments to Delaware law. The full text of the proposed amendment to the second amended and restated certificate of incorporation is attached to this proxy statement as Appendix A.</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State of Delaware, which is our state of incorporation, recently enacted legislation that enables Delaware companies to limit the liability of certain officers in limited circumstances in accordance with Section 102(b)(7) of the Delaware General Corporation Law. The new Delaware legislation only permits, and our proposed amendment would only permit, exculpation for direct claims brought by stockholders for breach of an officer’s fiduciary duty of care, including class actions, but would not eliminate officers’ monetary liability for breach of fiduciary duty claims brought by the corporation itself or for derivative claims brought by stockholders in the name of the corporation. Furthermore, the limitation on liability would not apply to breaches of the duty of loyalty, acts or omissions not in good faith or that involve intentional misconduct or a knowing violation of law, or any transaction in which the officer derived an improper personal benefit.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Proposed Amendment</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second amended and restated certificate of incorporation currently provides for the exculpation of directors, but does not include a provision that allows for the exculpation of officers. The board of directors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the reasons stated above, it is in the interest of us and our stockholders that the amendment be approved. The proposed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 Additionally, it will align the protections for the officers with those protections afforded to the directors.</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proposed amendment is not being proposed in response to any specific resignation, threat of resignation or refusal to serve by any director or officer.</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affirmative vote of a majority of the voting power of the Company’s outstanding common stock is required to approve the amendment to our second amended and restated certificate of incorporation to effect the proposed amendment to limit the liability of our officers as permitted by recent amendments to Delaware law.</w:t>
      </w:r>
    </w:p>
    <w:p>
      <w:pPr>
        <w:spacing w:after="0" w:line="3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OUR BOARD OF DIRECTORS RECOMMENDS A VOTE TO APPROVE THE AMENDMENT TO OUR CERTIFICATE OF INCORPORATION, AND PROXIES SOLICITED BY OUR BOARD OF DIRECTORS WILL BE VOTED IN FAVOR OF THE AMENDMENT UNLESS A STOCKHOLDER INDICATES OTHERWISE ON THE PROXY.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have adopted a code of conduct and ethics that applies to all of our employees, including our chief executive officer and chief financial and accounting officers. The text of the code of conduct and ethics is posted on our website at www.quantum-si.com and will be made available to stockholders without charge, upon request, in writing to the Corporate Secretary at Quantum-Si Incorporated, 530 Old Whitfield Street, Guilford, Connecticut 06437. Disclosure regarding any amendments to, or waivers from, provisions of the code of conduct and ethics that apply to our directors, principal executive officer and principal financial officer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21"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7"/>
          <w:szCs w:val="17"/>
          <w:color w:val="auto"/>
        </w:rPr>
        <w:t>To be considered for inclusion in the proxy statement relating to our 2024 annual meeting of stockholders, we must receive stockholder proposals (other than for director nominations) no later than January 12, 2024. To be considered for presentation at the 2024 annual meeting of stockholders, although not included in the proxy statement, proposals (including director nominations that are not requested to be included in our proxy statement) must be received not less than 90 days nor more than 120 days prior to the first anniversary of this year’s annual meeting; provided, however, that in the event that the date of the 2024 annual meeting of stockholders is advanced by more than 30 days, or delayed by more than 70 days, from the first anniversary of the this year’s annual meeting, a stockholder’s notice must be received not earlier than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not later than the close of business on the later of (A)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prior to such annual meeting and (B) the tenth day following the day on which notice of the date of such annual meeting was mailed or public disclosure of the date of such annual meeting was made, whichever first occurs.</w:t>
      </w:r>
    </w:p>
    <w:p>
      <w:pPr>
        <w:spacing w:after="0" w:line="10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Proposals that are not received in a timely manner will not be voted on at the 2024 annual meeting of stockholders.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Corporate Secretary, Quantum-Si Incorporated, 530 Old Whitfield Street, Guilford, Connecticut 06437.</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Guilford, Connecticut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29,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TEXT OF AMENDMENT TO CERTIFICATE OF INCORPORATION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hereby certified that:</w:t>
      </w:r>
    </w:p>
    <w:p>
      <w:pPr>
        <w:spacing w:after="0" w:line="117"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 Quantum-Si Incorporated (the “Corporation”).</w:t>
      </w:r>
    </w:p>
    <w:p>
      <w:pPr>
        <w:spacing w:after="0" w:line="117" w:lineRule="exact"/>
        <w:rPr>
          <w:sz w:val="20"/>
          <w:szCs w:val="20"/>
          <w:color w:val="auto"/>
        </w:rPr>
      </w:pPr>
    </w:p>
    <w:p>
      <w:pPr>
        <w:jc w:val="both"/>
        <w:ind w:left="1540" w:right="299" w:hanging="890"/>
        <w:spacing w:after="0" w:line="263"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Second Amended and Restated Certificate of Incorporation of the Corporation (the “Certificate of Incorporation”), is hereby further amended by striking out Article X in its entirety and by substituting in lieu of the following:</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DIRECTOR AND OFFICER LIABILITY</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To the fullest extent permitted by the DGCL as the same exists or as may hereafter be amended, a director or officer of the Corporation shall not be personally liable to the Corporation or its stockholders for monetary damages for breach of fiduciary duty as a director or an officer;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contained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eliminate or limit the liability of a director or an officer (i) for any breach of the director’s or officer’s duty of loyalty to the Corporation or its stockholders, (ii) for acts or omissions not in good faith or which involve intentional misconduct or a knowing violation of law, (iii) pursuant to the provisions of Section 174 of the DGCL, (iv) for any transaction from which the director or officer derived an improper personal benefit, or (v) with respect to an officer, in any action by or in the right of the Corporation. No repeal or modification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apply to or have any adverse effect on any right or protection of, or any limitation of the liability of, a director or officer of the Corporation existing at the time of such repeal or modification with respect to acts or omissions occurring prior to such repeal or modification. All references in this paragraph to an officer shall mean only a person who at the time of an act or omission as to which liability is asserted is deemed to have consented to service by the delivery of process to the registered agent of the Corporation pursuant to § 3114(b) of Title 10 (for purposes of this sentence only, treating residents of the State of Delaware as if they were nonresidents to apply of § 3114(b)of Title 10 to this sentence).</w:t>
      </w:r>
    </w:p>
    <w:p>
      <w:pPr>
        <w:spacing w:after="0" w:line="74" w:lineRule="exact"/>
        <w:rPr>
          <w:sz w:val="20"/>
          <w:szCs w:val="20"/>
          <w:color w:val="auto"/>
        </w:rPr>
      </w:pPr>
    </w:p>
    <w:p>
      <w:pPr>
        <w:jc w:val="both"/>
        <w:ind w:left="1540" w:right="319" w:hanging="890"/>
        <w:spacing w:after="0" w:line="263" w:lineRule="auto"/>
        <w:tabs>
          <w:tab w:leader="none" w:pos="1520" w:val="left"/>
        </w:tabs>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amendment of the Certificate of Incorporation herein certified has been duly adopted in accordance with the provisions of Section 242 of the General Corporation Law of the State of Delaware.</w:t>
      </w:r>
    </w:p>
    <w:p>
      <w:pPr>
        <w:spacing w:after="0" w:line="116" w:lineRule="exact"/>
        <w:rPr>
          <w:sz w:val="20"/>
          <w:szCs w:val="20"/>
          <w:color w:val="auto"/>
        </w:rPr>
      </w:pPr>
    </w:p>
    <w:p>
      <w:pPr>
        <w:ind w:left="660"/>
        <w:spacing w:after="0"/>
        <w:tabs>
          <w:tab w:leader="none" w:pos="3580" w:val="left"/>
        </w:tabs>
        <w:rPr>
          <w:sz w:val="20"/>
          <w:szCs w:val="20"/>
          <w:color w:val="auto"/>
        </w:rPr>
      </w:pPr>
      <w:r>
        <w:rPr>
          <w:rFonts w:ascii="Arial" w:cs="Arial" w:eastAsia="Arial" w:hAnsi="Arial"/>
          <w:sz w:val="18"/>
          <w:szCs w:val="18"/>
          <w:color w:val="auto"/>
        </w:rPr>
        <w:t xml:space="preserve">EXECUTED, effective as of this       </w:t>
      </w:r>
      <w:r>
        <w:rPr>
          <w:sz w:val="20"/>
          <w:szCs w:val="20"/>
          <w:color w:val="auto"/>
        </w:rPr>
        <w:tab/>
      </w:r>
      <w:r>
        <w:rPr>
          <w:rFonts w:ascii="Arial" w:cs="Arial" w:eastAsia="Arial" w:hAnsi="Arial"/>
          <w:sz w:val="16"/>
          <w:szCs w:val="16"/>
          <w:color w:val="auto"/>
        </w:rPr>
        <w:t>day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-10160</wp:posOffset>
            </wp:positionV>
            <wp:extent cx="3429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-10160</wp:posOffset>
            </wp:positionV>
            <wp:extent cx="3429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QUANTUM-SI INCORPORATED</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57785</wp:posOffset>
            </wp:positionV>
            <wp:extent cx="2203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3450" cy="8890"/>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Jeffrey Hawkins</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92075</wp:posOffset>
            </wp:positionV>
            <wp:extent cx="6292215" cy="8521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852106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amp;"/>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617"/>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5"/>
    </w:lvl>
  </w:abstractNum>
  <w:abstractNum w:abstractNumId="26">
    <w:nsid w:val="1E7FF521"/>
    <w:multiLevelType w:val="hybridMultilevel"/>
    <w:lvl w:ilvl="0">
      <w:lvlJc w:val="left"/>
      <w:lvlText w:val="(%1)"/>
      <w:numFmt w:val="upperLetter"/>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Roman"/>
      <w:start w:val="3"/>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2023-03-29T15:37:04Z</dcterms:created>
  <dcterms:modified xsi:type="dcterms:W3CDTF">2023-03-29T15:37:04Z</dcterms:modified>
</cp:coreProperties>
</file>