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132715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760" w:hanging="3812"/>
        <w:spacing w:after="0" w:line="490"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001-39486</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QUANTUM-SI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141605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85-1388175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29 Business Park Drive</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Branford, Connecticut</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06405</w:t>
            </w:r>
          </w:p>
        </w:tc>
      </w:tr>
      <w:tr>
        <w:trPr>
          <w:trHeight w:val="23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688-7374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45"/>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1"/>
                <w:szCs w:val="21"/>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7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per share</w:t>
            </w:r>
          </w:p>
        </w:tc>
        <w:tc>
          <w:tcPr>
            <w:tcW w:w="120" w:type="dxa"/>
            <w:vAlign w:val="bottom"/>
          </w:tcPr>
          <w:p>
            <w:pPr>
              <w:spacing w:after="0"/>
              <w:rPr>
                <w:sz w:val="17"/>
                <w:szCs w:val="17"/>
                <w:color w:val="auto"/>
              </w:rPr>
            </w:pPr>
          </w:p>
        </w:tc>
        <w:tc>
          <w:tcPr>
            <w:tcW w:w="15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QSI</w:t>
            </w:r>
          </w:p>
        </w:tc>
        <w:tc>
          <w:tcPr>
            <w:tcW w:w="100" w:type="dxa"/>
            <w:vAlign w:val="bottom"/>
          </w:tcPr>
          <w:p>
            <w:pPr>
              <w:spacing w:after="0"/>
              <w:rPr>
                <w:sz w:val="17"/>
                <w:szCs w:val="17"/>
                <w:color w:val="auto"/>
              </w:rPr>
            </w:pPr>
          </w:p>
        </w:tc>
        <w:tc>
          <w:tcPr>
            <w:tcW w:w="4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QSIAW</w:t>
            </w:r>
          </w:p>
        </w:tc>
        <w:tc>
          <w:tcPr>
            <w:tcW w:w="1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 of Class A common stock, each at an exercise price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4"/>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May 3, 2024, the registrant had 121,878,989 shares of Class A common stock outstanding and 19,937,500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303"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0"/>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Cautionary Note Regarding Forward-Looking Statements</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and December 31, 2023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 March 31, 2024 and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98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2023 (Unaudited)</w:t>
            </w: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months ended March 31, 2024 and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70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2023 (Unaudited)</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 2023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the “Company” or “Quantum-Si” mean Quantum-Si Incorporated and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Quantum-Si Incorporated was incorporated in Delaware on June 10,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our expectations with respect to future performance and development and commercialization of products and services. The forward-looking statements are based on projections prepared by, and are the responsibility of, management and involve significant risks and uncertainties that could cause the actual results to differ materially from those discussed in the forward-looking statements. Most of these factors are outside our control and are difficult to predict. Forward-looking statements contained in this Quarterly Report on Form 10-Q include, but are not limited to, statements about:</w:t>
      </w:r>
    </w:p>
    <w:p>
      <w:pPr>
        <w:spacing w:after="0" w:line="19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epidemics on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the listing of our Class A common stock on The Nasdaq Stock Market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and commercialization activities;</w:t>
      </w:r>
    </w:p>
    <w:p>
      <w:pPr>
        <w:spacing w:after="0" w:line="9" w:lineRule="exact"/>
        <w:rPr>
          <w:rFonts w:ascii="Times New Roman" w:cs="Times New Roman" w:eastAsia="Times New Roman" w:hAnsi="Times New Roman"/>
          <w:sz w:val="18"/>
          <w:szCs w:val="18"/>
          <w:color w:val="auto"/>
        </w:rPr>
      </w:pPr>
    </w:p>
    <w:p>
      <w:pPr>
        <w:ind w:left="660" w:hanging="328"/>
        <w:spacing w:after="0" w:line="182"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commercialization and adoption of our existing products, including the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protein sequencing instrument, and the success of any product we may offer in the future;</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its products, and any related restrictions and limitations of any approved product;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or acquire additional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lease, license, manufacture and supply agreements;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or commercialization of products and services that serve customers engaged in proteomic analysis, many of which have greater financial and marketing resources than us;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its ability to serve those markets once commercialized, either alone or in partnership with others;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future revenue, capital requirements and needs for additional financing;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in Part I, Item 1A, “Risk Factors” of our Annual Report on Form 10-K for the fiscal year ended December 31, 2023, in Part II, Item 1A of this Quarterly Reports on Form 10-Q,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QUANTUM-SI INCORPORATED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(in thousands, except share and par value amounts)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133,860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123,876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$0 and $0,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3,945</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266,310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14,438</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r>
      <w:tr>
        <w:trPr>
          <w:trHeight w:val="257"/>
        </w:trPr>
        <w:tc>
          <w:tcPr>
            <w:tcW w:w="86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payroll-related costs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contracted services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13,737</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600,000,000 shares authorized as of March 31, 2024 and 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 121,878,989 and 121,832,417 shares issued and outstanding as of March 31, 2024 and December 31, 2023,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27,000,000 shares authorized as of March 31, 2024 and December 31,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19,937,500 shares issued and outstanding as of March 31, 2024 and December 31, 2023</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767,239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(515,108)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(495,634)</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275,585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298,250</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18,167</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29,345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marketable securities,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(19,474)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(23,611)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(23,611)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common share attributable to common stockholders, basic and diluted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 and diluted</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140,280</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loss on marketable securities, net of tax</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16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10"/>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2160" w:type="dxa"/>
            <w:vAlign w:val="bottom"/>
            <w:gridSpan w:val="6"/>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10"/>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40" w:type="dxa"/>
            <w:vAlign w:val="bottom"/>
          </w:tcPr>
          <w:p>
            <w:pPr>
              <w:spacing w:after="0"/>
              <w:rPr>
                <w:sz w:val="18"/>
                <w:szCs w:val="18"/>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Borders>
              <w:top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010101"/>
                <w:w w:val="98"/>
              </w:rPr>
              <w:t>Amount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5"/>
              </w:rPr>
              <w:t>deficit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10101"/>
              </w:rPr>
              <w:t>Balance - December 31, 2022</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120,006,757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19,937,500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758,366</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010101"/>
              </w:rPr>
              <w:t>Common stock issued upon</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vesting of restricted stock</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units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10101"/>
              </w:rPr>
              <w:t>1,552,583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10101"/>
              </w:rPr>
              <w: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10101"/>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10101"/>
              </w:rPr>
              <w:t>Stock-based compensation</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10101"/>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10101"/>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3,908</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3,908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010101"/>
              </w:rPr>
              <w:t>Net loss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(23,611)</w:t>
            </w: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10101"/>
              </w:rPr>
              <w:t>Balance - March 31, 2023</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121,559,340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12</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19,937,500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w w:val="88"/>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762,274</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010101"/>
                <w:w w:val="70"/>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(423,285)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w w:val="88"/>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339,003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3"/>
        </w:trPr>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880" w:type="dxa"/>
            <w:vAlign w:val="bottom"/>
            <w:gridSpan w:val="8"/>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2160" w:type="dxa"/>
            <w:vAlign w:val="bottom"/>
            <w:gridSpan w:val="6"/>
            <w:vMerge w:val="continue"/>
          </w:tcPr>
          <w:p>
            <w:pPr>
              <w:spacing w:after="0"/>
              <w:rPr>
                <w:sz w:val="18"/>
                <w:szCs w:val="18"/>
                <w:color w:val="auto"/>
              </w:rPr>
            </w:pPr>
          </w:p>
        </w:tc>
        <w:tc>
          <w:tcPr>
            <w:tcW w:w="1880" w:type="dxa"/>
            <w:vAlign w:val="bottom"/>
            <w:gridSpan w:val="8"/>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compehensive</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010101"/>
                <w:w w:val="99"/>
              </w:rPr>
              <w:t>Shares</w:t>
            </w: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10101"/>
              </w:rPr>
              <w:t>Balance -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121,832,417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19,937,500</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767,239</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010101"/>
              </w:rPr>
              <w:t>Common stock issued upon</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vesting of restricted stock</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units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10101"/>
              </w:rPr>
              <w:t>46,572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010101"/>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10101"/>
              </w:rPr>
              <w:t>-</w:t>
            </w:r>
          </w:p>
        </w:tc>
        <w:tc>
          <w:tcPr>
            <w:tcW w:w="0" w:type="dxa"/>
            <w:vAlign w:val="bottom"/>
          </w:tcPr>
          <w:p>
            <w:pPr>
              <w:spacing w:after="0"/>
              <w:rPr>
                <w:sz w:val="1"/>
                <w:szCs w:val="1"/>
                <w:color w:val="auto"/>
              </w:rPr>
            </w:pPr>
          </w:p>
        </w:tc>
      </w:tr>
      <w:tr>
        <w:trPr>
          <w:trHeight w:val="216"/>
        </w:trPr>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10101"/>
              </w:rPr>
              <w:t>Stock-based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10101"/>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1,645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10101"/>
              </w:rPr>
              <w:t>1,645</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unrealized loss on</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net of</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w w:val="93"/>
              </w:rPr>
              <w:t>(28)</w:t>
            </w:r>
          </w:p>
        </w:tc>
        <w:tc>
          <w:tcPr>
            <w:tcW w:w="10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30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Refund of issuance costs from</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 Business Combination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10101"/>
              </w:rPr>
              <w:t>Net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(19,474)</w:t>
            </w:r>
          </w:p>
        </w:tc>
        <w:tc>
          <w:tcPr>
            <w:tcW w:w="0" w:type="dxa"/>
            <w:vAlign w:val="bottom"/>
          </w:tcPr>
          <w:p>
            <w:pPr>
              <w:spacing w:after="0"/>
              <w:rPr>
                <w:sz w:val="1"/>
                <w:szCs w:val="1"/>
                <w:color w:val="auto"/>
              </w:rPr>
            </w:pPr>
          </w:p>
        </w:tc>
      </w:tr>
      <w:tr>
        <w:trPr>
          <w:trHeight w:val="27"/>
        </w:trPr>
        <w:tc>
          <w:tcPr>
            <w:tcW w:w="2300" w:type="dxa"/>
            <w:vAlign w:val="bottom"/>
            <w:tcBorders>
              <w:right w:val="single" w:sz="8" w:color="auto"/>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010101"/>
              </w:rPr>
              <w:t>Balance - March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121,878,989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010101"/>
              </w:rPr>
              <w:t>19,937,500</w:t>
            </w:r>
          </w:p>
        </w:tc>
        <w:tc>
          <w:tcPr>
            <w:tcW w:w="30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10101"/>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10101"/>
              </w:rPr>
              <w:t>768,898</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w w:val="93"/>
              </w:rPr>
              <w:t>(33)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(515,108)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253,771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QUANTUM-SI INCORPORATED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5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(19,474)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(23,611)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loss on marketable securities, net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(2,942)</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amortization on marketable securities</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(1,708)</w:t>
            </w: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(3,094)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(4,537)</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(743)</w:t>
            </w: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(23,208)</w:t>
            </w:r>
          </w:p>
        </w:tc>
        <w:tc>
          <w:tcPr>
            <w:tcW w:w="1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(28,698)</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Internally developed software - capitalized costs</w:t>
            </w:r>
          </w:p>
        </w:tc>
        <w:tc>
          <w:tcPr>
            <w:tcW w:w="22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(78,823)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2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22,500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29,500</w:t>
            </w:r>
          </w:p>
        </w:tc>
      </w:tr>
      <w:tr>
        <w:trPr>
          <w:trHeight w:val="223"/>
        </w:trPr>
        <w:tc>
          <w:tcPr>
            <w:tcW w:w="8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(57,428)</w:t>
            </w:r>
          </w:p>
        </w:tc>
        <w:tc>
          <w:tcPr>
            <w:tcW w:w="1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26,039</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2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Refund of issuance costs from 2021 Business Combination</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Pr>
          <w:p>
            <w:pPr>
              <w:spacing w:after="0"/>
              <w:rPr>
                <w:sz w:val="19"/>
                <w:szCs w:val="19"/>
                <w:color w:val="auto"/>
              </w:rPr>
            </w:pP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(80,697)</w:t>
            </w:r>
          </w:p>
        </w:tc>
        <w:tc>
          <w:tcPr>
            <w:tcW w:w="220" w:type="dxa"/>
            <w:vAlign w:val="bottom"/>
            <w:gridSpan w:val="3"/>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133,860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84,319</w:t>
            </w: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53,163</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81,660</w:t>
            </w:r>
          </w:p>
        </w:tc>
        <w:tc>
          <w:tcPr>
            <w:tcW w:w="100" w:type="dxa"/>
            <w:vAlign w:val="bottom"/>
            <w:shd w:val="clear" w:color="auto" w:fill="CCEEFF"/>
          </w:tcPr>
          <w:p>
            <w:pPr>
              <w:spacing w:after="0"/>
              <w:rPr>
                <w:sz w:val="22"/>
                <w:szCs w:val="22"/>
                <w:color w:val="auto"/>
              </w:rPr>
            </w:pPr>
          </w:p>
        </w:tc>
      </w:tr>
      <w:tr>
        <w:trPr>
          <w:trHeight w:val="210"/>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purchased but not paid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 payable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Quantum-Si Incorporated (including its subsidiaries, the “Company” or “Quantum-Si”) was incorporated in Delaware on June 10, 2020 as HighCape Capital Acquisition Corp. The Company’s legal name became Quantum-Si Incorporated following a business combination on June 10, 2021 between the Company and Q-SI Operations Inc. (formerly Quantum-Si Incorporated), which was founded in 2013.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an innovative life sciences company with the mission of transforming single-molecule analysis and democratizing its use by providing researchers and clinicians access to the proteome, the set of proteins expressed within a cell. The Company has developed a proprietary universal single-</w:t>
      </w:r>
    </w:p>
    <w:p>
      <w:pPr>
        <w:jc w:val="both"/>
        <w:spacing w:after="0" w:line="209" w:lineRule="auto"/>
        <w:rPr>
          <w:sz w:val="20"/>
          <w:szCs w:val="20"/>
          <w:color w:val="auto"/>
        </w:rPr>
      </w:pPr>
      <w:r>
        <w:rPr>
          <w:rFonts w:ascii="Times New Roman" w:cs="Times New Roman" w:eastAsia="Times New Roman" w:hAnsi="Times New Roman"/>
          <w:sz w:val="18"/>
          <w:szCs w:val="18"/>
          <w:color w:val="auto"/>
        </w:rPr>
        <w:t>molecule detection platform that the Company is first applying to proteomics to enable Next-Generation Protein Sequencing</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(“NGPS”), the ability to sequence proteins in a massively parallel fashion (rather than sequentially, one at a time), and can be used for the study of nucleic acids. The Company’s</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platform is currently comprised of the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NGPS instrument, the Platinum Analysis Software service, reagent kits and semiconductor chips for use with its instruments.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the notes thereto included in the Company’s Annual Report on Form 10-K for the year ended December 31, 2023. The Condensed Consolidated Balance Sheets as of December 31, 2023 included herein was derived from the audited Consolidated Financial Statements as of that date, but does not include all disclosures, including certain notes required by U.S. GAAP, on an annual reporting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reflect all normal recurring adjustments necessary to present fairly the financial position, results of operations, and cash flows for the interim periods. The results for the three months ended March 31, 2024 are not necessarily indicative of the results to be expected for any subsequent quarter, the year ending December 31, 2024, or any other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described in the Company’s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2023,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does not expect to be significantly impacted by the conflicts in Ukraine or Israel and Gaza, the Company has experienced some constraints in product and material availability and increasing costs required to obtain some materials and supplies as a result of these conflicts on the global economy. To date, the Company’s business has not been materially impacted by the conflicts, however, as the conflicts continue or worsen, it may impact the Company’s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Business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and marketable securities. As of March 31, 2024, the Company’s marketable securities consist of mutual funds, U.S. Treasury securities and commercial paper. The Company also maintains balances in certain operating accounts above federally insured limits and, as a result, the Company is exposed to credit risk in the event of default by the financial institutions to the extent account balances exceed the amount insured by the Federal Deposit Insurance Corporation.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sources certain key materials and components utilized in the Company’s products from single or limited suppliers. Historically, the Company has not experienced significant issues sourcing these materials and components. However, if these suppliers were not able to supply the requested amount of materials or components, it could take a considerable length of time to obtain alternative sources, which could affect the Company’s development efforts and commercial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its Chief Executive Officer, reviews the Company’s financial information on a consolidated basis for purposes of allocating resources and evaluating its financial performance. Accordingly, the Company has determined that it operates as a single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year’s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the Company to make estimates and assumptions about future events that affect the amounts recorded in its Condensed Consolidated Financial Statements and accompanying notes. Future events and their effects cannot be determined with certainty. On an ongoing basis, management evaluates these estimates and assumptions. Significant estimates and assumptions include:</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with respect to deferred tax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excess and obsolete inventory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for leases;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warrant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associated with revenue recognition;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the fair value used in the calculation of 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bases these estimates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with cost determined using the first-in, first-out method. Materials that may be utilized for either commercial or, alternatively, for research and development purposes, are classified as inventory. Amounts in inventory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if needed, records an excess and obsolete reserve against inventory to its estimated net realizable value in the period it is identified. For further discussion related to inventory, please refer to Note 5. Inventory,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outstanding warrants include publicly traded warrants (the “Public Warrants”) and warrants sold in a private placement (the “Private Warrants”). The Public Warrants and Private Warrants meet the definition of a derivative and the Company recorded these warrants as long-term liabilities in the Condensed Consolidated Balance Sheets at fair value upon initial recognition, with subsequent changes in their respective fair values recognized in the Condensed Consolidated Statements of Operations and Comprehensive Loss at each reporting date. For further discussion related to the Public Warrants and Private Warrants, please refer to Note 11. Warrant Liabilities.</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 The Company recognizes revenue when or as a customer obtains control of the promised goods and services. The amount of revenue recognized reflects the consideration to which the Company expects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The Company has made the accounting policy election allowed for under ASC 606-10-32-2A to exclude all sales taxes from transaction price.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allocates transaction price to the performance obligations in a contract with a customer based on the relative standalone selling price of each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and specific factors such as competitive positioning, internal costs, profit objectives, and internally approved pricing guidelines related to the performance obligation.</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considers performance obligation for sales of products satisfied upon shipment of the goods to the customer in accordance with the shipping terms (either upon shipment or delivery), which is when control of the product is deemed to be transferred; this includes instruments and consumables. Customers generally do not have a right to return products,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service coverage at the customer’s option are recognized ratably over the contract service period as these services are performed evenly over time. Revenues for advanced training is recognized at a point in time upon satisfaction of the underlying performance obligation. The Company typically provides a standard one-year warranty which covers defects in materials, workmanship and manufacturing or performance conditions under normal use and service. The first year of the warranty of the products is considered an assurance-type warranty and is recorded as Cost of revenue within the Condensed Consolidated Statements of Operations and Comprehensive Loss. The Company has determined the standard first-year warranty is not a distinct performance obligation.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type of revenue. The Company believes product revenue and service revenue aggregate the payor types by nature, amount, timing and uncertainty of its revenue streams. Total revenue generated from domestic and international sales was approximately $0.3 million and $0.2 million, respectively, for the three months ended March 31, 2024. All revenue generated for the three months ended March 31, 2023 resulted from domestic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is a contract liability that consists of customer payments received in advance of performance or billings in excess of revenue recognized, net of revenue recognized from the balance at the beginning of the period.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revenue primarily consists of billings and payments received in advance of revenue recognition from service maintenance contracts including software subscription, proof of concept services and advanced training, and is reduced as the revenue recognition criteria are met. Deferred revenue also includes proof of concept services and advanced training provided to customers until the service has been performed. Deferred revenue is classified as current or non-current based on expected revenue recognition timing. Specifically, deferred revenue that will be recognized as revenue within the succeeding 12-month period is recorded as current and is included within Accrued expenses and other current liabilities, and the portion of deferred revenue where revenue is expected to be recognized beyond 12 months from the reporting date is recorded as non-current deferred revenue and is included in Other long-term liabilities in the Company’s Condensed Consolidated Balance Sheets.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deferred revenue of $0.1 million included within Accrued expenses and other current liabilities in the Company’s Condensed Consolidated Balance Sheets. As of March 31, 2024, amounts included within Other long-term liabilities in the Company’s Condensed Consolidated Balance Sheets were immaterial. The Company expects to recognize approximately 30% of its remaining performance obligations as revenue for the remainder of the year ending December 31, 2024.</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stock option grants with only service conditions is recognized on a straight-line basis over the requisite service period of the individual grants, which is generally the vesting period, based on the estimated grant date fair values. Stock-based compensation expense for stock option grants subject to non-financing event performance conditions on an accelerated basis is recognized as though each vesting portion of the award was, in substance, a separate award.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between HighCape Capital Acquisition LLC and Quantum-Si Incorporated in June 2021 (the “Business Combination”), the fair value of the shares of common stock underlying stock options had historically been determined by the Company’s board of directors (the “Board”), with input from management and contemporaneous third-party valuations, as there was no public market for the common stock. Given the absence of a public trading market for the Company’s common stock, the Board exercised reasonable judgment and considered numerous objective and subjective factors to determine the best estimate of the fair value of the Company’s common stock at each option grant date.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the completion of the Business Combination, the Company measures compensation expense for stock-based awards to employees, non-employees and directors based upon the awards’ initial grant-date fair values. Stock-based compensation expense for stock options, restricted stock units and performance awards is recorded over the requisite service period. For awards with only a service condition, the Company expenses stock-based compensation using the straight-line method over the requisite service period for the entire award. For awards with a market condition, the Company expenses the grant date fair value at the target over the vesting period regardless of the value the award recipients ultimately receive. The fair value of restricted stock without a market condition is estimated using the current market price of the Company’s Class A common stock on the date of grant. The fair value of stock option grants with a market condition is estimated at the date of grant using the Monte Carlo simulation model (“Monte Carlo”). The fair values of stock option grants are estimated as of the date of grant by applying the Black-Scholes option valuation model (“Black-Scholes”). The Black-Scholes and Monte Carlo models incorporate assumptions as to stock price volatility, the expected life of options or restricted stock, a risk-free interest rate and dividend yield. The effect of forfeiture in compensation costs is recognized based on actual forfeitures when they occur.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Black-Scholes is affected by the stock price on the date of the grant as well as assumptions regarding a number of highly complex and subjective variables. These variables include the expected term of the option, expected risk-free interest rate, the expected volatility of Class A common stock, and expected dividend yield; each of which is described below. The assumptions for expected term and expected volatility are the two assumptions that significantly affect the grant date fair value.</w:t>
      </w:r>
    </w:p>
    <w:p>
      <w:pPr>
        <w:spacing w:after="0" w:line="178"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using the “simplified” method, which is the simple average of the vesting period and the contractual term.</w:t>
      </w:r>
    </w:p>
    <w:p>
      <w:pPr>
        <w:spacing w:after="0" w:line="225" w:lineRule="exact"/>
        <w:rPr>
          <w:rFonts w:ascii="Times New Roman" w:cs="Times New Roman" w:eastAsia="Times New Roman" w:hAnsi="Times New Roman"/>
          <w:sz w:val="18"/>
          <w:szCs w:val="18"/>
          <w:color w:val="auto"/>
        </w:rPr>
      </w:pPr>
    </w:p>
    <w:p>
      <w:pPr>
        <w:ind w:left="820" w:right="20" w:hanging="326"/>
        <w:spacing w:after="0" w:line="284"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for periods within the expected term of the awards is based on the U.S. Treasury yield curve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at the time of the grant.</w:t>
      </w:r>
    </w:p>
    <w:p>
      <w:pPr>
        <w:spacing w:after="0" w:line="158" w:lineRule="exact"/>
        <w:rPr>
          <w:rFonts w:ascii="Times New Roman" w:cs="Times New Roman" w:eastAsia="Times New Roman" w:hAnsi="Times New Roman"/>
          <w:sz w:val="18"/>
          <w:szCs w:val="18"/>
          <w:color w:val="auto"/>
        </w:rPr>
      </w:pPr>
    </w:p>
    <w:p>
      <w:pPr>
        <w:ind w:left="820" w:hanging="326"/>
        <w:spacing w:after="0" w:line="284"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Stock Price Volatility</w:t>
      </w:r>
      <w:r>
        <w:rPr>
          <w:rFonts w:ascii="Times New Roman" w:cs="Times New Roman" w:eastAsia="Times New Roman" w:hAnsi="Times New Roman"/>
          <w:sz w:val="18"/>
          <w:szCs w:val="18"/>
          <w:color w:val="auto"/>
        </w:rPr>
        <w:t>: The Company determined expected annual equity volatility based on the historical volatility of its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w:t>
      </w:r>
    </w:p>
    <w:p>
      <w:pPr>
        <w:spacing w:after="0" w:line="158" w:lineRule="exact"/>
        <w:rPr>
          <w:rFonts w:ascii="Times New Roman" w:cs="Times New Roman" w:eastAsia="Times New Roman" w:hAnsi="Times New Roman"/>
          <w:sz w:val="18"/>
          <w:szCs w:val="18"/>
          <w:color w:val="auto"/>
        </w:rPr>
      </w:pPr>
    </w:p>
    <w:p>
      <w:pPr>
        <w:ind w:left="820" w:right="20" w:hanging="326"/>
        <w:spacing w:after="0" w:line="284"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 Because the Company has never paid a dividend and does not expect to begin doing so in the foreseeable future,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assumes no dividend yield in valuing the stock-based awards.</w:t>
      </w:r>
    </w:p>
    <w:p>
      <w:pPr>
        <w:spacing w:after="0" w:line="15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is taken directly from the grant notice issued to employees and nonemployees.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expands income tax disclosure requirements to include additional information related to the rate reconciliation of effective tax rates to statutory rates, as well as additional disaggregation of taxes paid in both U.S. and foreign jurisdictions. The amendments in ASU 2023-09 also remove disclosures related to certain unrecognized tax benefits and deferred taxes. The amendments are effective for fiscal years beginning after December 31, 2024. The amendments may be applied prospectively or retrospectively. The Company is currently evaluating the effect ASU 2023-09 may have on its Consolidated Financial Statements and disclosures.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enhanced disclosures about significant segment expenses. In addition, the ASU clarified that single reportable segment entities must apply Topic 280 in its entirely. The ASU does not change how an entity identifies its operating segments, aggregates those operating segments, or applies the quantitative thresholds to determine its reportable segments. The ASU is required to be applied retrospectively to all periods presented in the financial statements and is effective for fiscal years beginning after December 15, 2023 and interim periods within fiscal years beginning after December 15, 2024. The Company is currently evaluating the effect ASU 2023-07 may have on its Consolidated Financial Statements and disclosures.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 in 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Company’s investments in marketable securities were determined to be available-for-sale securities. Gross unrealized gains or losses resulting from changes in the fair value of available-for-sale securities for the three months ended March 31, 2024 were less than $0.1 million. There were no such gains or losses for the three months ended March 31,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and interest income from marketable securities and realized and unrealized gain on marketable securities, net, related to the Company’s available-for sale securities for the three months ended March 31, 2024 and trading securities for the three months ended March 31, 2023 were as follows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and interest income from marketable securities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marketable securities,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2,942</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available-for-sale securities recorded within Marketable securities in the Condensed Consolidated Balance Sheets as of March 31, 2024 and December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151,524</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30,758</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30,744</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82,640</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41,229</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41,236</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123,854</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available-for-sale securities included within Marketable securities in the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 by remaining contractual maturity,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Over</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Over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151,524</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30,744</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30,744</w:t>
            </w:r>
          </w:p>
        </w:tc>
      </w:tr>
      <w:tr>
        <w:trPr>
          <w:trHeight w:val="257"/>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182,268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980" w:type="dxa"/>
            <w:vAlign w:val="bottom"/>
          </w:tcPr>
          <w:p>
            <w:pPr>
              <w:spacing w:after="0"/>
              <w:rPr>
                <w:sz w:val="24"/>
                <w:szCs w:val="24"/>
                <w:color w:val="auto"/>
              </w:rPr>
            </w:pPr>
          </w:p>
        </w:tc>
        <w:tc>
          <w:tcPr>
            <w:tcW w:w="200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9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Over</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Over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82,640</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41,236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41,236</w:t>
            </w:r>
          </w:p>
        </w:tc>
      </w:tr>
      <w:tr>
        <w:trPr>
          <w:trHeight w:val="257"/>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7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Valuations based on quoted prices in active markets for identical assets or liabilities that an entity has the ability to access.</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cash and cash equivalents, accounts payable and accrued expenses and other current liabilities approximates their fair values due to the short-term or on demand nature of these instruments. At March 31, 2024 and December 31, 2023, the Company’s investment portfolio included available-for-sale securities which were comprised of money market funds, U.S. treasury bills and commercial paper. The majority of the Company’s cash equivalents and short-term investments consist of instruments classified as Level 1. However, the Company has commercial paper that is classified as Level 2 due to the fair value for these instruments being determined by utilizing observable inputs in similar assets or identical assets in non-active markets. There were no transfers between fair value measurement levels for the three months ended March 31, 2024 and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are recorded as Warrant liabilities in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Public Warrants and Private Warrants were carried at fair value as of March 31, 2024 and December 31, 2023. The Public Warrants were valued using Level 1 inputs as they are traded in an active market. The Private Warrants were valued using a binomial lattice model.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March 31, 2024, the significant assumptions used in preparing the binomial lattice model for valuing the Private Warrants liability include (i) volatility of 89.9%, (ii) risk-free interest rate of 4.50%, (iii) strike price of $11.50, (iv) fair value of Class A common stock of $1.97, and (v) expected life of 2.2 years. As of December 31, 2023, the significant assumptions used in preparing the binomial lattice model for valuing the Private Warrants liability include (i) volatility of 92.1%, (ii) risk-free interest rate of 4.10%, (iii) strike price of $11.50, (iv) fair value of Class A common stock of $2.01, and (v) expected life of 2.4 years. There were no exercises or redemptions of the Public Warrants or Private Warrants during the three months ended March 31, 2024 or 2023.</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assets and liabilities that are measured at fair value on a recurring basis, by level, within the fair value hierarchy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45,470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151,524</w:t>
            </w:r>
          </w:p>
        </w:tc>
        <w:tc>
          <w:tcPr>
            <w:tcW w:w="0" w:type="dxa"/>
            <w:vAlign w:val="bottom"/>
          </w:tcPr>
          <w:p>
            <w:pPr>
              <w:spacing w:after="0"/>
              <w:rPr>
                <w:sz w:val="1"/>
                <w:szCs w:val="1"/>
                <w:color w:val="auto"/>
              </w:rPr>
            </w:pP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30,744</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30,744</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 on a recurring basis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196,994</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Warrants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at fair value on a recurring basis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50,226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50,226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59,654</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59,654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19,436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82,640</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82,640</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41,236</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41,236</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 on a recurring basis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192,520</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60,672</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Warrants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at fair value on a recurring basis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Inventory, Net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Inventory, net, consists of the following as of March 31, 2024 and December 31, 2023 (in thousands):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March 31, 2024  December 31, 2023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7,327</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inventory, net</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Company included $4.0 million and $3.4 million, respectively, of reserves against inventory in the Condensed Consolidated Balance Sheets related to product that was considered to not have an alternative future use. For the three months ended March 31, 2024, the Company recorded $0.6 million reserve against inventory in Research and Development expenses in the Condensed Consolidated Statements of Operations and Comprehensive Loss related to product that was considered to not have an alternative future use. There was no such reserve recorded against inventory for the three months ended March 31, 2023.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March 31, 2024 and December 31,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March 31, 2024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and production equipment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1,707</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6,948</w:t>
            </w: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w:t>
            </w:r>
          </w:p>
        </w:tc>
      </w:tr>
      <w:tr>
        <w:trPr>
          <w:trHeight w:val="216"/>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shd w:val="clear" w:color="auto" w:fill="CCEEFF"/>
          </w:tcPr>
          <w:p>
            <w:pPr>
              <w:spacing w:after="0"/>
              <w:rPr>
                <w:sz w:val="18"/>
                <w:szCs w:val="18"/>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(10,043)</w:t>
            </w:r>
          </w:p>
        </w:tc>
      </w:tr>
      <w:tr>
        <w:trPr>
          <w:trHeight w:val="257"/>
        </w:trPr>
        <w:tc>
          <w:tcPr>
            <w:tcW w:w="8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was $1.1 million and $0.8 million for the three months ended March 31, 2024 and 2023, respectively. The Company had no disposals of property and equipment for the three months ended March 31, 2024. Losses on disposals of property and equipment were immaterial for three months ended March 31, 2023. No impairments of property and equipment were recorded during the three months ended March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Leases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Lease-related costs for the three months ended March 31, 2024 and 2023 are as follows (in thousands):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9"/>
        </w:trPr>
        <w:tc>
          <w:tcPr>
            <w:tcW w:w="76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4"/>
                <w:szCs w:val="24"/>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shd w:val="clear" w:color="auto" w:fill="CCEEFF"/>
          </w:tcPr>
          <w:p>
            <w:pPr>
              <w:spacing w:after="0"/>
              <w:rPr>
                <w:sz w:val="18"/>
                <w:szCs w:val="18"/>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r>
      <w:tr>
        <w:trPr>
          <w:trHeight w:val="256"/>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maturities of the operating lease liabilities and a reconciliation to the present value of lease liabilities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45"/>
        </w:trPr>
        <w:tc>
          <w:tcPr>
            <w:tcW w:w="984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Lease Payments</w:t>
            </w: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6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6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6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6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60" w:type="dxa"/>
            <w:vAlign w:val="bottom"/>
            <w:shd w:val="clear" w:color="auto" w:fill="CCEEFF"/>
          </w:tcPr>
          <w:p>
            <w:pPr>
              <w:spacing w:after="0"/>
              <w:rPr>
                <w:sz w:val="18"/>
                <w:szCs w:val="18"/>
                <w:color w:val="auto"/>
              </w:rPr>
            </w:pPr>
          </w:p>
        </w:tc>
      </w:tr>
      <w:tr>
        <w:trPr>
          <w:trHeight w:val="223"/>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60" w:type="dxa"/>
            <w:vAlign w:val="bottom"/>
          </w:tcPr>
          <w:p>
            <w:pPr>
              <w:spacing w:after="0"/>
              <w:rPr>
                <w:sz w:val="19"/>
                <w:szCs w:val="19"/>
                <w:color w:val="auto"/>
              </w:rPr>
            </w:pPr>
          </w:p>
        </w:tc>
      </w:tr>
      <w:tr>
        <w:trPr>
          <w:trHeight w:val="216"/>
        </w:trPr>
        <w:tc>
          <w:tcPr>
            <w:tcW w:w="9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remaining undiscounted lease payments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30,028</w:t>
            </w:r>
          </w:p>
        </w:tc>
        <w:tc>
          <w:tcPr>
            <w:tcW w:w="16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(6,441)</w:t>
            </w:r>
          </w:p>
        </w:tc>
      </w:tr>
      <w:tr>
        <w:trPr>
          <w:trHeight w:val="264"/>
        </w:trPr>
        <w:tc>
          <w:tcPr>
            <w:tcW w:w="98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Less: Lease incentives </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(9,104)</w:t>
            </w:r>
          </w:p>
        </w:tc>
      </w:tr>
      <w:tr>
        <w:trPr>
          <w:trHeight w:val="216"/>
        </w:trPr>
        <w:tc>
          <w:tcPr>
            <w:tcW w:w="98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160" w:type="dxa"/>
            <w:vAlign w:val="bottom"/>
            <w:tcBorders>
              <w:top w:val="single" w:sz="8" w:color="CCEEFF"/>
            </w:tcBorders>
          </w:tcPr>
          <w:p>
            <w:pPr>
              <w:spacing w:after="0"/>
              <w:rPr>
                <w:sz w:val="18"/>
                <w:szCs w:val="18"/>
                <w:color w:val="auto"/>
              </w:rPr>
            </w:pPr>
          </w:p>
        </w:tc>
      </w:tr>
      <w:tr>
        <w:trPr>
          <w:trHeight w:val="223"/>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w:t>
            </w:r>
          </w:p>
        </w:tc>
      </w:tr>
      <w:tr>
        <w:trPr>
          <w:trHeight w:val="216"/>
        </w:trPr>
        <w:tc>
          <w:tcPr>
            <w:tcW w:w="98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60" w:type="dxa"/>
            <w:vAlign w:val="bottom"/>
            <w:tcBorders>
              <w:top w:val="single" w:sz="8" w:color="CCEEFF"/>
            </w:tcBorders>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r>
      <w:tr>
        <w:trPr>
          <w:trHeight w:val="234"/>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lease incentives that may be realized in 2024 for the costs of leasehold improvements.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cash flow and supplemental cash flow information related to the Company’s lease liabilities for the three months ended March 31, 2024 and 2023 (in thousands):</w:t>
      </w:r>
    </w:p>
    <w:p>
      <w:pPr>
        <w:spacing w:after="0" w:line="158"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Operating cash paid to settle operating lease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1,097</w:t>
        <w:tab/>
        <w:t>$</w:t>
      </w:r>
      <w:r>
        <w:rPr>
          <w:sz w:val="20"/>
          <w:szCs w:val="20"/>
          <w:color w:val="auto"/>
        </w:rPr>
        <w:tab/>
      </w:r>
      <w:r>
        <w:rPr>
          <w:rFonts w:ascii="Times New Roman" w:cs="Times New Roman" w:eastAsia="Times New Roman" w:hAnsi="Times New Roman"/>
          <w:sz w:val="18"/>
          <w:szCs w:val="18"/>
          <w:color w:val="auto"/>
        </w:rPr>
        <w:t>1,059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2021, the Company signed a 10-year lease for approximately 67,000 square feet of space in New Haven, Connecticut. The lease commenced on January 8, 2022 with rent payments beginning on July 7, 2022. Under the lease, the landlord agreed to reimburse the Company for up to $9.1 million in improvements to the space, to be used for such improvements as the Company deems “necessary or desirable”. On September 13, 2022, the Company filed a lawsuit against the landlord, alleging that the landlord has: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 The Company accounted for these lease incentives as an offset to the lease liability recorded at the inception of the lease. Although the Company believes it is contractually entitled to the $9.1 million of lease incentives, based on the current status of the litigation, the Company cannot determine the likely outcome or estimate the impact on such carrying values.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and recognized total leasehold improvements of approximately $1.6 million related to reimbursable construction costs which were included in construction in progress within Property and equipment, net, in the Condensed Consolidated Balance Sheets as of March 31,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as of March 31, 2024 and December 31,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28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Legal fees</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57"/>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Quantum-Si Incorporated 2021 Equity Incentive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March 31, 2024 there were 14,661,839 shares available for future grant under the 2021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Inducement Equity Incentives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8, 2023, the Company adopted the 2023 Inducement Equity Incentive Plan (the “2023 Inducement Plan”) to reserve 3,000,000 shares of its Class A common stock to be used exclusively for grants of awards to employees that were not previously employees or directors of the Company as a material inducement to such individuals’ entry into employment with the Company within the meaning of Rule 5635(c)(4) of the Nasdaq Listing Rules. The terms and conditions of the 2023 Inducement Plan are substantially similar to those of the 2021 Plan. As of March 31, 2024, there were 60,250 shares remaining available for issuance under the 2023 Inducement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did not grant any stock options to participants. Stock-based compensation related to stock options for the three months ended March 31, 2024 and 2023 was $1.3 million and $2.3 million,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stock option activity is presented in the table below:</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1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45"/>
        </w:trPr>
        <w:tc>
          <w:tcPr>
            <w:tcW w:w="10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Pr>
          <w:p>
            <w:pPr>
              <w:spacing w:after="0"/>
              <w:rPr>
                <w:sz w:val="21"/>
                <w:szCs w:val="21"/>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22,511,900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(384,573)</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(25,520)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102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22,101,807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2,832</w:t>
            </w:r>
          </w:p>
        </w:tc>
      </w:tr>
      <w:tr>
        <w:trPr>
          <w:trHeight w:val="21"/>
        </w:trPr>
        <w:tc>
          <w:tcPr>
            <w:tcW w:w="10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09"/>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7,918,930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18,615,698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Modification of Performance Stock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and May 2023, the Company granted 2,780,000 and 1,000,000 performance-based stock option awards to its Chief Executive Officer and Chief Financial Officer, respectively. The vesting of these awards are subject to continued service to the Company and certain market conditions. The market conditions require the Company’s Class A common stock trade above specified levels for a certain periods of time. The fair values of the awards were estimated at the grant date using the Monte Carlo simulation model.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15, 2024, the market conditions that trigger the vesting of these performance-based stock option awards were modified. The modified market conditions require the Company’s Class A common stock to trade above specified levels for certain defined periods of time that are different from the original awards. The Company accounted for the modifications as modifications of market conditions. The total incremental stock-based compensation expense to be recognized for these awards is $2.4 million within Selling, general and administrative operating expenses in the Condensed Consolidated Statements of Operations and Comprehensive Loss. Incremental stock-based compensation expense for the three months ended March 31, 2024 was immaterial. There were no such modifications to performance-based stock option awards for the three months ended March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5,406,164 restricted stock unit (“RSU”) awards. Stock-based compensation related to RSU awards for the three months ended March 31, 2024 and 2023 was $0.3 million and $1.6 million,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RSU activity is presented in the table below:</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8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8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Grant-Date Fair</w:t>
            </w:r>
          </w:p>
        </w:tc>
      </w:tr>
      <w:tr>
        <w:trPr>
          <w:trHeight w:val="245"/>
        </w:trPr>
        <w:tc>
          <w:tcPr>
            <w:tcW w:w="81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Underlying RSUs</w:t>
            </w:r>
          </w:p>
        </w:tc>
        <w:tc>
          <w:tcPr>
            <w:tcW w:w="80" w:type="dxa"/>
            <w:vAlign w:val="bottom"/>
          </w:tcPr>
          <w:p>
            <w:pPr>
              <w:spacing w:after="0"/>
              <w:rPr>
                <w:sz w:val="21"/>
                <w:szCs w:val="21"/>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RSUs at December 31, 2023</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r>
      <w:tr>
        <w:trPr>
          <w:trHeight w:val="223"/>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(54,417)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56"/>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RSUs at March 31, 2024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6,152,344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is allocated to Research and development and Selling, general and administrative operating expenses in the Condensed Consolidated Statements of Operations and Comprehensive Loss. Stock-based compensation expense for the three months ended March 31, 2024 and 2023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stock-based compensation related to stock options and RSUs was $24.4 million, which is expected to be recognized over the remaining weighted average vesting period of 3.3 years.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presents both basic earnings per share (“EPS”) and diluted EPS. Basic net loss per share is computed by dividing net loss by the weighted-average number of shares of common stock outstanding for the period. Diluted net loss per share is computed by giving effect to all common share equivalents to the extent they are dilutive. Basic and diluted net loss per share was the same for each period presented as the inclusion of all common share equivalents would have been anti-dilutive.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calculations for the three months ended March 31, 2024 and 2023 of basic and diluted net loss per share for the Company’s common stock (in thousands,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(23,611)</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 for basic and diluted EPS - loss attributable to common stockholders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basic and diluted EPS - weighted-average common stock</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140,280</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net loss per share attributable to Class A and Class B common stockholders was the same on a basic and diluted basis, as the inclusion of all potential common equivalent shares outstanding would have been anti-dilutive.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 dilutive shares were excluded from the calculation of diluted net loss per share because their effect would be anti-dilutive for the three months ended March 31,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22,101,807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24,218,892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6,152,344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465,866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32,222,470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28,653,077</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there were an aggregate of 3,833,319 Public Warrants outstanding,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while the Public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Class A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of the Public Warrants at $0.01 per warrant, each holder of Public Warrants will be entitled to exercise their Public Warrants prior to the scheduled redemption date.</w:t>
      </w:r>
    </w:p>
    <w:p>
      <w:pPr>
        <w:sectPr>
          <w:pgSz w:w="11900" w:h="16838" w:orient="portrait"/>
          <w:cols w:equalWidth="0" w:num="1">
            <w:col w:w="11240"/>
          </w:cols>
          <w:pgMar w:left="320" w:top="116"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for $0.01 as described above, the Board may elect to require any holder that wishes to exercise their Public Warrants to do so on a “cashless basis.” If the Board makes such election, all holders of Public Warrants would pay the exercise price by surrendering their warrants for the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 Warrants do not meet the criteria to be classified in stockholders’ equity as the exercise of the Public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precludes the Public Warrants from being classified in equity and thus they are classified as long-term liabilities in the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2024 and December 31, 2023, there were 135,000 Private Warrants outstanding. The Private Warrants are identical to the Public Warrants, except that so long as they are held by HighCape Capital Acquisition LLC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the other conditions of such redemption are met, as described above. If the Private Warrants are held by a holder other than HighCape Capital Acquisition LLC or any of its permitted transferees, the Private Warrants will be redeemable by the Company in all redemption scenarios applicable to the Public Warrants and exercisable by such holders on the same basis as the Public Warrants.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Warrants do not meet the criteria to be classified in stockholders’ equity as the terms of the warrants provide for potential changes to the settlement amounts depending upon the characteristics of the warrant holder, and, because the holder of a warrant is not an input into the pricing of a fixed-for-fixed option on equity shares. This provision precludes the Private Warrants from being classified in equity and thus they are classified as long-term liabilities in the Condensed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warrant liabilities was $1.0 million and $1.3 million as of March 31, 2024 and December 31, 2023, respectively. The Company recognized gains of $0.3 million and $0.4 million for the three months ended March 31, 2024 and 2023, respectively, as a Change in fair value of warrant liabilities in the Condensed Consolidated Statements of Operations and Comprehensive Loss. There were no exercises or redemptions of the Public Warrants or Private Warrants during the three months ended March 31, 2024 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committed to organizational restructurings during the first and third quarters of 2023, designed to decrease its costs and create a more streamlined organization to support its business. As of March 31, 2024 and December 31, 2023, the Company recorded a restructuring liability of $0.2 million and $0.5 million, respectively, which is included in Accrued expenses and other current liabilities in the Condensed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restructuring costs, primarily for cash severance and other severance costs, are allocated to the following operating expense categories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Selling,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Research and</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general 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administrative</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8"/>
                <w:szCs w:val="18"/>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Restructuring charges incurred</w:t>
            </w:r>
            <w:r>
              <w:rPr>
                <w:rFonts w:ascii="Times New Roman" w:cs="Times New Roman" w:eastAsia="Times New Roman" w:hAnsi="Times New Roman"/>
                <w:sz w:val="29"/>
                <w:szCs w:val="29"/>
                <w:color w:val="auto"/>
                <w:vertAlign w:val="superscript"/>
              </w:rPr>
              <w:t>(1)</w:t>
            </w:r>
          </w:p>
        </w:tc>
        <w:tc>
          <w:tcPr>
            <w:tcW w:w="4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Cash payments and other adjustments</w:t>
            </w:r>
            <w:r>
              <w:rPr>
                <w:rFonts w:ascii="Times New Roman" w:cs="Times New Roman" w:eastAsia="Times New Roman" w:hAnsi="Times New Roman"/>
                <w:sz w:val="29"/>
                <w:szCs w:val="29"/>
                <w:color w:val="auto"/>
                <w:vertAlign w:val="superscript"/>
              </w:rPr>
              <w:t>(1)</w:t>
            </w:r>
          </w:p>
        </w:tc>
        <w:tc>
          <w:tcPr>
            <w:tcW w:w="4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r>
      <w:tr>
        <w:trPr>
          <w:trHeight w:val="27"/>
        </w:trPr>
        <w:tc>
          <w:tcPr>
            <w:tcW w:w="73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7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 of March 31, 2024</w:t>
            </w: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Restructuring charges incurred and Cash payments and other adjustments include non-cash charges related to stock-based compensation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restructuring activities are complete as of March 31, 2024 and the Company does not expect to incur material additional charges associated with these activities.</w:t>
      </w:r>
    </w:p>
    <w:p>
      <w:pPr>
        <w:sectPr>
          <w:pgSz w:w="11900" w:h="16838" w:orient="portrait"/>
          <w:cols w:equalWidth="0" w:num="1">
            <w:col w:w="11240"/>
          </w:cols>
          <w:pgMar w:left="320" w:top="116"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for the three months ended March 31, 2024 and 2023 are recorded at the Company’s estimated annual effective income tax rate, subject to adjustments for discrete events, if they occur. The Company’s estimated annual effective tax rate was 0.0% for the three months ended March 31, 2024 and 2023. The primary reconciling items between the federal statutory rate of 21.0% for these periods and the Company’s overall effective tax rate of 0.0% were related to the effects of deferred state income taxes, stock-based compensation, changes in the fair value of warrant liabilities, research and development credits, and the valuation allowance recorded against the full amount of its net deferred tax assets.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Management believes that based on the earnings history of the Company, it is more likely than not that the benefits of these assets will not be realized, and therefore, a full valuation allowance has been recorded against the Company’s net deferred tax assets as of March 31, 2024 and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February 17, 2021, legacy Quantum-Si entered into a Master Services Agreement (“MSA”) with 4Catalyzer Corporation (“4C”), a company controlled by Dr. Jonathan Rothberg, the Chairman of the Board, pursuant to which the Company may engage 4C to provide services such as general administration, facilities, information technology, financing, legal, human resources and other services, through future statements of work and under terms and conditions to be determined by the parties with respect to any services to be provided. For the three months ended March 31, 2024 and 2023, the Company incurred $0.1 million of expenses payable to 4C. These expenses included amounts for month-to-month sublease arrangements for office and laboratory spaces from 4C and certain administrative expenses. These amounts are included in Selling, general and administrative expenses in the Condensed Consolidated Statements of Operations and Comprehensive Loss.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October 1, 2022, the Company entered into a Protein Engineering Collaboration (the “New Collaboration”) with Protein Evolution, Inc. (“PEI”) to develop technology and methods in the field of nanobodies and potentially other binders to produce novel biological reagents and related data. Dr. Rothberg serves as Chairman of the board of directors of PEI and the Rothberg family are controlling stockholders of PEI. As of March 31, 2024, the amount due from PEI to the Company related to the New Collaboration was $0.2 million. As of December 31, 2023, the amount due from PEI to the Company related to the New Collaboration was $0.3 million.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November 1, 2022, the Company entered into an Advisory Agreement with Dr. Rothberg (the “Advisory Agreement”), pursuant to which Dr. Rothberg serves as Chairman of the Board, advises the Chief Executive Officer and the Board on strategic matters, and provides consulting, business development and similar services on matters relating to the Company’s current, future and potential scientific and strategic initiatives and such other consulting services reasonably requested from time to time. Pursuant to the Advisory Agreement, as compensation for the services provided thereunder, in March 2023, the Company granted Dr. Rothberg an option to purchase 250,000 shares of Class A common stock pursuant to the 2021 Plan. In connection with the Advisory Agreement, Dr. Rothberg’s title was changed from Executive Chairman to Chairman of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related to certain intellectual property: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licenses certain intellectual property, some of which may be utilized in its current or future product offerings. To preserve the right to use such intellectual property, the Company is required to make annual minimum fixed payments totaling approximately $0.1 million as well as royalties based on net sales if the royalties exceed annual minimum fixed payments. As of March 31, 2024 and December 31, 2023, the Company had accrued royalties of approximately $0.1 million included in Accrued expenses and other current liabilities in the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eligible U.S. employees (the “401(k) Plan”). Contributions to the 401(k) Plan are discretionary. The Company did not make any matching contributions to the 401(k) Plan for the three months ended March 31, 2024 and 2023.</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Except as discussed below, the Company is not currently a party to any pending or threatened litigation, the outcome of which would be expected to have a material adverse effect on its financial condition, results of operations, or cash flows. The Company accrues contingent liabilities to the extent the liability is probable and estimable.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2023, the Company informed the contract manufacturer that had manufactured its Platinum® and Carbon™ instruments that it intended to wind down the relationship and transition to a different contract manufacturer. In October 2023, the former contract manufacturer filed a complaint against the Company in the State of Texas alleging breach of contract and made claims for economic damage and attorney costs. In January 2024, the suit was withdrawn and refiled in the State of Minnesota alleging similar claims. Although it is not possible to determine the potential financial exposure associated with the alleged claim at this time given its early stage, the Company believes it has a meritorious defense and intends to vigorously defend against all claims asserted in the complaint.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Condensed Consolidated Statements of Operations and Comprehensive Loss in connection with the indemnification provisions have not been material.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2023 contained in our Annual Report on Form 10-K for the year ended December 31, 2023, filed with the Securities and Exchange Commission (the “SEC”) on February 29, 2024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2023 and this Quarterly Report on Form 10-Q.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months ended March 31, 2024 and 2023 present the financial position and results of operations of Quantum-Si Incorporated and its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NGPS, the ability to sequence proteins in a massively parallel fashion (rather than sequentially, one at a time), that can be used for the study of nucleic acids. Our platform was designed to offer an end-to-end workflow including both sample preparation and sequencing and is comprised of our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NGPS instrument, the Platinum Analysis Software service, and reagent kits and proprietary semiconductor chips for use with our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instrument. We began a controlled launch of the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instrument in December 2022 and subsequently initiated a full commercial launch at the end of the first quarter of 2024.</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Now that our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Platinum Analysis Software system has launched, we intend to follow a systematic, phased approach to continue to successfully launch updates to our platform. We believe we are the first company to successfully enable NGPS on a semiconductor chip, thus digitizing a massive proteomics opportunity, which allows for a massively parallel solution at the ultimate level of sensitivity -single-molecule detection. We believe our platform, which is designed to streamline sequencing and data analysis at a lower instrument cost than legacy proteomic solutions, could allow our product to have wide utility across the study of the proteome. For example, we believe our platform could be used for biomarker discovery and disease detection, pathway analysis, immune response, vaccine development, quality assurance and quality control, among other applications.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2024 as Compared to the Three Months Ended March 31, 2023</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unaudited Condensed Consolidated Statements of Operations and Comprehensive Loss for the three months ended March 31, 2024 and 2023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866.7%</w:t>
            </w:r>
          </w:p>
        </w:tc>
      </w:tr>
      <w:tr>
        <w:trPr>
          <w:trHeight w:val="27"/>
        </w:trPr>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5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5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18,167</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marketable securities,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7"/>
        </w:trPr>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(19,474)</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(23,611)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(23,611)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Cost of Revenue and Gross Profit</w:t>
      </w:r>
    </w:p>
    <w:p>
      <w:pPr>
        <w:spacing w:after="0" w:line="21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Revenue is derived from sales of products and services. Product revenue is generated from the following sources: (i) sales of our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instrument, (ii) consumables, which consist of sales of our library, sequencing reagents and semiconductor chips, and (iii) freight revenue, which is recognized upon shipment. Service revenue is generated from service maintenance contracts including Platinum Analysis Software access, and advanced training for instrument use.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primarily consists of product and service costs including material costs, personnel costs and benefits, inbound and outbound freight, packaging, warranty replacement costs, royalty costs, facilities costs, depreciation and amortization expense, and inventory excess and obsolescence reserves.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Cost of revenue and Gross profit for the three months ended March 31, 2024 and 2023 are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r>
      <w:tr>
        <w:trPr>
          <w:trHeight w:val="257"/>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116.9%</w:t>
            </w:r>
          </w:p>
        </w:tc>
      </w:tr>
      <w:tr>
        <w:trPr>
          <w:trHeight w:val="228"/>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76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58.9%</w:t>
            </w:r>
          </w:p>
        </w:tc>
        <w:tc>
          <w:tcPr>
            <w:tcW w:w="7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48.8%</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7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Total revenue for the three months ended March 31, 2024 increased $0.2 million, or 79.9%, for the sale of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instruments, related reagent kits and service maintenance contracts as compared to the same period in 2023. Cost of revenue recognized for the three months ended March 31, 2024 increased $0.1 million, or 44.6%, as compared to the same period in 2023. Gross profit increased $0.1 million, or 116.9%, for the three months ended March 31, 2024. We began a controlled launch of the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instrument and started to take orders in December 2022. We subsequently began limited commercial shipments of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January 2023 and subsequently initiated a full commercial launch at the end of the first quarter of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 costs and benefits, stock-based compensation, lab supplies, consulting and professional services, fabrication services, charges related to product without an alternative future use, facilities costs, software, and other outsourced expenses. Research and development expenses are recognized as incurred. Our research and development expenses are primarily related to developing new products and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and 2023 are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$6.1 million, or 33.4%, for the three months ended March 31, 2024 compared to the same period in 2023. This decrease was primarily due to a $4.0 million decrease in fabrication and outsourced services and a $1.7 million decrease in payroll and payroll-related costs, primarily driven by restructuring activities that occurred in 2023 and personnel costs that were capitalized for the three months ended March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2024 and 2023 are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$0.4 million, or 3.1%, for the three months ended March 31, 2024 as compared to the same period in 2023. This was primarily due to a $0.9 million increase in legal fees and a $0.4 million increase in marketing expenses incurred as part of our increased commercialization efforts, partially offset by $0.9 million net decrease in personnel costs and a $0.4 million decrease in insurance costs.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and Interest Income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dividend and interest income is derived primarily from fixed income securities and money market funds. In 2023, dividend and interest income was derived from mutual funds.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and interest income for the three months ended March 31, 2024 and 2023 are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and interest income increased by $1.4 million, or 61.1%, for the three months ended March 31, 2024 as compared to the same period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a result of higher dividends and interest earned on invested balances in marketable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Marketable Securities,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marketable securities, net, for the three months ended March 31, 2024 and 2023 is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marketable securities, net</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Gain on marketable securities, net, for the three months ended March 31, 2024 as compared to a gain of $2.9 million for the same period in 2023. The prior year gains were primarily related to market adjustments of investments in marketable securities, which consisted of fixed income mutual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Warrant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were recorded at fair value as part of the business combination between HighCape Capital Acquisition LLC and Quantum-Si Incorporated in June 2021 (the “Business Combination”). Change in fair value of warrant liabilities primarily consists of the change in the fair value of our Public Warrants and Private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warrant liabilities for the three months ended March 31, 2024 and 2023 is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warrant liabilities decreased $0.1 million, or 18.4%, for the three months ended March 31, 2024 as compared to the same period in 2023. This decrease was primarily driven by the decrease in the underlying trading price of our Class A common stock experienced during the three months ended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Income,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for the three months ended March 31, 2024 and 2023 are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decreased by $0.1 million, or 112.1%, for the three months ended March 31, 2024 as compared to the same period for 2023.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cash flows for operating, investing, and financing activities for the three months ended March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(28,698)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(80,697)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(2,659)</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operating activities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cash used in operating activities during the three months ended March 31, 2024, was $23.2 million compared to $28.7 million for the same period in 2023. This $5.5 million decrease was primarily driven by our operating results which resulted in a $3.1 million decrease in net cash used year-over-year as well as a decrease of $2.4 million in net cash used resulting from changes in operating assets and liabilities. Timing of cash receipts and cash payments in the ordinary course of business caused operating cash flow to fluctuate from period to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provided by investing activities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investing activities was $57.4 million compared to net cash provided by investing activities of $26.0 million for the same period in 2023. This change was due primarily due to an increase in purchases of marketable securities of $78.8 million as well as a $7.0 million decrease in proceeds from the sales of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financing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financing activities was $0.1 million. The net cash used primarily consisted of deferred offering costs paid for the Shelf Registration Statement and the ATM Offering, both of which are defined and described below. There were no financing activities during the three months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Outlook</w:t>
      </w:r>
    </w:p>
    <w:p>
      <w:pPr>
        <w:spacing w:after="0" w:line="22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with proceeds from the issuance of equity to private investors, as well as with the proceeds received from the closing of the Business Combination on June 10, 2021. Additionally, we began to generate revenue during 2023 from commercial sales of our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instrument. Our primary uses of liquidity have been operating expenses, capital expenditures and our acquisition of certain assets. Cash flows from operations have been historically negative as we continue to invest in the development of our technology in NGPS. Going forward, we anticipate debt or equity offerings will be the primary source of funds to support our operating needs and capital expenditures until we reach scale of our commercial operations. We expect to incur negative operating cash flows on an annual basis for the foreseeable future until such time that we can scale our revenue growth.</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commercialization efforts, to further invest in research and development, for other operating expenses, business acquisitions and for working capital and general corporate purposes.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cash and cash equivalents and investments in marketable securities totaling $235.4 million. Our future capital requirements may vary from those currently planned and will depend on various factors including the pace and success of product commercialization.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ongoing commercialization of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our continuing research and development efforts to enhance our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instrument may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 commercialization, (iii) changes we may make in our business or commercialization strategy, (iv) costs of running a public company, (v) other items affecting our forecasted level of expenditures and use of cash resources, including potential acquisitions, and (vi) increased product and service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we filed a $150 million Shelf Registration Statement (the “Shelf Registration Statement”), which became effective on August 22,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2023, we also entered into an Equity Distribution Agreement (“EDA”) with an outside placement agent (the “Agent”), under which we may, from time to time, sell shares of our Class A common stock under the ATM Offering. The Shelf Registration Statement includes a prospectus supplement covering the offering, issuance and sale of up to $75 million of our Class A common stock, from time to time, in at-the-market offerings through the Agent (the “ATM Offering”). The shares to be sold under the EDA may be issued and sold pursuant to the Shelf Registration Statement. The EDA also provides that the Agent will be entitled to compensation for its services in an amount up to 3.0% of the gross proceeds from the sales of shares sold through the Agent under the EDA. We have no obligation to sell any shares under the EDA and may at any time suspend solicitation and offers under the EDA. To date, we have not issued or sold any shares of our Class A common stock under the ATM Offering.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certain facilities and equipment under non-cancellable lease agreements that expire at various dates through 2032. As of March 31, 2024, the future payments, before adjustments for tenant incentives, under leases was approximately $30.0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related to certain 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license certain intellectual property, some of which may be utilized in our current or future product offerings. To preserve the right to use such intellectual property, we are required to make annual minimum fixed payments totaling approximately $0.1 million as well as royalties based on net sales if the royalties exceed annual minimum fixed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which have been prepared in accordance with accounting principles generally accepted in the United States of America.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 Please refer to our critical accounting policies as disclosed in our Annual Report on Form 10-K for the year ended December 31, 2023 and Note 2. Summary of Significant Accounting Policies, in the accompanying notes to the unaudited Condensed Consolidated Financial Statements for a complete description of our significant accounting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refer to Note 2. Summary of Significant Accounting Policies, in the accompanying notes to the unaudited Condensed Consolidated Financial Statements included elsewhere in this Quarterly Report on Form 10-Q for a description of recently issued accounting pronouncements that may potentially impact our financial position and results of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inflation can and has had an impact on the underlying cost of our supplies and manufacturing components related to our business.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our marketable securities are comprised primarily of investments in money market funds backed by U.S. government issued securities, U.S. Treasury bills, and high-quality corporate commercial paper. The primary objective of our investments is the preservation of capital to fulfill liquidity needs. We do not enter into investments for trading or speculative purposes. Based on the short-term nature of our holdings, future interest rate changes are not expected to have a material impact on our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Presently, we operate our business primarily within the United States, with limited sales outside the United States. To date, we have executed the majority of our transactions in U.S. dollars. In the future, we anticipate expanding into Europe and other locations outside the United States. This expansion may include transacting business in currencies other than the U.S. Dollar. Despite this, we anticipate conducting limited activity outside the U.S. Dollar in the near term, and therefore foreign currency translation risk is not expected to have a material impact on our Consolidated Financial Statements. However, the growth of our operations, scope of transactions outside the United States, and the use of currencies other than the U.S. Dollar may grow in the future, at which point it is possible foreign currency translation will have a material effect on our operations. To date, we have not entered into any hedging arrangements with respect to foreign currency risk. As our international operations grow, we will continue to reassess our approach to managing our risk relating to fluctuations in currency rates.</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2024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engaged in legal proceedings in the ordinary course of business. For further information on the Company’s legal proceedings, please refer to Note 15. Commitments and Contingencies, in the notes to the Condensed Consolidated Financial Statements.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results of operations, financial condition and cash flows are subject to various risks and uncertainties including the risk factors described under the caption “Risk Factors” in our Annual Report on Form 10-K for the year ended December 31, 2023, filed with the SEC on February 29, 2024, and the risk factor described below.</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contract manufacturers to manufacture and supply our instruments, components of our instruments, and certain components of our consumable offerings. If these manufacturers should fail or not perform satisfactorily, our ability to commercialize and supply our instruments and consumable offerings would be adversely affected.</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rely on certain contract manufacturers to manufacture and supply our instruments, components of our instruments, and certain components of our consumable offerings. Since most of our contracts with these manufacturers do not commit them to carry inventory or make available any particular quantities, these manufacturers may give other customers’ needs higher priority than ours, and we may not be able to obtain adequate supplies in a timely manner or on commercially reasonable terms. Further, if these manufacturers are unable to obtain critical components used in our instruments or supply our instruments on the timelines we require, our business and commercialization efforts would be harmed. For example, in November 2023 we began a process of transitioning the manufacturing of our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instrument to a new provider. Transitioning this process could take more time than anticipated and run into technical challenges, and may ultimately prove to be unsuccessful. If we are unable to begin manufacturing at this new contract manufacturer in a timely fashion, it will affect our ability to produce Platinum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instruments which would harm our research and development efforts and commercial operations.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it becomes necessary to utilize a different contract manufacturer for our products or components of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consumable offerings, and our business would suffer. In addition, if our products are authorized for use by the FDA as medical devices, we will need to contract with FDA-registered device establishments that are able to comply with current Good Manufacturing Practice requirements that are set forth in the QSR, unless explicitly exempted by regulation.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certain of the components and consumables used in our instruments and consumable offerings are sourced from a limited number, or sole source suppliers. If we were to lose such a supplier, there can be no assurance that we will be able to identify or enter into an agreement with an alternative supplier on a timely basis on acceptable terms, if at all. An interruption in our ability to sell and deliver instruments or consumable offerings to customers could occur if we encounter delays or difficulties in securing these components or consumables, or if the quality of the components or consumables supplied do not meet specifications, or if we cannot then obtain an acceptable substitute. Our suppliers have also been impacted by the COVID-19 pandemic, and in the past, we have experienced supply delays for critical hardware and instrumentation as a result. If any of these events occur, our business, results of operations, financial condition and prospects could be harmed.</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March 31, 2024, none of our officers or directors adopted, modified or terminated any such trading arrangements.</w:t>
      </w:r>
    </w:p>
    <w:p>
      <w:pPr>
        <w:sectPr>
          <w:pgSz w:w="11900" w:h="16838" w:orient="portrait"/>
          <w:cols w:equalWidth="0" w:num="1">
            <w:col w:w="11240"/>
          </w:cols>
          <w:pgMar w:left="320" w:top="115" w:right="339" w:bottom="795"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95"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Reference Herein</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SEC File/​</w:t>
            </w:r>
          </w:p>
        </w:tc>
      </w:tr>
      <w:tr>
        <w:trPr>
          <w:trHeight w:val="245"/>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1"/>
                <w:szCs w:val="21"/>
                <w:color w:val="auto"/>
              </w:rPr>
            </w:pPr>
          </w:p>
        </w:tc>
        <w:tc>
          <w:tcPr>
            <w:tcW w:w="29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Filed Herewith</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  Form or Schedule  ​</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Reg. Number</w:t>
            </w:r>
          </w:p>
        </w:tc>
      </w:tr>
      <w:tr>
        <w:trPr>
          <w:trHeight w:val="216"/>
        </w:trPr>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175"/>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hyperlink>
          </w:p>
        </w:tc>
        <w:tc>
          <w:tcPr>
            <w:tcW w:w="30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Nonemployee Director Compensation</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Form 10-K (Exhibit</w:t>
            </w:r>
          </w:p>
        </w:tc>
        <w:tc>
          <w:tcPr>
            <w:tcW w:w="1640" w:type="dxa"/>
            <w:vAlign w:val="bottom"/>
            <w:shd w:val="clear" w:color="auto" w:fill="CCEEFF"/>
          </w:tcPr>
          <w:p>
            <w:pPr>
              <w:jc w:val="right"/>
              <w:ind w:right="370"/>
              <w:spacing w:after="0" w:line="176" w:lineRule="exact"/>
              <w:rPr>
                <w:sz w:val="20"/>
                <w:szCs w:val="20"/>
                <w:color w:val="auto"/>
              </w:rPr>
            </w:pPr>
            <w:r>
              <w:rPr>
                <w:rFonts w:ascii="Times New Roman" w:cs="Times New Roman" w:eastAsia="Times New Roman" w:hAnsi="Times New Roman"/>
                <w:sz w:val="18"/>
                <w:szCs w:val="18"/>
                <w:color w:val="auto"/>
              </w:rPr>
              <w:t>2/29/2024</w:t>
            </w:r>
          </w:p>
        </w:tc>
        <w:tc>
          <w:tcPr>
            <w:tcW w:w="1660" w:type="dxa"/>
            <w:vAlign w:val="bottom"/>
            <w:gridSpan w:val="2"/>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001-39486</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Policy</w:t>
            </w:r>
          </w:p>
        </w:tc>
        <w:tc>
          <w:tcPr>
            <w:tcW w:w="12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74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the Principal Executive</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8"/>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Officer pursuant to Section 302 of the</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74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the Principal Financial</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8"/>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Officer pursuant to Section 302 of the</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5"/>
        </w:trPr>
        <w:tc>
          <w:tcPr>
            <w:tcW w:w="4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32.</w:t>
            </w:r>
            <w:r>
              <w:rPr>
                <w:rFonts w:ascii="Times New Roman" w:cs="Times New Roman" w:eastAsia="Times New Roman" w:hAnsi="Times New Roman"/>
                <w:sz w:val="18"/>
                <w:szCs w:val="18"/>
                <w:u w:val="single" w:color="auto"/>
                <w:color w:val="0000EE"/>
                <w:w w:val="98"/>
              </w:rPr>
              <w:t>1*</w:t>
            </w:r>
          </w:p>
        </w:tc>
        <w:tc>
          <w:tcPr>
            <w:tcW w:w="740" w:type="dxa"/>
            <w:vAlign w:val="bottom"/>
            <w:tcBorders>
              <w:bottom w:val="single" w:sz="8" w:color="CCEEFF"/>
            </w:tcBorders>
            <w:shd w:val="clear" w:color="auto" w:fill="CCEEFF"/>
          </w:tcPr>
          <w:p>
            <w:pPr>
              <w:spacing w:after="0"/>
              <w:rPr>
                <w:sz w:val="15"/>
                <w:szCs w:val="15"/>
                <w:color w:val="auto"/>
              </w:rPr>
            </w:pPr>
          </w:p>
        </w:tc>
        <w:tc>
          <w:tcPr>
            <w:tcW w:w="304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the Principal Executive</w:t>
            </w: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r>
      <w:tr>
        <w:trPr>
          <w:trHeight w:val="218"/>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Officer pursuant to Section 906 of the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6"/>
        </w:trPr>
        <w:tc>
          <w:tcPr>
            <w:tcW w:w="4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32.</w:t>
            </w:r>
            <w:r>
              <w:rPr>
                <w:rFonts w:ascii="Times New Roman" w:cs="Times New Roman" w:eastAsia="Times New Roman" w:hAnsi="Times New Roman"/>
                <w:sz w:val="18"/>
                <w:szCs w:val="18"/>
                <w:u w:val="single" w:color="auto"/>
                <w:color w:val="0000EE"/>
                <w:w w:val="98"/>
              </w:rPr>
              <w:t>2*</w:t>
            </w:r>
          </w:p>
        </w:tc>
        <w:tc>
          <w:tcPr>
            <w:tcW w:w="740" w:type="dxa"/>
            <w:vAlign w:val="bottom"/>
            <w:tcBorders>
              <w:bottom w:val="single" w:sz="8" w:color="CCEEFF"/>
            </w:tcBorders>
            <w:shd w:val="clear" w:color="auto" w:fill="CCEEFF"/>
          </w:tcPr>
          <w:p>
            <w:pPr>
              <w:spacing w:after="0"/>
              <w:rPr>
                <w:sz w:val="15"/>
                <w:szCs w:val="15"/>
                <w:color w:val="auto"/>
              </w:rPr>
            </w:pPr>
          </w:p>
        </w:tc>
        <w:tc>
          <w:tcPr>
            <w:tcW w:w="304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the Principal Financial</w:t>
            </w: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r>
      <w:tr>
        <w:trPr>
          <w:trHeight w:val="218"/>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Officer pursuant to Section 906 of the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8"/>
        </w:trPr>
        <w:tc>
          <w:tcPr>
            <w:tcW w:w="11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30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instance document does not appear in</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Interactive Data File because its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XBRL tags are embedded within the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8"/>
        </w:trPr>
        <w:tc>
          <w:tcPr>
            <w:tcW w:w="11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30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Schema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8"/>
        </w:trPr>
        <w:tc>
          <w:tcPr>
            <w:tcW w:w="11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30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8"/>
        </w:trPr>
        <w:tc>
          <w:tcPr>
            <w:tcW w:w="11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30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8"/>
        </w:trPr>
        <w:tc>
          <w:tcPr>
            <w:tcW w:w="11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30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Label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8"/>
        </w:trPr>
        <w:tc>
          <w:tcPr>
            <w:tcW w:w="11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30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8"/>
        </w:trPr>
        <w:tc>
          <w:tcPr>
            <w:tcW w:w="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(embedded within the Inline XBRL</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ectPr>
          <w:pgSz w:w="11900" w:h="16838" w:orient="portrait"/>
          <w:cols w:equalWidth="0" w:num="1">
            <w:col w:w="11240"/>
          </w:cols>
          <w:pgMar w:left="320" w:top="115"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Jeffrey Hawkins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4942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Jeffry Keyes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Hawkins,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Quantum-Si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263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26314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Hawkins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Jeffry Keyes,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Quantum-Si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6060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Jeffry Keyes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March 31,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4"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9, 2024</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18415</wp:posOffset>
            </wp:positionV>
            <wp:extent cx="268287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682875" cy="17145"/>
                    </a:xfrm>
                    <a:prstGeom prst="rect">
                      <a:avLst/>
                    </a:prstGeom>
                    <a:noFill/>
                  </pic:spPr>
                </pic:pic>
              </a:graphicData>
            </a:graphic>
          </wp:anchor>
        </w:drawing>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Jeffrey Hawkins</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March 31,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4"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9, 2024</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18415</wp:posOffset>
            </wp:positionV>
            <wp:extent cx="2434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434590" cy="17145"/>
                    </a:xfrm>
                    <a:prstGeom prst="rect">
                      <a:avLst/>
                    </a:prstGeom>
                    <a:noFill/>
                  </pic:spPr>
                </pic:pic>
              </a:graphicData>
            </a:graphic>
          </wp:anchor>
        </w:drawing>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Jeffry Keyes</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43" Type="http://schemas.openxmlformats.org/officeDocument/2006/relationships/hyperlink" Target="https://www.sec.gov/Archives/edgar/data/1816431/000114036124010438/ef20015319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2024-05-09T16:10:03Z</dcterms:created>
  <dcterms:modified xsi:type="dcterms:W3CDTF">2024-05-09T16:10:03Z</dcterms:modified>
</cp:coreProperties>
</file>