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14,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QUANTUM-SI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280" w:type="dxa"/>
        <w:tblCellMar>
          <w:top w:w="0" w:type="dxa"/>
          <w:left w:w="0" w:type="dxa"/>
          <w:bottom w:w="0" w:type="dxa"/>
          <w:right w:w="0" w:type="dxa"/>
        </w:tblCellMar>
      </w:tblPr>
      <w:tr>
        <w:trPr>
          <w:trHeight w:val="220"/>
        </w:trPr>
        <w:tc>
          <w:tcPr>
            <w:tcW w:w="37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001-39486</w:t>
            </w:r>
          </w:p>
        </w:tc>
        <w:tc>
          <w:tcPr>
            <w:tcW w:w="2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85-1388175</w:t>
            </w:r>
          </w:p>
        </w:tc>
      </w:tr>
      <w:tr>
        <w:trPr>
          <w:trHeight w:val="234"/>
        </w:trPr>
        <w:tc>
          <w:tcPr>
            <w:tcW w:w="376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08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7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530 Old Whitfield Street</w:t>
            </w:r>
          </w:p>
        </w:tc>
        <w:tc>
          <w:tcPr>
            <w:tcW w:w="408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20"/>
        </w:trPr>
        <w:tc>
          <w:tcPr>
            <w:tcW w:w="376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Guilford, Connecticut</w:t>
            </w:r>
          </w:p>
        </w:tc>
        <w:tc>
          <w:tcPr>
            <w:tcW w:w="4080" w:type="dxa"/>
            <w:vAlign w:val="bottom"/>
          </w:tcPr>
          <w:p>
            <w:pPr>
              <w:spacing w:after="0"/>
              <w:rPr>
                <w:sz w:val="19"/>
                <w:szCs w:val="19"/>
                <w:color w:val="auto"/>
              </w:rPr>
            </w:pPr>
          </w:p>
        </w:tc>
        <w:tc>
          <w:tcPr>
            <w:tcW w:w="250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06437</w:t>
            </w:r>
          </w:p>
        </w:tc>
      </w:tr>
      <w:tr>
        <w:trPr>
          <w:trHeight w:val="212"/>
        </w:trPr>
        <w:tc>
          <w:tcPr>
            <w:tcW w:w="376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8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38"/>
        </w:trPr>
        <w:tc>
          <w:tcPr>
            <w:tcW w:w="7840" w:type="dxa"/>
            <w:vAlign w:val="bottom"/>
            <w:gridSpan w:val="2"/>
          </w:tcPr>
          <w:p>
            <w:pPr>
              <w:jc w:val="center"/>
              <w:ind w:left="27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(866) 688-7374</w:t>
            </w:r>
          </w:p>
        </w:tc>
        <w:tc>
          <w:tcPr>
            <w:tcW w:w="25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10"/>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45"/>
        </w:trPr>
        <w:tc>
          <w:tcPr>
            <w:tcW w:w="486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8"/>
        </w:trPr>
        <w:tc>
          <w:tcPr>
            <w:tcW w:w="4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40" w:type="dxa"/>
            <w:vAlign w:val="bottom"/>
          </w:tcPr>
          <w:p>
            <w:pPr>
              <w:spacing w:after="0"/>
              <w:rPr>
                <w:sz w:val="17"/>
                <w:szCs w:val="17"/>
                <w:color w:val="auto"/>
              </w:rPr>
            </w:pPr>
          </w:p>
        </w:tc>
        <w:tc>
          <w:tcPr>
            <w:tcW w:w="2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QSI</w:t>
            </w:r>
          </w:p>
        </w:tc>
        <w:tc>
          <w:tcPr>
            <w:tcW w:w="240" w:type="dxa"/>
            <w:vAlign w:val="bottom"/>
          </w:tcPr>
          <w:p>
            <w:pPr>
              <w:spacing w:after="0"/>
              <w:rPr>
                <w:sz w:val="17"/>
                <w:szCs w:val="17"/>
                <w:color w:val="auto"/>
              </w:rPr>
            </w:pPr>
          </w:p>
        </w:tc>
        <w:tc>
          <w:tcPr>
            <w:tcW w:w="33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warrants, each whole warrant exercisable for one</w:t>
            </w:r>
          </w:p>
        </w:tc>
        <w:tc>
          <w:tcPr>
            <w:tcW w:w="3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4"/>
              </w:rPr>
              <w:t>QSIAW</w:t>
            </w: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 of Class A common stock, each at an exercise price of</w:t>
            </w: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tcPr>
          <w:p>
            <w:pPr>
              <w:spacing w:after="0"/>
              <w:rPr>
                <w:sz w:val="18"/>
                <w:szCs w:val="18"/>
                <w:color w:val="auto"/>
              </w:rPr>
            </w:pPr>
          </w:p>
        </w:tc>
      </w:tr>
      <w:tr>
        <w:trPr>
          <w:trHeight w:val="234"/>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$11.50 per share</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66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Quantum-Si Incorporated (the “Company”) previously announced on its Form 8-K filed on March 2, 2023, the Company filed a petition (the “Petition”) on February 28, 2023 in the Delaware Court of Chancery (the “Court of Chancery”) under Section 205 of the Delaware General Corporation Law (the “DGCL”) in order to resolve potential uncertainty with respect to the validity of the Company's Second Amended and Restated Certificate of Incorporation and the Company’s capitalization resulting from a recent Court of Chancery ruling. The Court of Chancery set a hearing date for March 14, 2023.</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March 14, 2023, the hearing took place and the Court of Chancery approved the Company's request for relief and entered an order under Section 205 of the DGCL (i) declaring the Company's Second Amended and Restated Certificate of Incorporation, including the filing and effectiveness thereof, as validated and effective retroactive to the date of its filing with the Office of the Secretary of State of the State of Delaware on June 10, 2021, and all amendments effected thereby, and (ii) ordering that the Company's securities (and the issuance of the securities) described in the Petition and any other securities issued in reliance on the validity of the Second Amended and Restated Certificate of Incorporation are validated and declared effective, each as of the original issuance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Claudia Drayton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Claudia Drayton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2023-03-15T05:48:50Z</dcterms:created>
  <dcterms:modified xsi:type="dcterms:W3CDTF">2023-03-15T05:48:50Z</dcterms:modified>
</cp:coreProperties>
</file>