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RAKIN KEVIN</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Quantum-Si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QUANTUM-SI INCORPORATED</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530 OLD WHITFIELD STREET</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GUILFORD</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06437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12/20/2022</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601,000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5"/>
              </w:rPr>
              <w:t>1,200,000</w:t>
            </w:r>
            <w:r>
              <w:rPr>
                <w:rFonts w:ascii="Times New Roman" w:cs="Times New Roman" w:eastAsia="Times New Roman" w:hAnsi="Times New Roman"/>
                <w:sz w:val="22"/>
                <w:szCs w:val="22"/>
                <w:color w:val="008000"/>
                <w:w w:val="95"/>
                <w:vertAlign w:val="superscript"/>
              </w:rPr>
              <w:t>(2)(3)</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20,512</w:t>
            </w:r>
          </w:p>
        </w:tc>
        <w:tc>
          <w:tcPr>
            <w:tcW w:w="3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HighCape Partners QSI II Invest, L.P. distributed in kind these shares of the Company's Class A common stock to its limited partners on a pro rata basis, for no consideration.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24,527 shares of the Company's Class A common stock held by HighCape Partners II, L.P. and (ii) 1,175,473 shares of the Company's Class A common stock held by HighCape Partners QP II, L.P. Mr. Rakin and Matt Zuga are the managing members of HighCape Capital II GP, LLC, which is the general partner of HighCape Partners II GP, L.P., which is the general partner of each of HighCape Partners II, L.P. and HighCape Partners QP II, L.P., and as a result each may be deemed to share voting and investment discretion with respect to the Class A common stock held by such entities.</w:t>
      </w:r>
    </w:p>
    <w:p>
      <w:pPr>
        <w:spacing w:after="0" w:line="176"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Rakin disclaims any beneficial ownership of the securities to be held by HighCape Partners II, L.P. and HighCape Partners QP II, L.P. other than to the extent of any pecuniary interest he may have therein, directly or indirectly.</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12/22/2022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4421" TargetMode="External"/><Relationship Id="rId13"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2022-12-22T15:33:28Z</dcterms:created>
  <dcterms:modified xsi:type="dcterms:W3CDTF">2022-12-22T15:33:28Z</dcterms:modified>
</cp:coreProperties>
</file>