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79"/>
        <w:spacing w:after="0"/>
        <w:tabs>
          <w:tab w:leader="none" w:pos="3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0"/>
          <w:szCs w:val="40"/>
          <w:b w:val="1"/>
          <w:bCs w:val="1"/>
          <w:color w:val="auto"/>
        </w:rPr>
        <w:t>HighCape Capital Acquisition Corp.</w:t>
      </w:r>
    </w:p>
    <w:p>
      <w:pPr>
        <w:spacing w:after="0" w:line="4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42984L204</w:t>
      </w:r>
    </w:p>
    <w:p>
      <w:pPr>
        <w:spacing w:after="0" w:line="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September 9, 2020</w:t>
      </w:r>
    </w:p>
    <w:p>
      <w:pPr>
        <w:spacing w:after="0" w:line="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203"/>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60" w:hanging="203"/>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660" w:hanging="203"/>
        <w:spacing w:after="0"/>
        <w:tabs>
          <w:tab w:leader="none" w:pos="66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220" w:right="20" w:hanging="216"/>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(Continued on the Following Pages)</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1 of 10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2 of 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42984L204</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0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LINDEN CAPITAL L.P.</w:t>
            </w:r>
          </w:p>
        </w:tc>
        <w:tc>
          <w:tcPr>
            <w:tcW w:w="0" w:type="dxa"/>
            <w:vAlign w:val="bottom"/>
          </w:tcPr>
          <w:p>
            <w:pPr>
              <w:spacing w:after="0"/>
              <w:rPr>
                <w:sz w:val="1"/>
                <w:szCs w:val="1"/>
                <w:color w:val="auto"/>
              </w:rPr>
            </w:pPr>
          </w:p>
        </w:tc>
      </w:tr>
      <w:tr>
        <w:trPr>
          <w:trHeight w:val="169"/>
        </w:trPr>
        <w:tc>
          <w:tcPr>
            <w:tcW w:w="50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760" w:type="dxa"/>
            <w:vAlign w:val="bottom"/>
            <w:tcBorders>
              <w:right w:val="single" w:sz="8" w:color="auto"/>
            </w:tcBorders>
            <w:gridSpan w:val="5"/>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(b)</w:t>
            </w:r>
          </w:p>
        </w:tc>
        <w:tc>
          <w:tcPr>
            <w:tcW w:w="95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Bermuda</w:t>
            </w: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460" w:type="dxa"/>
            <w:vAlign w:val="bottom"/>
            <w:tcBorders>
              <w:left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500" w:type="dxa"/>
            <w:vAlign w:val="bottom"/>
            <w:tcBorders>
              <w:left w:val="single" w:sz="8" w:color="auto"/>
            </w:tcBorders>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7"/>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626,134</w:t>
            </w: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960" w:type="dxa"/>
            <w:vAlign w:val="bottom"/>
          </w:tcPr>
          <w:p>
            <w:pPr>
              <w:jc w:val="center"/>
              <w:ind w:right="1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Borders>
              <w:right w:val="single" w:sz="8" w:color="auto"/>
            </w:tcBorders>
          </w:tcPr>
          <w:p>
            <w:pPr>
              <w:spacing w:after="0"/>
              <w:rPr>
                <w:sz w:val="15"/>
                <w:szCs w:val="15"/>
                <w:color w:val="auto"/>
              </w:rPr>
            </w:pPr>
          </w:p>
        </w:tc>
        <w:tc>
          <w:tcPr>
            <w:tcW w:w="2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938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REPORTING</w:t>
            </w:r>
          </w:p>
        </w:tc>
        <w:tc>
          <w:tcPr>
            <w:tcW w:w="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 w:type="dxa"/>
            <w:vAlign w:val="bottom"/>
            <w:tcBorders>
              <w:left w:val="single" w:sz="8" w:color="auto"/>
            </w:tcBorders>
          </w:tcPr>
          <w:p>
            <w:pPr>
              <w:spacing w:after="0"/>
              <w:rPr>
                <w:sz w:val="19"/>
                <w:szCs w:val="19"/>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38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6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00" w:type="dxa"/>
            <w:vAlign w:val="bottom"/>
            <w:tcBorders>
              <w:left w:val="single" w:sz="8" w:color="auto"/>
            </w:tcBorders>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626,134</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gridSpan w:val="2"/>
          </w:tcPr>
          <w:p>
            <w:pPr>
              <w:spacing w:after="0"/>
              <w:rPr>
                <w:sz w:val="20"/>
                <w:szCs w:val="20"/>
                <w:color w:val="auto"/>
              </w:rPr>
            </w:pPr>
          </w:p>
        </w:tc>
        <w:tc>
          <w:tcPr>
            <w:tcW w:w="9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626,134</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PN</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3 of 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42984L204</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0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LINDEN GP LLC</w:t>
            </w:r>
          </w:p>
        </w:tc>
        <w:tc>
          <w:tcPr>
            <w:tcW w:w="0" w:type="dxa"/>
            <w:vAlign w:val="bottom"/>
          </w:tcPr>
          <w:p>
            <w:pPr>
              <w:spacing w:after="0"/>
              <w:rPr>
                <w:sz w:val="1"/>
                <w:szCs w:val="1"/>
                <w:color w:val="auto"/>
              </w:rPr>
            </w:pPr>
          </w:p>
        </w:tc>
      </w:tr>
      <w:tr>
        <w:trPr>
          <w:trHeight w:val="169"/>
        </w:trPr>
        <w:tc>
          <w:tcPr>
            <w:tcW w:w="50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760" w:type="dxa"/>
            <w:vAlign w:val="bottom"/>
            <w:tcBorders>
              <w:right w:val="single" w:sz="8" w:color="auto"/>
            </w:tcBorders>
            <w:gridSpan w:val="5"/>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(b)</w:t>
            </w:r>
          </w:p>
        </w:tc>
        <w:tc>
          <w:tcPr>
            <w:tcW w:w="95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460" w:type="dxa"/>
            <w:vAlign w:val="bottom"/>
            <w:tcBorders>
              <w:left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500" w:type="dxa"/>
            <w:vAlign w:val="bottom"/>
            <w:tcBorders>
              <w:left w:val="single" w:sz="8" w:color="auto"/>
            </w:tcBorders>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7"/>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626,134</w:t>
            </w: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960" w:type="dxa"/>
            <w:vAlign w:val="bottom"/>
          </w:tcPr>
          <w:p>
            <w:pPr>
              <w:jc w:val="center"/>
              <w:ind w:right="1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Borders>
              <w:right w:val="single" w:sz="8" w:color="auto"/>
            </w:tcBorders>
          </w:tcPr>
          <w:p>
            <w:pPr>
              <w:spacing w:after="0"/>
              <w:rPr>
                <w:sz w:val="15"/>
                <w:szCs w:val="15"/>
                <w:color w:val="auto"/>
              </w:rPr>
            </w:pPr>
          </w:p>
        </w:tc>
        <w:tc>
          <w:tcPr>
            <w:tcW w:w="2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938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REPORTING</w:t>
            </w:r>
          </w:p>
        </w:tc>
        <w:tc>
          <w:tcPr>
            <w:tcW w:w="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 w:type="dxa"/>
            <w:vAlign w:val="bottom"/>
            <w:tcBorders>
              <w:left w:val="single" w:sz="8" w:color="auto"/>
            </w:tcBorders>
          </w:tcPr>
          <w:p>
            <w:pPr>
              <w:spacing w:after="0"/>
              <w:rPr>
                <w:sz w:val="19"/>
                <w:szCs w:val="19"/>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38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6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00" w:type="dxa"/>
            <w:vAlign w:val="bottom"/>
            <w:tcBorders>
              <w:left w:val="single" w:sz="8" w:color="auto"/>
            </w:tcBorders>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626,134</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gridSpan w:val="2"/>
          </w:tcPr>
          <w:p>
            <w:pPr>
              <w:spacing w:after="0"/>
              <w:rPr>
                <w:sz w:val="20"/>
                <w:szCs w:val="20"/>
                <w:color w:val="auto"/>
              </w:rPr>
            </w:pPr>
          </w:p>
        </w:tc>
        <w:tc>
          <w:tcPr>
            <w:tcW w:w="9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626,134</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HC</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4 of 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42984L204</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0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LINDEN ADVISORS LP</w:t>
            </w:r>
          </w:p>
        </w:tc>
        <w:tc>
          <w:tcPr>
            <w:tcW w:w="0" w:type="dxa"/>
            <w:vAlign w:val="bottom"/>
          </w:tcPr>
          <w:p>
            <w:pPr>
              <w:spacing w:after="0"/>
              <w:rPr>
                <w:sz w:val="1"/>
                <w:szCs w:val="1"/>
                <w:color w:val="auto"/>
              </w:rPr>
            </w:pPr>
          </w:p>
        </w:tc>
      </w:tr>
      <w:tr>
        <w:trPr>
          <w:trHeight w:val="169"/>
        </w:trPr>
        <w:tc>
          <w:tcPr>
            <w:tcW w:w="50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760" w:type="dxa"/>
            <w:vAlign w:val="bottom"/>
            <w:tcBorders>
              <w:right w:val="single" w:sz="8" w:color="auto"/>
            </w:tcBorders>
            <w:gridSpan w:val="5"/>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(b)</w:t>
            </w:r>
          </w:p>
        </w:tc>
        <w:tc>
          <w:tcPr>
            <w:tcW w:w="95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460" w:type="dxa"/>
            <w:vAlign w:val="bottom"/>
            <w:tcBorders>
              <w:left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500" w:type="dxa"/>
            <w:vAlign w:val="bottom"/>
            <w:tcBorders>
              <w:left w:val="single" w:sz="8" w:color="auto"/>
            </w:tcBorders>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7"/>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960" w:type="dxa"/>
            <w:vAlign w:val="bottom"/>
          </w:tcPr>
          <w:p>
            <w:pPr>
              <w:jc w:val="center"/>
              <w:ind w:right="1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Borders>
              <w:right w:val="single" w:sz="8" w:color="auto"/>
            </w:tcBorders>
          </w:tcPr>
          <w:p>
            <w:pPr>
              <w:spacing w:after="0"/>
              <w:rPr>
                <w:sz w:val="15"/>
                <w:szCs w:val="15"/>
                <w:color w:val="auto"/>
              </w:rPr>
            </w:pPr>
          </w:p>
        </w:tc>
        <w:tc>
          <w:tcPr>
            <w:tcW w:w="2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938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REPORTING</w:t>
            </w:r>
          </w:p>
        </w:tc>
        <w:tc>
          <w:tcPr>
            <w:tcW w:w="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 w:type="dxa"/>
            <w:vAlign w:val="bottom"/>
            <w:tcBorders>
              <w:left w:val="single" w:sz="8" w:color="auto"/>
            </w:tcBorders>
          </w:tcPr>
          <w:p>
            <w:pPr>
              <w:spacing w:after="0"/>
              <w:rPr>
                <w:sz w:val="19"/>
                <w:szCs w:val="19"/>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38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6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00" w:type="dxa"/>
            <w:vAlign w:val="bottom"/>
            <w:tcBorders>
              <w:left w:val="single" w:sz="8" w:color="auto"/>
            </w:tcBorders>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gridSpan w:val="2"/>
          </w:tcPr>
          <w:p>
            <w:pPr>
              <w:spacing w:after="0"/>
              <w:rPr>
                <w:sz w:val="20"/>
                <w:szCs w:val="20"/>
                <w:color w:val="auto"/>
              </w:rPr>
            </w:pPr>
          </w:p>
        </w:tc>
        <w:tc>
          <w:tcPr>
            <w:tcW w:w="9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700,000</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IA, PN</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0"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5 of 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42984L204</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0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SIU MIN WONG</w:t>
            </w:r>
          </w:p>
        </w:tc>
        <w:tc>
          <w:tcPr>
            <w:tcW w:w="0" w:type="dxa"/>
            <w:vAlign w:val="bottom"/>
          </w:tcPr>
          <w:p>
            <w:pPr>
              <w:spacing w:after="0"/>
              <w:rPr>
                <w:sz w:val="1"/>
                <w:szCs w:val="1"/>
                <w:color w:val="auto"/>
              </w:rPr>
            </w:pPr>
          </w:p>
        </w:tc>
      </w:tr>
      <w:tr>
        <w:trPr>
          <w:trHeight w:val="169"/>
        </w:trPr>
        <w:tc>
          <w:tcPr>
            <w:tcW w:w="50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760" w:type="dxa"/>
            <w:vAlign w:val="bottom"/>
            <w:tcBorders>
              <w:right w:val="single" w:sz="8" w:color="auto"/>
            </w:tcBorders>
            <w:gridSpan w:val="5"/>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(b)</w:t>
            </w:r>
          </w:p>
        </w:tc>
        <w:tc>
          <w:tcPr>
            <w:tcW w:w="95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color w:val="auto"/>
              </w:rPr>
              <w:t>China (Hong Kong) and USA</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460" w:type="dxa"/>
            <w:vAlign w:val="bottom"/>
            <w:tcBorders>
              <w:left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500" w:type="dxa"/>
            <w:vAlign w:val="bottom"/>
            <w:tcBorders>
              <w:left w:val="single" w:sz="8" w:color="auto"/>
            </w:tcBorders>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7"/>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960" w:type="dxa"/>
            <w:vAlign w:val="bottom"/>
          </w:tcPr>
          <w:p>
            <w:pPr>
              <w:jc w:val="center"/>
              <w:ind w:right="1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Borders>
              <w:right w:val="single" w:sz="8" w:color="auto"/>
            </w:tcBorders>
          </w:tcPr>
          <w:p>
            <w:pPr>
              <w:spacing w:after="0"/>
              <w:rPr>
                <w:sz w:val="15"/>
                <w:szCs w:val="15"/>
                <w:color w:val="auto"/>
              </w:rPr>
            </w:pPr>
          </w:p>
        </w:tc>
        <w:tc>
          <w:tcPr>
            <w:tcW w:w="2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938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REPORTING</w:t>
            </w:r>
          </w:p>
        </w:tc>
        <w:tc>
          <w:tcPr>
            <w:tcW w:w="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 w:type="dxa"/>
            <w:vAlign w:val="bottom"/>
            <w:tcBorders>
              <w:left w:val="single" w:sz="8" w:color="auto"/>
            </w:tcBorders>
          </w:tcPr>
          <w:p>
            <w:pPr>
              <w:spacing w:after="0"/>
              <w:rPr>
                <w:sz w:val="19"/>
                <w:szCs w:val="19"/>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38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6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8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00" w:type="dxa"/>
            <w:vAlign w:val="bottom"/>
            <w:tcBorders>
              <w:left w:val="single" w:sz="8" w:color="auto"/>
            </w:tcBorders>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gridSpan w:val="2"/>
          </w:tcPr>
          <w:p>
            <w:pPr>
              <w:spacing w:after="0"/>
              <w:rPr>
                <w:sz w:val="20"/>
                <w:szCs w:val="20"/>
                <w:color w:val="auto"/>
              </w:rPr>
            </w:pPr>
          </w:p>
        </w:tc>
        <w:tc>
          <w:tcPr>
            <w:tcW w:w="9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700,000</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7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 HC</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0"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6 of 10</w:t>
      </w:r>
    </w:p>
    <w:p>
      <w:pPr>
        <w:spacing w:after="0" w:line="15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HighCape Capital Acquisition Corp. (the “Issuer”).</w:t>
      </w:r>
    </w:p>
    <w:p>
      <w:pPr>
        <w:spacing w:after="0" w:line="37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452 Fifth Avenue, 21st Floor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35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This Statement is filed on behalf of each of the following persons (collectively, the “Reporting Persons”)</w:t>
      </w:r>
    </w:p>
    <w:p>
      <w:pPr>
        <w:spacing w:after="0" w:line="131" w:lineRule="exact"/>
        <w:rPr>
          <w:sz w:val="20"/>
          <w:szCs w:val="20"/>
          <w:color w:val="auto"/>
        </w:rPr>
      </w:pPr>
    </w:p>
    <w:p>
      <w:pPr>
        <w:ind w:left="1580" w:hanging="452"/>
        <w:spacing w:after="0"/>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Linden Capital L.P., a Bermuda limited partnership (“Linden Capital”);</w:t>
      </w:r>
    </w:p>
    <w:p>
      <w:pPr>
        <w:spacing w:after="0" w:line="130" w:lineRule="exact"/>
        <w:rPr>
          <w:rFonts w:ascii="Times New Roman" w:cs="Times New Roman" w:eastAsia="Times New Roman" w:hAnsi="Times New Roman"/>
          <w:sz w:val="18"/>
          <w:szCs w:val="18"/>
          <w:color w:val="auto"/>
        </w:rPr>
      </w:pPr>
    </w:p>
    <w:p>
      <w:pPr>
        <w:ind w:left="1580" w:hanging="452"/>
        <w:spacing w:after="0"/>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Linden GP LLC, a Delaware limited liability company (“Linden GP”);</w:t>
      </w:r>
    </w:p>
    <w:p>
      <w:pPr>
        <w:spacing w:after="0" w:line="130" w:lineRule="exact"/>
        <w:rPr>
          <w:rFonts w:ascii="Times New Roman" w:cs="Times New Roman" w:eastAsia="Times New Roman" w:hAnsi="Times New Roman"/>
          <w:sz w:val="18"/>
          <w:szCs w:val="18"/>
          <w:color w:val="auto"/>
        </w:rPr>
      </w:pPr>
    </w:p>
    <w:p>
      <w:pPr>
        <w:ind w:left="1580" w:hanging="452"/>
        <w:spacing w:after="0"/>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Linden Advisors LP, a Delaware limited partnership (“Linden Advisors”); and</w:t>
      </w:r>
    </w:p>
    <w:p>
      <w:pPr>
        <w:spacing w:after="0" w:line="130" w:lineRule="exact"/>
        <w:rPr>
          <w:rFonts w:ascii="Times New Roman" w:cs="Times New Roman" w:eastAsia="Times New Roman" w:hAnsi="Times New Roman"/>
          <w:sz w:val="18"/>
          <w:szCs w:val="18"/>
          <w:color w:val="auto"/>
        </w:rPr>
      </w:pPr>
    </w:p>
    <w:p>
      <w:pPr>
        <w:ind w:left="1580" w:hanging="452"/>
        <w:spacing w:after="0"/>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Siu Min (Joe) Wong (“Mr. Wong”).</w:t>
      </w:r>
    </w:p>
    <w:p>
      <w:pPr>
        <w:spacing w:after="0" w:line="225" w:lineRule="exact"/>
        <w:rPr>
          <w:sz w:val="20"/>
          <w:szCs w:val="20"/>
          <w:color w:val="auto"/>
        </w:rPr>
      </w:pPr>
    </w:p>
    <w:p>
      <w:pPr>
        <w:ind w:right="260" w:firstLine="449"/>
        <w:spacing w:after="0" w:line="257" w:lineRule="auto"/>
        <w:rPr>
          <w:sz w:val="20"/>
          <w:szCs w:val="20"/>
          <w:color w:val="auto"/>
        </w:rPr>
      </w:pPr>
      <w:r>
        <w:rPr>
          <w:rFonts w:ascii="Times New Roman" w:cs="Times New Roman" w:eastAsia="Times New Roman" w:hAnsi="Times New Roman"/>
          <w:sz w:val="18"/>
          <w:szCs w:val="18"/>
          <w:color w:val="auto"/>
        </w:rPr>
        <w:t>This Statement relates to Shares (as defined herein) held for the account of Linden Capital and one or more separately managed accounts (the “Managed Accounts”). Linden GP is the general partner of Linden Capital and, in such capacity, may be deemed to beneficially own the Shares held by Linden Capital. Linden Advisors is the investment manager of Linden Capital and trading advisor or investment advisor for the Managed Accounts.</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Mr. Wong is the principal owner and controlling person of Linden Advisors and Linden GP. In such capacities, Linden Advisors and Mr. Wong may each be deemed to beneficially own the Shares held by each of Linden Capital and the Managed Accounts.</w:t>
      </w:r>
    </w:p>
    <w:p>
      <w:pPr>
        <w:spacing w:after="0" w:line="32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principal business address for Linden Capital is Victoria Place, 31 Victoria Street, Hamilton HM10, Bermuda. The principal business address for each of Linden Advisors, Linden GP and Mr. Wong is 590 Madison Avenue, 15th Floor, New York, New York 10022.</w:t>
      </w:r>
    </w:p>
    <w:p>
      <w:pPr>
        <w:spacing w:after="0" w:line="30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135" w:lineRule="exact"/>
        <w:rPr>
          <w:sz w:val="20"/>
          <w:szCs w:val="20"/>
          <w:color w:val="auto"/>
        </w:rPr>
      </w:pPr>
    </w:p>
    <w:p>
      <w:pPr>
        <w:ind w:left="1580" w:hanging="452"/>
        <w:spacing w:after="0"/>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Linden Capital is a Bermuda limited partnership.</w:t>
      </w:r>
    </w:p>
    <w:p>
      <w:pPr>
        <w:spacing w:after="0" w:line="130" w:lineRule="exact"/>
        <w:rPr>
          <w:rFonts w:ascii="Times New Roman" w:cs="Times New Roman" w:eastAsia="Times New Roman" w:hAnsi="Times New Roman"/>
          <w:sz w:val="18"/>
          <w:szCs w:val="18"/>
          <w:color w:val="auto"/>
        </w:rPr>
      </w:pPr>
    </w:p>
    <w:p>
      <w:pPr>
        <w:ind w:left="1580" w:hanging="452"/>
        <w:spacing w:after="0"/>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Linden GP is a Delaware limited liability company.</w:t>
      </w:r>
    </w:p>
    <w:p>
      <w:pPr>
        <w:spacing w:after="0" w:line="130" w:lineRule="exact"/>
        <w:rPr>
          <w:rFonts w:ascii="Times New Roman" w:cs="Times New Roman" w:eastAsia="Times New Roman" w:hAnsi="Times New Roman"/>
          <w:sz w:val="18"/>
          <w:szCs w:val="18"/>
          <w:color w:val="auto"/>
        </w:rPr>
      </w:pPr>
    </w:p>
    <w:p>
      <w:pPr>
        <w:ind w:left="1580" w:hanging="452"/>
        <w:spacing w:after="0"/>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Linden Advisors is a Delaware limited partnership.</w:t>
      </w:r>
    </w:p>
    <w:p>
      <w:pPr>
        <w:spacing w:after="0" w:line="130" w:lineRule="exact"/>
        <w:rPr>
          <w:rFonts w:ascii="Times New Roman" w:cs="Times New Roman" w:eastAsia="Times New Roman" w:hAnsi="Times New Roman"/>
          <w:sz w:val="18"/>
          <w:szCs w:val="18"/>
          <w:color w:val="auto"/>
        </w:rPr>
      </w:pPr>
    </w:p>
    <w:p>
      <w:pPr>
        <w:ind w:left="1580" w:hanging="452"/>
        <w:spacing w:after="0"/>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Wong is a citizen of China (Hong Kong) and the United States.</w:t>
      </w:r>
    </w:p>
    <w:p>
      <w:pPr>
        <w:sectPr>
          <w:pgSz w:w="11900" w:h="16838" w:orient="portrait"/>
          <w:cols w:equalWidth="0" w:num="1">
            <w:col w:w="11200"/>
          </w:cols>
          <w:pgMar w:left="320" w:top="270"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7 of 10</w:t>
      </w:r>
    </w:p>
    <w:p>
      <w:pPr>
        <w:spacing w:after="0" w:line="15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A Common Stock, par value $0.0001 per share (the “Shares”).</w:t>
      </w:r>
    </w:p>
    <w:p>
      <w:pPr>
        <w:spacing w:after="0" w:line="37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b w:val="1"/>
          <w:bCs w:val="1"/>
          <w:color w:val="auto"/>
        </w:rPr>
        <w:t>CUSIP Number: 42984L204</w:t>
      </w:r>
    </w:p>
    <w:p>
      <w:pPr>
        <w:spacing w:after="0" w:line="13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Item 3 is not applicable.</w:t>
      </w:r>
    </w:p>
    <w:p>
      <w:pPr>
        <w:sectPr>
          <w:pgSz w:w="11900" w:h="16838" w:orient="portrait"/>
          <w:cols w:equalWidth="0" w:num="1">
            <w:col w:w="11240"/>
          </w:cols>
          <w:pgMar w:left="320" w:top="270" w:right="339" w:bottom="1440" w:gutter="0" w:footer="0" w:header="0"/>
        </w:sectPr>
      </w:pPr>
    </w:p>
    <w:p>
      <w:pPr>
        <w:spacing w:after="0" w:line="370" w:lineRule="exact"/>
        <w:rPr>
          <w:sz w:val="20"/>
          <w:szCs w:val="20"/>
          <w:color w:val="auto"/>
        </w:rPr>
      </w:pPr>
    </w:p>
    <w:p>
      <w:pPr>
        <w:spacing w:after="0" w:line="385" w:lineRule="auto"/>
        <w:rPr>
          <w:sz w:val="20"/>
          <w:szCs w:val="20"/>
          <w:color w:val="auto"/>
        </w:rPr>
      </w:pPr>
      <w:r>
        <w:rPr>
          <w:rFonts w:ascii="Times New Roman" w:cs="Times New Roman" w:eastAsia="Times New Roman" w:hAnsi="Times New Roman"/>
          <w:sz w:val="18"/>
          <w:szCs w:val="18"/>
          <w:b w:val="1"/>
          <w:bCs w:val="1"/>
          <w:color w:val="auto"/>
        </w:rPr>
        <w:t>Item 4. Item 4(a)</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 Beneficially Owned:</w:t>
      </w:r>
    </w:p>
    <w:p>
      <w:pPr>
        <w:spacing w:after="0" w:line="120" w:lineRule="exact"/>
        <w:rPr>
          <w:sz w:val="20"/>
          <w:szCs w:val="20"/>
          <w:color w:val="auto"/>
        </w:rPr>
      </w:pPr>
    </w:p>
    <w:p>
      <w:pPr>
        <w:sectPr>
          <w:pgSz w:w="11900" w:h="16838" w:orient="portrait"/>
          <w:cols w:equalWidth="0" w:num="2">
            <w:col w:w="720" w:space="400"/>
            <w:col w:w="10120"/>
          </w:cols>
          <w:pgMar w:left="320" w:top="270" w:right="339" w:bottom="1440" w:gutter="0" w:footer="0" w:header="0"/>
          <w:type w:val="continuous"/>
        </w:sectPr>
      </w:pPr>
    </w:p>
    <w:p>
      <w:pPr>
        <w:ind w:right="40" w:firstLine="1123"/>
        <w:spacing w:after="0" w:line="266" w:lineRule="auto"/>
        <w:rPr>
          <w:sz w:val="20"/>
          <w:szCs w:val="20"/>
          <w:color w:val="auto"/>
        </w:rPr>
      </w:pPr>
      <w:r>
        <w:rPr>
          <w:rFonts w:ascii="Times New Roman" w:cs="Times New Roman" w:eastAsia="Times New Roman" w:hAnsi="Times New Roman"/>
          <w:sz w:val="18"/>
          <w:szCs w:val="18"/>
          <w:color w:val="auto"/>
        </w:rPr>
        <w:t>As of September 9, 2020, each of Linden Advisors and Mr. Wong may be deemed the beneficial owner of 700,000 Shares. This 700,000 amount consists of 626,134 Shares held by Linden Capital and 73,866 Shares held by the Managed Accounts. As of September 9, 2020, each of Linden GP and Linden Capital may be deemed the beneficial owner of the 626,134 Shares held by Linden Capital.</w:t>
      </w:r>
    </w:p>
    <w:p>
      <w:pPr>
        <w:spacing w:after="0" w:line="32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4(b)</w:t>
      </w:r>
      <w:r>
        <w:rPr>
          <w:sz w:val="20"/>
          <w:szCs w:val="20"/>
          <w:color w:val="auto"/>
        </w:rPr>
        <w:tab/>
      </w:r>
      <w:r>
        <w:rPr>
          <w:rFonts w:ascii="Times New Roman" w:cs="Times New Roman" w:eastAsia="Times New Roman" w:hAnsi="Times New Roman"/>
          <w:sz w:val="17"/>
          <w:szCs w:val="17"/>
          <w:b w:val="1"/>
          <w:bCs w:val="1"/>
          <w:color w:val="auto"/>
        </w:rPr>
        <w:t>Percent of Class:</w:t>
      </w:r>
    </w:p>
    <w:p>
      <w:pPr>
        <w:spacing w:after="0" w:line="121" w:lineRule="exact"/>
        <w:rPr>
          <w:sz w:val="20"/>
          <w:szCs w:val="20"/>
          <w:color w:val="auto"/>
        </w:rPr>
      </w:pPr>
    </w:p>
    <w:p>
      <w:pPr>
        <w:ind w:right="280" w:firstLine="1123"/>
        <w:spacing w:after="0" w:line="266" w:lineRule="auto"/>
        <w:rPr>
          <w:sz w:val="20"/>
          <w:szCs w:val="20"/>
          <w:color w:val="auto"/>
        </w:rPr>
      </w:pPr>
      <w:r>
        <w:rPr>
          <w:rFonts w:ascii="Times New Roman" w:cs="Times New Roman" w:eastAsia="Times New Roman" w:hAnsi="Times New Roman"/>
          <w:sz w:val="18"/>
          <w:szCs w:val="18"/>
          <w:color w:val="auto"/>
        </w:rPr>
        <w:t>As of September 9, 2020, each of Linden Advisors and Mr. Wong may be deemed the beneficial owner of approximately 5.9% of Shares outstanding, and each of Linden GP and Linden Capital may be deemed the beneficial owner of approximately 5.3% of Shares outstanding. These percentages are based on the 11,905,000 Shares outstanding as reported in the Issuer’s Current Report on Form 8-K filed on September 9, 2020.</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4(c)</w:t>
            </w:r>
          </w:p>
        </w:tc>
        <w:tc>
          <w:tcPr>
            <w:tcW w:w="67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Number of Shares as to which such person has:</w:t>
            </w:r>
          </w:p>
        </w:tc>
        <w:tc>
          <w:tcPr>
            <w:tcW w:w="3540" w:type="dxa"/>
            <w:vAlign w:val="bottom"/>
          </w:tcPr>
          <w:p>
            <w:pPr>
              <w:spacing w:after="0"/>
              <w:rPr>
                <w:sz w:val="20"/>
                <w:szCs w:val="20"/>
                <w:color w:val="auto"/>
              </w:rPr>
            </w:pPr>
          </w:p>
        </w:tc>
      </w:tr>
      <w:tr>
        <w:trPr>
          <w:trHeight w:val="297"/>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As of September 9, 2020:</w:t>
            </w:r>
          </w:p>
        </w:tc>
        <w:tc>
          <w:tcPr>
            <w:tcW w:w="3540" w:type="dxa"/>
            <w:vAlign w:val="bottom"/>
          </w:tcPr>
          <w:p>
            <w:pPr>
              <w:spacing w:after="0"/>
              <w:rPr>
                <w:sz w:val="24"/>
                <w:szCs w:val="24"/>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Linden Capital and Linden GP:</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24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58"/>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 Sole power to vote or direct the vote:</w:t>
            </w:r>
          </w:p>
        </w:tc>
        <w:tc>
          <w:tcPr>
            <w:tcW w:w="3540" w:type="dxa"/>
            <w:vAlign w:val="bottom"/>
          </w:tcPr>
          <w:p>
            <w:pPr>
              <w:spacing w:after="0"/>
              <w:rPr>
                <w:sz w:val="24"/>
                <w:szCs w:val="24"/>
                <w:color w:val="auto"/>
              </w:rPr>
            </w:pPr>
          </w:p>
        </w:tc>
      </w:tr>
      <w:tr>
        <w:trPr>
          <w:trHeight w:val="338"/>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(ii) Shared power to vote or direct the vote:</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626,134</w:t>
            </w:r>
          </w:p>
        </w:tc>
      </w:tr>
      <w:tr>
        <w:trPr>
          <w:trHeight w:val="324"/>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(iii) Sole power to dispose or direct the disposition of:</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24"/>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(iv) Shared power to dispose or direct the disposition of:</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626,134</w:t>
            </w:r>
          </w:p>
        </w:tc>
      </w:tr>
      <w:tr>
        <w:trPr>
          <w:trHeight w:val="283"/>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Linden Advisors and Mr. Wong:</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2440" w:type="dxa"/>
            <w:vAlign w:val="bottom"/>
            <w:gridSpan w:val="4"/>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58"/>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 Sole power to vote or direct the vote:</w:t>
            </w:r>
          </w:p>
        </w:tc>
        <w:tc>
          <w:tcPr>
            <w:tcW w:w="3540" w:type="dxa"/>
            <w:vAlign w:val="bottom"/>
          </w:tcPr>
          <w:p>
            <w:pPr>
              <w:spacing w:after="0"/>
              <w:rPr>
                <w:sz w:val="24"/>
                <w:szCs w:val="24"/>
                <w:color w:val="auto"/>
              </w:rPr>
            </w:pPr>
          </w:p>
        </w:tc>
      </w:tr>
      <w:tr>
        <w:trPr>
          <w:trHeight w:val="338"/>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(ii) Shared power to vote or direct the vote:</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324"/>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(iii) Sole power to dispose or direct the disposition of:</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24"/>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(iv) Shared power to dispose or direct the disposition of:</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r>
    </w:tbl>
    <w:p>
      <w:pPr>
        <w:sectPr>
          <w:pgSz w:w="11900" w:h="16838" w:orient="portrait"/>
          <w:cols w:equalWidth="0" w:num="1">
            <w:col w:w="11240"/>
          </w:cols>
          <w:pgMar w:left="320" w:top="270"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8 of 10</w:t>
      </w:r>
    </w:p>
    <w:p>
      <w:pPr>
        <w:spacing w:after="0" w:line="15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Item 5 is not applicable.</w:t>
      </w:r>
    </w:p>
    <w:p>
      <w:pPr>
        <w:spacing w:after="0" w:line="37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disclosure in Items 2 and 4 hereof.</w:t>
      </w:r>
    </w:p>
    <w:p>
      <w:pPr>
        <w:spacing w:after="0" w:line="370" w:lineRule="exact"/>
        <w:rPr>
          <w:sz w:val="20"/>
          <w:szCs w:val="20"/>
          <w:color w:val="auto"/>
        </w:rPr>
      </w:pPr>
    </w:p>
    <w:p>
      <w:pPr>
        <w:ind w:left="1120" w:right="740" w:hanging="1119"/>
        <w:spacing w:after="0" w:line="286"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disclosure in Item 2 hereof.</w:t>
      </w:r>
    </w:p>
    <w:p>
      <w:pPr>
        <w:spacing w:after="0" w:line="37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Exhibit A attached hereto.</w:t>
      </w:r>
    </w:p>
    <w:p>
      <w:pPr>
        <w:spacing w:after="0" w:line="37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item 9 is not applicable.</w:t>
      </w:r>
    </w:p>
    <w:p>
      <w:pPr>
        <w:spacing w:after="0" w:line="37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pacing w:after="0" w:line="32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Materials to Be Filed as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A: Joint Filing Statement</w:t>
      </w:r>
    </w:p>
    <w:p>
      <w:pPr>
        <w:sectPr>
          <w:pgSz w:w="11900" w:h="16838" w:orient="portrait"/>
          <w:cols w:equalWidth="0" w:num="1">
            <w:col w:w="11200"/>
          </w:cols>
          <w:pgMar w:left="320" w:top="270"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9 of 10</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I certify that the information with respect to it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15, 2020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LINDEN CAPITAL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Linden GP LLC, its general partner</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wp:posOffset>
            </wp:positionV>
            <wp:extent cx="2245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Saul Ahn,</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LINDEN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Saul Ahn,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LINDEN ADVISORS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26060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Saul Ahn,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SIU MIN WONG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Saul Ahn, Attorney-in-Fact for Siu Min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886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78" w:lineRule="exact"/>
        <w:rPr>
          <w:sz w:val="20"/>
          <w:szCs w:val="20"/>
          <w:color w:val="auto"/>
        </w:rPr>
      </w:pPr>
    </w:p>
    <w:p>
      <w:pPr>
        <w:ind w:left="460" w:right="12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authorized under Siu Min Wong’s Power of Attorney, dated June 10, 2019, incorporated herein by reference to Exhibit B of the statement on Schedule 13G filed by Linden Capital L.P. on June 19, 2019 in respect of its holdings in Haymaker Acquisition Corp II.</w:t>
      </w:r>
    </w:p>
    <w:p>
      <w:pPr>
        <w:sectPr>
          <w:pgSz w:w="11900" w:h="16838" w:orient="portrait"/>
          <w:cols w:equalWidth="0" w:num="1">
            <w:col w:w="11100"/>
          </w:cols>
          <w:pgMar w:left="320" w:top="270"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Page 1 0 of 10</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Class A common stock of HighCape Capital Acquisition Corp. dated as of September 9, 2020 is, and any further amendments thereto signed by each of the undersigned shall be, filed on behalf of each of us pursuant to and in accordance with the provisions of Rule 13d-1(k)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15, 2020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LINDEN CAPITAL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Linden GP LLC, its general partner</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wp:posOffset>
            </wp:positionV>
            <wp:extent cx="22459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Saul Ahn,</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LINDEN GP LLC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Saul Ahn,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LINDEN ADVISORS 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26060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Saul Ahn,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SIU MIN WONG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Saul Ahn, Attorney-in-Fact for Siu Min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88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78" w:lineRule="exact"/>
        <w:rPr>
          <w:sz w:val="20"/>
          <w:szCs w:val="20"/>
          <w:color w:val="auto"/>
        </w:rPr>
      </w:pPr>
    </w:p>
    <w:p>
      <w:pPr>
        <w:ind w:left="460" w:right="26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authorized under Siu Min Wong’s Power of Attorney, dated June 10, 2019, incorporated herein by reference to Exhibit B of the statement on Schedule 13G filed by Linden Capital L.P. on June 19, 2019 in respect of its holdings in Haymaker Acquisition Corp II.</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2020-09-16T08:32:08Z</dcterms:created>
  <dcterms:modified xsi:type="dcterms:W3CDTF">2020-09-16T08:32:08Z</dcterms:modified>
</cp:coreProperties>
</file>