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258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color w:val="auto"/>
                <w:w w:val="98"/>
              </w:rPr>
              <w:t>Delaware</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001-39486</w:t>
            </w:r>
          </w:p>
        </w:tc>
        <w:tc>
          <w:tcPr>
            <w:tcW w:w="34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85-1388175</w:t>
            </w:r>
          </w:p>
        </w:tc>
      </w:tr>
      <w:tr>
        <w:trPr>
          <w:trHeight w:val="20"/>
        </w:trPr>
        <w:tc>
          <w:tcPr>
            <w:tcW w:w="1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40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29 Business Park Drive, Branford, CT, 06405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(866) 688-7374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1" w:lineRule="exact"/>
        <w:rPr>
          <w:sz w:val="24"/>
          <w:szCs w:val="24"/>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1" w:lineRule="exact"/>
        <w:rPr>
          <w:sz w:val="24"/>
          <w:szCs w:val="24"/>
          <w:color w:val="auto"/>
        </w:rPr>
      </w:pPr>
    </w:p>
    <w:p>
      <w:pPr>
        <w:ind w:left="740" w:hanging="32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740" w:hanging="32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40" w:hanging="32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413"/>
        <w:spacing w:after="0" w:line="397" w:lineRule="auto"/>
        <w:tabs>
          <w:tab w:leader="none" w:pos="7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3"/>
        </w:trPr>
        <w:tc>
          <w:tcPr>
            <w:tcW w:w="4780" w:type="dxa"/>
            <w:vAlign w:val="bottom"/>
            <w:tcBorders>
              <w:top w:val="single" w:sz="8" w:color="auto"/>
              <w:left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Title of each class</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5"/>
        </w:trPr>
        <w:tc>
          <w:tcPr>
            <w:tcW w:w="4780" w:type="dxa"/>
            <w:vAlign w:val="bottom"/>
            <w:tcBorders>
              <w:left w:val="single" w:sz="8" w:color="auto"/>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spacing w:after="0"/>
              <w:rPr>
                <w:sz w:val="17"/>
                <w:szCs w:val="17"/>
                <w:color w:val="auto"/>
              </w:rPr>
            </w:pPr>
          </w:p>
        </w:tc>
        <w:tc>
          <w:tcPr>
            <w:tcW w:w="4260" w:type="dxa"/>
            <w:vAlign w:val="bottom"/>
            <w:tcBorders>
              <w:bottom w:val="single" w:sz="8" w:color="auto"/>
              <w:right w:val="single" w:sz="8" w:color="auto"/>
            </w:tcBorders>
          </w:tcPr>
          <w:p>
            <w:pPr>
              <w:spacing w:after="0"/>
              <w:rPr>
                <w:sz w:val="17"/>
                <w:szCs w:val="17"/>
                <w:color w:val="auto"/>
              </w:rPr>
            </w:pPr>
          </w:p>
        </w:tc>
      </w:tr>
      <w:tr>
        <w:trPr>
          <w:trHeight w:val="223"/>
        </w:trPr>
        <w:tc>
          <w:tcPr>
            <w:tcW w:w="4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QSI</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8"/>
        </w:trPr>
        <w:tc>
          <w:tcPr>
            <w:tcW w:w="478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22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QSIAW</w:t>
            </w:r>
          </w:p>
        </w:tc>
        <w:tc>
          <w:tcPr>
            <w:tcW w:w="4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 of Class A common stock, each at an exercise price of</w:t>
            </w:r>
          </w:p>
        </w:tc>
        <w:tc>
          <w:tcPr>
            <w:tcW w:w="2200" w:type="dxa"/>
            <w:vAlign w:val="bottom"/>
            <w:tcBorders>
              <w:right w:val="single" w:sz="8" w:color="auto"/>
            </w:tcBorders>
          </w:tcPr>
          <w:p>
            <w:pPr>
              <w:spacing w:after="0"/>
              <w:rPr>
                <w:sz w:val="18"/>
                <w:szCs w:val="18"/>
                <w:color w:val="auto"/>
              </w:rPr>
            </w:pPr>
          </w:p>
        </w:tc>
        <w:tc>
          <w:tcPr>
            <w:tcW w:w="4260" w:type="dxa"/>
            <w:vAlign w:val="bottom"/>
            <w:tcBorders>
              <w:right w:val="single" w:sz="8" w:color="auto"/>
            </w:tcBorders>
          </w:tcPr>
          <w:p>
            <w:pPr>
              <w:spacing w:after="0"/>
              <w:rPr>
                <w:sz w:val="18"/>
                <w:szCs w:val="18"/>
                <w:color w:val="auto"/>
              </w:rPr>
            </w:pPr>
          </w:p>
        </w:tc>
      </w:tr>
      <w:tr>
        <w:trPr>
          <w:trHeight w:val="241"/>
        </w:trPr>
        <w:tc>
          <w:tcPr>
            <w:tcW w:w="4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$11.50 per share</w:t>
            </w:r>
          </w:p>
        </w:tc>
        <w:tc>
          <w:tcPr>
            <w:tcW w:w="2200" w:type="dxa"/>
            <w:vAlign w:val="bottom"/>
            <w:tcBorders>
              <w:bottom w:val="single" w:sz="8" w:color="auto"/>
              <w:right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color w:val="auto"/>
        </w:rPr>
        <w:t>On December 11, 2024, Quantum-Si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Equity Distribution Agreement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with Canaccord Genuity LLC (“</w:t>
      </w:r>
      <w:r>
        <w:rPr>
          <w:rFonts w:ascii="Times New Roman" w:cs="Times New Roman" w:eastAsia="Times New Roman" w:hAnsi="Times New Roman"/>
          <w:sz w:val="18"/>
          <w:szCs w:val="18"/>
          <w:b w:val="1"/>
          <w:bCs w:val="1"/>
          <w:i w:val="1"/>
          <w:iCs w:val="1"/>
          <w:color w:val="auto"/>
        </w:rPr>
        <w:t>Canaccord</w:t>
      </w:r>
      <w:r>
        <w:rPr>
          <w:rFonts w:ascii="Times New Roman" w:cs="Times New Roman" w:eastAsia="Times New Roman" w:hAnsi="Times New Roman"/>
          <w:sz w:val="18"/>
          <w:szCs w:val="18"/>
          <w:color w:val="auto"/>
        </w:rPr>
        <w:t>”) to sell shares of the Company’s Class A common stock, par value $0.0001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$75 million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from time to time through an “at the market offering” program under which Canaccord will act as sales agent (the “</w:t>
      </w:r>
      <w:r>
        <w:rPr>
          <w:rFonts w:ascii="Times New Roman" w:cs="Times New Roman" w:eastAsia="Times New Roman" w:hAnsi="Times New Roman"/>
          <w:sz w:val="18"/>
          <w:szCs w:val="18"/>
          <w:b w:val="1"/>
          <w:bCs w:val="1"/>
          <w:i w:val="1"/>
          <w:iCs w:val="1"/>
          <w:color w:val="auto"/>
        </w:rPr>
        <w:t>ATM Offering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the Company’s shelf registration statement on Form S-3 (File No. 333-273934) which became effective on August 22, 2023, and a prospectus supplement related to the ATM Offering dated December 11, 2024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any offer to buy the Shares, nor shall there be any offer, solicitation or sale of the Shares in any state in which such offer, solicitation or sale would be unlawful prior to registration or qualification under the securities laws of such state.</w:t>
      </w:r>
    </w:p>
    <w:p>
      <w:pPr>
        <w:spacing w:after="0" w:line="176"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Sales Agreement, Canaccord will use its commercially reasonable efforts consistent with its normal trading and sales practices and applicable state and federal laws, rules and regulations and the rules of the Nasdaq Global Market to sell the Shares from time to time, based upon the Company’s instructions, including any price, time or size limits specified by the Company. Sales of the Shares, if any, under the Sales Agreement may be made in transactions that are deemed to be “at the market offerings” as defined in Rule 415 under the Securities Act of 1933, as amended. The Company has no obligation to sell any of the Shares and may at any time suspend offers under the Sales Agreement or terminate the Sales Agreement. The Company has agreed to pay Canaccord commissions for its services in acting as sales agent in the sale of the Shares at a commission rate up to 3.0% of the gross sales price per Share sold pursuant to the Sales Agreement, if any, and has agreed to provide Canaccord with customary indemnification and contribution rights. The Sales Agreement may be terminated by Canaccord or the Company at any time upon written notice to the other party.</w:t>
      </w:r>
    </w:p>
    <w:p>
      <w:pPr>
        <w:spacing w:after="0" w:line="188"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Sales Agreement is subject to, and qualified in its entirety by, the Sales Agreement, a copy of which is filed as Exhibit 10.1 hereto and incorporated 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legal opinion of DLA Piper LLP (US), counsel to the Company, relating to the Shares is filed as Exhibit 5.1 hereto.</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5"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color w:val="auto"/>
        </w:rPr>
        <w:t>On December 11, 2024, the Company exercised its right to terminate that certain Equity Distribution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August 11, 2023, by and between the Company and Evercore Group L.L.C. (“</w:t>
      </w:r>
      <w:r>
        <w:rPr>
          <w:rFonts w:ascii="Times New Roman" w:cs="Times New Roman" w:eastAsia="Times New Roman" w:hAnsi="Times New Roman"/>
          <w:sz w:val="18"/>
          <w:szCs w:val="18"/>
          <w:b w:val="1"/>
          <w:bCs w:val="1"/>
          <w:i w:val="1"/>
          <w:iCs w:val="1"/>
          <w:color w:val="auto"/>
        </w:rPr>
        <w:t>Evercore</w:t>
      </w:r>
      <w:r>
        <w:rPr>
          <w:rFonts w:ascii="Times New Roman" w:cs="Times New Roman" w:eastAsia="Times New Roman" w:hAnsi="Times New Roman"/>
          <w:sz w:val="18"/>
          <w:szCs w:val="18"/>
          <w:color w:val="auto"/>
        </w:rPr>
        <w:t>”), as sales agent. The Agreement previously established an “at-the-market” offering program through which the Company had the right to sell, from time to time, through Evercore, up to an aggregate of $75 million of the Company’s Common Stock. The Company sold no shares of Common Stock under the Agreement.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Pr>
          <w:p>
            <w:pPr>
              <w:spacing w:after="0"/>
              <w:rPr>
                <w:sz w:val="18"/>
                <w:szCs w:val="18"/>
                <w:color w:val="auto"/>
              </w:rPr>
            </w:pPr>
          </w:p>
        </w:tc>
        <w:tc>
          <w:tcPr>
            <w:tcW w:w="10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Opinion of DLA Piper LLP (US).</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Sales Agreement, dated December 11, 2024, by and between Quantum-Si Incorporated and Canaccord Genuity LLC.</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Consent of DLA Piper LLP (US) (included in Exhibit 5.1).</w:t>
            </w: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11, 2024</w:t>
      </w:r>
      <w:r>
        <w:rPr>
          <w:sz w:val="20"/>
          <w:szCs w:val="20"/>
          <w:color w:val="auto"/>
        </w:rPr>
        <w:tab/>
      </w:r>
      <w:r>
        <w:rPr>
          <w:rFonts w:ascii="Times New Roman" w:cs="Times New Roman" w:eastAsia="Times New Roman" w:hAnsi="Times New Roman"/>
          <w:sz w:val="18"/>
          <w:szCs w:val="18"/>
          <w:color w:val="auto"/>
        </w:rPr>
        <w:t>By: /s/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Jeffry Keyes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4365 Executive Drive, Suite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07124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63436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San Diego, California 92121-2133</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(858) 677-1400</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(858) 677-1401</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8"/>
          <w:szCs w:val="18"/>
          <w:color w:val="auto"/>
        </w:rPr>
        <w:t>www.dlapiper.com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Business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Branford, CT 06405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Quantum-Si Incorporated,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from time to time of shares of the Company’s common stock, par value $0.0001 per share, having an aggregate offering price of up to $75,000,000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pursuant to the Registration Statement on Form S-3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August 11, 2023,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base prospectus dated August 11, 2023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prospectus supplement dated December 11, 2024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with the SEC pursuant to Rule 424(b) under the Securities Act, and the Equity Distribution Agreement dated December 11, 2024 by and between the Company and Canaccord Genuity LLC, as agent and principal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and the related Prospectus,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assumed the genuineness and authenticity of all signatures on original documents; the genuineness and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prerequisites to the effectiveness of such documents (other than with respect to the Company).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Placement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Delaware General Corporation Law. It is further understood that this opinion is to be used only in connection with the offer and sale of Placement Shares while the Registration Statement is effective under the Securities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DLA Piper LLP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Having an Aggregate Offering Price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 to $75,000,000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Quantum-Si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Canaccord Genuity LLC (the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ind w:right="120" w:firstLine="656"/>
        <w:spacing w:after="0" w:line="258" w:lineRule="auto"/>
        <w:tabs>
          <w:tab w:leader="none" w:pos="12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Shares</w:t>
      </w:r>
      <w:r>
        <w:rPr>
          <w:rFonts w:ascii="Times New Roman" w:cs="Times New Roman" w:eastAsia="Times New Roman" w:hAnsi="Times New Roman"/>
          <w:sz w:val="18"/>
          <w:szCs w:val="18"/>
          <w:color w:val="auto"/>
        </w:rPr>
        <w:t>. The Company proposes to issue and sell through or to the Manager, as sales agent, shares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having an aggregate offering price of up to $75,000,000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from time to time during the term of this Agreement and on the terms set forth in Section 3 of this Agreement. The Company hereby appoints the Manager as exclusive agent of the Company for the purpose of soliciting purchases of the Shares from the Company pursuant to this Agreement. Certain terms used herein are defined in Section 20 hereof.</w:t>
      </w:r>
    </w:p>
    <w:p>
      <w:pPr>
        <w:spacing w:after="0" w:line="183" w:lineRule="exact"/>
        <w:rPr>
          <w:rFonts w:ascii="Times New Roman" w:cs="Times New Roman" w:eastAsia="Times New Roman" w:hAnsi="Times New Roman"/>
          <w:sz w:val="18"/>
          <w:szCs w:val="18"/>
          <w:color w:val="auto"/>
        </w:rPr>
      </w:pPr>
    </w:p>
    <w:p>
      <w:pPr>
        <w:ind w:right="320" w:firstLine="656"/>
        <w:spacing w:after="0" w:line="282" w:lineRule="auto"/>
        <w:tabs>
          <w:tab w:leader="none" w:pos="12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Manager at the Execution Time and at each such time the following representations and warranties are repeated or deemed to be made pursuant to this Agreement,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left="-460" w:firstLine="644"/>
        <w:spacing w:after="0" w:line="251" w:lineRule="auto"/>
        <w:tabs>
          <w:tab w:leader="none" w:pos="8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The Company meets the requirements for use of Form S-3 under the Act and has prepared and filed with the Commission a shelf registration statement on Form S-3, including a related Base Prospectus, for registration under the Act of the offering and sale of the Shares and other securities of the Company. The Company has prepared a Prospectus Supplement to the Base Prospectus included as part of such Registration Statement specifically relating to the Shares. Such Registration Statement, including any amendments thereto filed prior to the Execution Time or prior to any such time this representation is repeated or deemed to be made, became effective under the Act upon filing, and no stop order suspending the effectiveness of the Registration Statement has been issued under the Act and no proceedings for that purpose have been instituted or are pending or, to the knowledge of the Company, are contemplated or threatened by the Commission, and any request on the part of the Commission for additional or supplemental information has been complied with. The Registration Statement, at the Execution Time and at each such time this representation is repeated or deemed to be made, and at all times during which a prospectus is required by the Act to be delivered (whether physically or through compliance with Rule 172 or any similar rule) in connection with any offer or sale of Shares,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the filing of any document under the Exchange Act after the Effective Date of the Registration Statement or the issue date of the Base Prospectus, the Prospectus Supplement, any Interim Prospectus Supplement or the Prospectus, as the case may be, deemed to be incorporated therein by reference.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by the Manager expressly for use therein, it being understood and agreed that the only such information furnished by the Manager to the Company consists solely of the information described in Section 7(b) below.</w:t>
      </w:r>
    </w:p>
    <w:p>
      <w:pPr>
        <w:spacing w:after="0" w:line="205" w:lineRule="exact"/>
        <w:rPr>
          <w:rFonts w:ascii="Times New Roman" w:cs="Times New Roman" w:eastAsia="Times New Roman" w:hAnsi="Times New Roman"/>
          <w:sz w:val="18"/>
          <w:szCs w:val="18"/>
          <w:color w:val="auto"/>
        </w:rPr>
      </w:pPr>
    </w:p>
    <w:p>
      <w:pPr>
        <w:ind w:left="-460" w:right="20" w:firstLine="644"/>
        <w:spacing w:after="0" w:line="255" w:lineRule="auto"/>
        <w:tabs>
          <w:tab w:leader="none" w:pos="8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Registration Statement</w:t>
      </w:r>
      <w:r>
        <w:rPr>
          <w:rFonts w:ascii="Times New Roman" w:cs="Times New Roman" w:eastAsia="Times New Roman" w:hAnsi="Times New Roman"/>
          <w:sz w:val="18"/>
          <w:szCs w:val="18"/>
          <w:color w:val="auto"/>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 w:name="page7"/>
    <w:bookmarkEnd w:id="6"/>
    <w:p>
      <w:pPr>
        <w:ind w:left="-460" w:firstLine="644"/>
        <w:spacing w:after="0" w:line="252" w:lineRule="auto"/>
        <w:tabs>
          <w:tab w:leader="none" w:pos="8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Misstatements or Omissions in the Registration Statement</w:t>
      </w:r>
      <w:r>
        <w:rPr>
          <w:rFonts w:ascii="Times New Roman" w:cs="Times New Roman" w:eastAsia="Times New Roman" w:hAnsi="Times New Roman"/>
          <w:sz w:val="18"/>
          <w:szCs w:val="18"/>
          <w:color w:val="auto"/>
        </w:rPr>
        <w:t xml:space="preserve">. On each Effective Date, at the Execution Time, at each deemed effective date with respect to the Manager pursuant to Rule 430B(f)(2) under the Act, at each Applicable Time, at each Settlement Date and at all times during which a prospectus is required by the Act to be delivered (whether physically or through compliance with Rule 172 or any similar rule) in connection with any offer or sale of Shares, the Registration Statement complied and will comply in all material respects with the applicable requirements of the Act and the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each Applicable Time, on each Settlement Date and at all times during which a prospectus is required by the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Act and the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 specifically for inclusion in the Registration Statement or the Prospectus (or any supplement thereto), it being understood and agreed that the only such information furnished by the Manager to the Company consists solely of the information described in Section 7(b) below.</w:t>
      </w:r>
    </w:p>
    <w:p>
      <w:pPr>
        <w:spacing w:after="0" w:line="195" w:lineRule="exact"/>
        <w:rPr>
          <w:rFonts w:ascii="Times New Roman" w:cs="Times New Roman" w:eastAsia="Times New Roman" w:hAnsi="Times New Roman"/>
          <w:sz w:val="18"/>
          <w:szCs w:val="18"/>
          <w:color w:val="auto"/>
        </w:rPr>
      </w:pPr>
    </w:p>
    <w:p>
      <w:pPr>
        <w:ind w:left="-460" w:right="20" w:firstLine="644"/>
        <w:spacing w:after="0" w:line="256" w:lineRule="auto"/>
        <w:tabs>
          <w:tab w:leader="none" w:pos="8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At the Execution Time, at each Applicable Time and at each Settlement Date,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 it being understood and agreed that the only such information furnished by the Manager to the Company consists solely of the information described in Section 7(b) below.</w:t>
      </w:r>
    </w:p>
    <w:p>
      <w:pPr>
        <w:spacing w:after="0" w:line="187" w:lineRule="exact"/>
        <w:rPr>
          <w:rFonts w:ascii="Times New Roman" w:cs="Times New Roman" w:eastAsia="Times New Roman" w:hAnsi="Times New Roman"/>
          <w:sz w:val="18"/>
          <w:szCs w:val="18"/>
          <w:color w:val="auto"/>
        </w:rPr>
      </w:pPr>
    </w:p>
    <w:p>
      <w:pPr>
        <w:ind w:left="-460" w:right="60" w:firstLine="644"/>
        <w:spacing w:after="0" w:line="256" w:lineRule="auto"/>
        <w:tabs>
          <w:tab w:leader="none" w:pos="8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(i) at the time they were or hereafter are filed with the Commission, complied and will comply in all material respects with the requirements of the Exchange Act and the rules and regulations of the Commission thereunder and (ii) when read together with the other information in the Prospectus and the Disclosure Package at any Applicable Time and when read together with the other information in the Prospectus at the date of the Prospectus and at any Settlement Date, will not include an untrue statement of a material fact or omit to state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460" w:right="60" w:firstLine="644"/>
        <w:spacing w:after="0" w:line="254" w:lineRule="auto"/>
        <w:tabs>
          <w:tab w:leader="none" w:pos="8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Prior to the execution of this Agreement, the Company has not, directly or indirectly, offered or sold any of the Shares by means of any “prospectus” (within the meaning of the Act) or used any “prospectus” (within the meaning of the Act) in connection with the offer or sale of the Shares, and from and after the execution of this Agreement, the Company will not, directly or indirectly, offer or sell any of the Shares by means of any “prospectus” (within the meaning of the Act) or use any “prospectus” (within the meaning of the Act) in connection with the offer or sale of the Shares, other than the Prospectus, as amended or supplemented from time to time in accordance with the provisions of this Agreement; the Company has not, directly or indirectly, prepared, used or referred to any Issuer Free Writing Prospectus in connection with sales of the Shares and will not use any Issuer Free Writing Prospectus in connection with sales of the Shares until such time as it is no longer an “ineligible issuer” as defined under Rule 405 under the Act, and thereafter shall only use any Issuer Free Writing Prospectus upon review and consent by the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21" w:right="379" w:bottom="1440" w:gutter="0" w:footer="0" w:header="0"/>
        </w:sectPr>
      </w:pPr>
    </w:p>
    <w:bookmarkStart w:id="7" w:name="page8"/>
    <w:bookmarkEnd w:id="7"/>
    <w:p>
      <w:pPr>
        <w:jc w:val="both"/>
        <w:ind w:left="-460" w:right="280" w:firstLine="644"/>
        <w:spacing w:after="0" w:line="266" w:lineRule="auto"/>
        <w:tabs>
          <w:tab w:leader="none" w:pos="8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Stop Orders</w:t>
      </w:r>
      <w:r>
        <w:rPr>
          <w:rFonts w:ascii="Times New Roman" w:cs="Times New Roman" w:eastAsia="Times New Roman" w:hAnsi="Times New Roman"/>
          <w:sz w:val="18"/>
          <w:szCs w:val="18"/>
          <w:color w:val="auto"/>
        </w:rPr>
        <w:t>. The Registration Statement is not the subject of a pending proceeding or examination under Section 8(d) or 8(e) of the Act, and the Company is not the subject of a pending proceeding under Section 8A of the Act in connection with the offering of the Shares.</w:t>
      </w:r>
    </w:p>
    <w:p>
      <w:pPr>
        <w:spacing w:after="0" w:line="175" w:lineRule="exact"/>
        <w:rPr>
          <w:rFonts w:ascii="Times New Roman" w:cs="Times New Roman" w:eastAsia="Times New Roman" w:hAnsi="Times New Roman"/>
          <w:sz w:val="18"/>
          <w:szCs w:val="18"/>
          <w:color w:val="auto"/>
        </w:rPr>
      </w:pPr>
    </w:p>
    <w:p>
      <w:pPr>
        <w:ind w:left="-460" w:right="300" w:firstLine="644"/>
        <w:spacing w:after="0" w:line="282" w:lineRule="auto"/>
        <w:tabs>
          <w:tab w:leader="none" w:pos="8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Common Stock constitutes an “actively-traded security” exempted from the requirements of Rule 101 of Regulation M under the Exchange Act by subsection (c)(1) of such rule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66" w:lineRule="auto"/>
        <w:tabs>
          <w:tab w:leader="none" w:pos="8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Agency Agreements</w:t>
      </w:r>
      <w:r>
        <w:rPr>
          <w:rFonts w:ascii="Times New Roman" w:cs="Times New Roman" w:eastAsia="Times New Roman" w:hAnsi="Times New Roman"/>
          <w:sz w:val="18"/>
          <w:szCs w:val="18"/>
          <w:color w:val="auto"/>
        </w:rPr>
        <w:t>. As of the Execution Time, the Company is not a party to any other sales agency agreements or other similar arrangements with any agent or any other representative in respect of any at the market offering (within the meaning of Rule 415(a)(4) under the Act) of the Shares.</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66" w:lineRule="auto"/>
        <w:tabs>
          <w:tab w:leader="none" w:pos="8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The Company has not distributed and will not distribute, prior to the termination of this Agreement, any offering material in connection with the offering and sale of the Shares other than the Prospectus and, after such time as the Company ceases to be an “ineligible issuer” as defined in Rule 405 under the Act, any Issuer Free Writing Prospectus reviewed and consented to by the Manager.</w:t>
      </w:r>
    </w:p>
    <w:p>
      <w:pPr>
        <w:spacing w:after="0" w:line="175" w:lineRule="exact"/>
        <w:rPr>
          <w:rFonts w:ascii="Times New Roman" w:cs="Times New Roman" w:eastAsia="Times New Roman" w:hAnsi="Times New Roman"/>
          <w:sz w:val="18"/>
          <w:szCs w:val="18"/>
          <w:color w:val="auto"/>
        </w:rPr>
      </w:pPr>
    </w:p>
    <w:p>
      <w:pPr>
        <w:ind w:left="-460" w:firstLine="644"/>
        <w:spacing w:after="0" w:line="253" w:lineRule="auto"/>
        <w:tabs>
          <w:tab w:leader="none" w:pos="8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the Disclosure Package and the Prospectus, (A) there has been no material adverse change or any development that would reasonably be expected to result in a material adverse change, in the condition, financial or otherwise, results of operations, business, prospects, properties or management of the Company and its subsidiaries taken as a whole, or that would materially interfere with or delay the consummation of the transactions contemplated by this Agreement, in each case whether or not arising in the ordinary course of business (in any such case,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 (B) neither the Company nor any of its subsidiaries has incurred any liability or obligation, direct or contingent, or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transaction or agreement that, individually or in the aggregate, is material with respect to the Company and its subsidiaries taken as a whole, and neither the Company nor any of its subsidiaries has sustained any loss or interference with its business or operations from fire, explosion, flood, earthquake or other natural disaster or calamity, whether or not covered by insurance, or from any labor dispute or disturbance or court or governmental action, order or decree which would reasonably be expected, individually or in the aggregate, to result in a Material Adverse Effect; and (C) there has been no dividend or distribution of any kind declared, paid or made by the Company on any class of its capital stock, in each case other than as disclosed in the Registration Statement, the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21" w:right="379" w:bottom="1440" w:gutter="0" w:footer="0" w:header="0"/>
        </w:sectPr>
      </w:pPr>
    </w:p>
    <w:bookmarkStart w:id="8" w:name="page9"/>
    <w:bookmarkEnd w:id="8"/>
    <w:p>
      <w:pPr>
        <w:ind w:left="-460" w:right="40" w:firstLine="644"/>
        <w:spacing w:after="0" w:line="253" w:lineRule="auto"/>
        <w:tabs>
          <w:tab w:leader="none" w:pos="8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that is material to the business of the Company and its subsidiaries, in each case, free and clear of all mortgages, pledges, liens, security interests, claims, restrictions or encumbrances of any kind except such as (A) are described in the Registration Statement, the Disclosure Package and the Prospectus or (B) 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Disclosure Package or the Prospectus, are in full force and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94" w:lineRule="exact"/>
        <w:rPr>
          <w:rFonts w:ascii="Times New Roman" w:cs="Times New Roman" w:eastAsia="Times New Roman" w:hAnsi="Times New Roman"/>
          <w:sz w:val="18"/>
          <w:szCs w:val="18"/>
          <w:color w:val="auto"/>
        </w:rPr>
      </w:pPr>
    </w:p>
    <w:p>
      <w:pPr>
        <w:ind w:left="-460" w:firstLine="644"/>
        <w:spacing w:after="0" w:line="256" w:lineRule="auto"/>
        <w:tabs>
          <w:tab w:leader="none" w:pos="8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87" w:lineRule="exact"/>
        <w:rPr>
          <w:rFonts w:ascii="Times New Roman" w:cs="Times New Roman" w:eastAsia="Times New Roman" w:hAnsi="Times New Roman"/>
          <w:sz w:val="18"/>
          <w:szCs w:val="18"/>
          <w:color w:val="auto"/>
        </w:rPr>
      </w:pPr>
    </w:p>
    <w:p>
      <w:pPr>
        <w:ind w:left="-460" w:right="80" w:firstLine="644"/>
        <w:spacing w:after="0" w:line="253" w:lineRule="auto"/>
        <w:tabs>
          <w:tab w:leader="none" w:pos="8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Company’s Subsidiaries</w:t>
      </w:r>
      <w:r>
        <w:rPr>
          <w:rFonts w:ascii="Times New Roman" w:cs="Times New Roman" w:eastAsia="Times New Roman" w:hAnsi="Times New Roman"/>
          <w:sz w:val="18"/>
          <w:szCs w:val="18"/>
          <w:color w:val="auto"/>
        </w:rPr>
        <w:t>. Each subsidiary of the Company (as such term is defined in Rule 405 of the Act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the Disclosure Package and the Prospectus, all of the issued and outstanding capital stock of each subsidiary has been duly authorized and validly issued, is fully paid and non 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securityholder of such subsidiary. The only subsidiaries of the Company are (A) the subsidiaries listed on Exhibit 21 to the Company’s most recent Annual Report on Form 10-K and (B) certain other subsidiaries which, considered in the aggregate as a single subsidiary, do not constitute a “significant subsidiary” as defined in Rule 1-02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9" w:name="page10"/>
    <w:bookmarkEnd w:id="9"/>
    <w:p>
      <w:pPr>
        <w:ind w:left="-460" w:right="20" w:firstLine="644"/>
        <w:spacing w:after="0" w:line="261" w:lineRule="auto"/>
        <w:tabs>
          <w:tab w:leader="none" w:pos="8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in the Registration Statement, the Disclosure Package and the Prospectus and all of the issued shares of capital stock of the Company have been duly and validly authorized and issued and are fully paid and non-assessable and conform in all material respects to the description thereof contained in the Registration Statement, the Disclosure Package and the Prospectus.</w:t>
      </w:r>
    </w:p>
    <w:p>
      <w:pPr>
        <w:spacing w:after="0" w:line="179" w:lineRule="exact"/>
        <w:rPr>
          <w:rFonts w:ascii="Times New Roman" w:cs="Times New Roman" w:eastAsia="Times New Roman" w:hAnsi="Times New Roman"/>
          <w:sz w:val="18"/>
          <w:szCs w:val="18"/>
          <w:color w:val="auto"/>
        </w:rPr>
      </w:pPr>
    </w:p>
    <w:p>
      <w:pPr>
        <w:ind w:left="-460" w:firstLine="644"/>
        <w:spacing w:after="0" w:line="256" w:lineRule="auto"/>
        <w:tabs>
          <w:tab w:leader="none" w:pos="8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of the Shares</w:t>
      </w:r>
      <w:r>
        <w:rPr>
          <w:rFonts w:ascii="Times New Roman" w:cs="Times New Roman" w:eastAsia="Times New Roman" w:hAnsi="Times New Roman"/>
          <w:sz w:val="18"/>
          <w:szCs w:val="18"/>
          <w:color w:val="auto"/>
        </w:rPr>
        <w:t>. The Shares have been duly and validly authorized and, when the Shares are issued and delivered against payment therefor as provided herein, such Shares will be duly and validly issued and fully paid and non-assessable; and the issuance of the Shares is not subject to the preemptive or other similar rights of any securityholder of the Company. The Common Stock conforms in all material respects to all statements relating thereto contained in the Registration Statement, the Disclosure Package and the Prospectus and such description conforms in all material respects to the rights set forth in the instruments defining the same. No holder of Shares will be subject to personal liability by reason of being such a holder.</w:t>
      </w:r>
    </w:p>
    <w:p>
      <w:pPr>
        <w:spacing w:after="0" w:line="187" w:lineRule="exact"/>
        <w:rPr>
          <w:rFonts w:ascii="Times New Roman" w:cs="Times New Roman" w:eastAsia="Times New Roman" w:hAnsi="Times New Roman"/>
          <w:sz w:val="18"/>
          <w:szCs w:val="18"/>
          <w:color w:val="auto"/>
        </w:rPr>
      </w:pPr>
    </w:p>
    <w:p>
      <w:pPr>
        <w:ind w:left="-460" w:right="40" w:firstLine="644"/>
        <w:spacing w:after="0" w:line="255" w:lineRule="auto"/>
        <w:tabs>
          <w:tab w:leader="none" w:pos="8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or Registration Rights</w:t>
      </w:r>
      <w:r>
        <w:rPr>
          <w:rFonts w:ascii="Times New Roman" w:cs="Times New Roman" w:eastAsia="Times New Roman" w:hAnsi="Times New Roman"/>
          <w:sz w:val="18"/>
          <w:szCs w:val="18"/>
          <w:color w:val="auto"/>
        </w:rPr>
        <w:t>. Except as described in the Registration Statement, the Disclosure Package and the Prospectus, there are no (i) preemptive rights or other rights to subscribe for or to purchase or any restriction upon the voting or transfer of, any equity securities of the Company or any of its subsidiaries or (ii) outstanding restricted stock units, options or warrants to purchase any securities of the Company or any of its subsidiaries. There are no persons with registration rights or other similar rights to have any securities registered for sale pursuant to the Registration Statement or otherwise registered for sale or sold by the Company under the Act pursuant to this Agreement, other than those rights that have been disclosed in the Registration Statement, the Disclosure Package and the Prospectus and have been waived or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 w:name="page11"/>
    <w:bookmarkEnd w:id="10"/>
    <w:p>
      <w:pPr>
        <w:ind w:right="20" w:firstLine="644"/>
        <w:spacing w:after="0" w:line="252" w:lineRule="auto"/>
        <w:tabs>
          <w:tab w:leader="none" w:pos="1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 or Violation</w:t>
      </w:r>
      <w:r>
        <w:rPr>
          <w:rFonts w:ascii="Times New Roman" w:cs="Times New Roman" w:eastAsia="Times New Roman" w:hAnsi="Times New Roman"/>
          <w:sz w:val="18"/>
          <w:szCs w:val="18"/>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its properties may be bound or to which any of the properties or assets of the Company or any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result in a Material Adverse Effect. The execution, delivery and performance of this Agreement and the consummation of the transactions contemplated herein and in the Registration Statement, the Disclosure Package and the Prospectus (including the issuance and sale of the Shares and the use of the proceeds from the sale of the Shares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any of its subsidiaries or any law, statute, rule, regulation, judgment, order, writ or decree of any Governmental Entity.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9" w:lineRule="exact"/>
        <w:rPr>
          <w:rFonts w:ascii="Times New Roman" w:cs="Times New Roman" w:eastAsia="Times New Roman" w:hAnsi="Times New Roman"/>
          <w:sz w:val="18"/>
          <w:szCs w:val="18"/>
          <w:color w:val="auto"/>
        </w:rPr>
      </w:pPr>
    </w:p>
    <w:p>
      <w:pPr>
        <w:ind w:firstLine="644"/>
        <w:spacing w:after="0" w:line="255" w:lineRule="auto"/>
        <w:tabs>
          <w:tab w:leader="none" w:pos="1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Shares hereunder or the consummation of the transactions contemplated by this Agreement, except such as have been already obtained or as may be required under the Act, the rules of the Nasdaq Global Market, state securities laws or the rules 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206" w:lineRule="exact"/>
        <w:rPr>
          <w:rFonts w:ascii="Times New Roman" w:cs="Times New Roman" w:eastAsia="Times New Roman" w:hAnsi="Times New Roman"/>
          <w:sz w:val="18"/>
          <w:szCs w:val="18"/>
          <w:color w:val="auto"/>
        </w:rPr>
      </w:pPr>
    </w:p>
    <w:p>
      <w:pPr>
        <w:ind w:right="40" w:firstLine="644"/>
        <w:spacing w:after="0" w:line="261"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and delivery of, and the performance by the Company of its obligations under, this Agreement (including but not limited to the issuance and sale of the Shares and the use of proceeds from the sale of the Shares as described in the Registration Statement, the Disclosure Package and the Prospectus under the caption “Use of Proceeds”) have been duly and validly authorized by all necessary corporate action on the part of the Company and this Agreement has been duly executed and delivered by the Company.</w:t>
      </w:r>
    </w:p>
    <w:p>
      <w:pPr>
        <w:spacing w:after="0" w:line="179" w:lineRule="exact"/>
        <w:rPr>
          <w:rFonts w:ascii="Times New Roman" w:cs="Times New Roman" w:eastAsia="Times New Roman" w:hAnsi="Times New Roman"/>
          <w:sz w:val="18"/>
          <w:szCs w:val="18"/>
          <w:color w:val="auto"/>
        </w:rPr>
      </w:pPr>
    </w:p>
    <w:p>
      <w:pPr>
        <w:ind w:right="20" w:firstLine="644"/>
        <w:spacing w:after="0" w:line="261" w:lineRule="auto"/>
        <w:tabs>
          <w:tab w:leader="none" w:pos="13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Summaries of Law</w:t>
      </w:r>
      <w:r>
        <w:rPr>
          <w:rFonts w:ascii="Times New Roman" w:cs="Times New Roman" w:eastAsia="Times New Roman" w:hAnsi="Times New Roman"/>
          <w:sz w:val="18"/>
          <w:szCs w:val="18"/>
          <w:color w:val="auto"/>
        </w:rPr>
        <w:t>. The statements set forth in the Registration Statement, the Disclosure Package and the Prospectus under the captions “Description of Shares” and “Government Regulation”, insofar as such statements purport to constitute summaries of the terms of the statutes, rules or regulations, legal or governmental proceedings, agreements or documents referred to therein, are accurate summaries of the terms of such statutes, rules or regulations, legal or governmental proceedings, agreements or documents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236855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1" w:name="page12"/>
    <w:bookmarkEnd w:id="11"/>
    <w:p>
      <w:pPr>
        <w:ind w:left="4" w:right="20" w:firstLine="644"/>
        <w:spacing w:after="0" w:line="254" w:lineRule="auto"/>
        <w:tabs>
          <w:tab w:leader="none" w:pos="13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The Company and its subsidiaries possess such permits, licenses, approvals, consents and other authorizations (collectively, “Governmental Licenses”) issued by the appropriate Governmental Entities necessary to conduct the business now operated by them. The Company and its subsidiaries are in compliance with the terms and conditions of all Governmental Licenses, except where the failure so to comply would not reasonably be expected to, singly or in the aggregate, result in a Material Adverse Effect. All of the Governmental Licenses are valid and in full force and effect, except when the invalidity of such Governmental Licenses or the failure of such Governmental Licenses to be valid and in full force and effect would not reasonably be expected to, singly or in the aggregate, result in a Material Adverse Effect. Neither the Company nor any of its subsidiaries has received any notice of proceedings relating to the revocation or modification of any Governmental Licenses.</w:t>
      </w:r>
    </w:p>
    <w:p>
      <w:pPr>
        <w:spacing w:after="0" w:line="191" w:lineRule="exact"/>
        <w:rPr>
          <w:rFonts w:ascii="Times New Roman" w:cs="Times New Roman" w:eastAsia="Times New Roman" w:hAnsi="Times New Roman"/>
          <w:sz w:val="18"/>
          <w:szCs w:val="18"/>
          <w:color w:val="auto"/>
        </w:rPr>
      </w:pPr>
    </w:p>
    <w:p>
      <w:pPr>
        <w:ind w:left="4" w:right="60" w:firstLine="644"/>
        <w:spacing w:after="0" w:line="270" w:lineRule="auto"/>
        <w:tabs>
          <w:tab w:leader="none" w:pos="130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Health Care Laws</w:t>
      </w:r>
      <w:r>
        <w:rPr>
          <w:rFonts w:ascii="Times New Roman" w:cs="Times New Roman" w:eastAsia="Times New Roman" w:hAnsi="Times New Roman"/>
          <w:sz w:val="17"/>
          <w:szCs w:val="17"/>
          <w:color w:val="auto"/>
        </w:rPr>
        <w:t>. Except as described in the Registration Statement, the Disclosure Package and the Prospectus, the Company and its subsidiaries are, and at all times have been, in compliance with all Health Care Laws in all material respects and to the extent applicable to the Company’s current business and research use only products. For purposes of this Agreement, “</w:t>
      </w:r>
      <w:r>
        <w:rPr>
          <w:rFonts w:ascii="Times New Roman" w:cs="Times New Roman" w:eastAsia="Times New Roman" w:hAnsi="Times New Roman"/>
          <w:sz w:val="17"/>
          <w:szCs w:val="17"/>
          <w:b w:val="1"/>
          <w:bCs w:val="1"/>
          <w:color w:val="auto"/>
        </w:rPr>
        <w:t>Health Care Laws</w:t>
      </w:r>
      <w:r>
        <w:rPr>
          <w:rFonts w:ascii="Times New Roman" w:cs="Times New Roman" w:eastAsia="Times New Roman" w:hAnsi="Times New Roman"/>
          <w:sz w:val="17"/>
          <w:szCs w:val="17"/>
          <w:color w:val="auto"/>
        </w:rPr>
        <w:t>” means: (i) the Federal Food, Drug, and Cosmetic Act (21 U.S.C. Section 301 et seq.) (the “</w:t>
      </w:r>
      <w:r>
        <w:rPr>
          <w:rFonts w:ascii="Times New Roman" w:cs="Times New Roman" w:eastAsia="Times New Roman" w:hAnsi="Times New Roman"/>
          <w:sz w:val="17"/>
          <w:szCs w:val="17"/>
          <w:b w:val="1"/>
          <w:bCs w:val="1"/>
          <w:color w:val="auto"/>
        </w:rPr>
        <w:t>FDCA</w:t>
      </w:r>
      <w:r>
        <w:rPr>
          <w:rFonts w:ascii="Times New Roman" w:cs="Times New Roman" w:eastAsia="Times New Roman" w:hAnsi="Times New Roman"/>
          <w:sz w:val="17"/>
          <w:szCs w:val="17"/>
          <w:color w:val="auto"/>
        </w:rPr>
        <w:t>”) and the regulations promulgated thereunder;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(iii) all other local, state, federal, national, supranational and foreign laws, relating to the regulation of the Company or its subsidiaries, and (iv) the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agents, has been excluded, suspended or debarred from participation in any U.S. federal health care program or, to the knowledge of the Company, is subject to a governmental inquiry, investigation, proceeding, or other similar action that could reasonably be expected to result in debarment, suspension, or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243840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12" w:name="page13"/>
    <w:bookmarkEnd w:id="12"/>
    <w:p>
      <w:pPr>
        <w:ind w:left="-460" w:right="20" w:firstLine="644"/>
        <w:spacing w:after="0" w:line="254" w:lineRule="auto"/>
        <w:tabs>
          <w:tab w:leader="none" w:pos="8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Manufacturing Regulations</w:t>
      </w:r>
      <w:r>
        <w:rPr>
          <w:rFonts w:ascii="Times New Roman" w:cs="Times New Roman" w:eastAsia="Times New Roman" w:hAnsi="Times New Roman"/>
          <w:sz w:val="18"/>
          <w:szCs w:val="18"/>
          <w:color w:val="auto"/>
        </w:rPr>
        <w:t>. Except as described in the Registration Statement, the Disclosure Package and the Prospectus, the Company’s products are marketed as “research use only” and are not subject to the provisions of the FDCA applicable to product manufacturing, including, without limitation, the Food and Drug Administration’s Quality System Regulation at 21 CFR Part 820. The manufacture of the Company’s products by or on behalf of the Company or any subsidiary is being conducted in compliance in all material respects with all statutes, rules and regulations applicable to the ownership, testing, development, manufacture, packaging, processing, use, distribution, storage, import, export or disposal of any product manufactured or distributed by the Company. Neither the Company nor any subsidiary has had any manufacturing site (whether Company-owned, subsidiary-owned or that of a third-party manufacturer for the Company’s or any subsidiary’s products) subject to a governmental authority shutdown or import or export prohibition.</w:t>
      </w:r>
    </w:p>
    <w:p>
      <w:pPr>
        <w:spacing w:after="0" w:line="191" w:lineRule="exact"/>
        <w:rPr>
          <w:rFonts w:ascii="Times New Roman" w:cs="Times New Roman" w:eastAsia="Times New Roman" w:hAnsi="Times New Roman"/>
          <w:sz w:val="18"/>
          <w:szCs w:val="18"/>
          <w:color w:val="auto"/>
        </w:rPr>
      </w:pPr>
    </w:p>
    <w:p>
      <w:pPr>
        <w:ind w:left="-460" w:right="240" w:firstLine="644"/>
        <w:spacing w:after="0" w:line="258" w:lineRule="auto"/>
        <w:tabs>
          <w:tab w:leader="none" w:pos="8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Except for failures that would not, individually or in the aggregate, result in a Material Adverse Effect, the Company and each of its subsidiaries has filed all U.S. federal, state, local and foreign tax returns which have been required to be filed or have obtained extensions thereof, and have paid all taxes indicated by such returns and all assessments received by them or any of them to the extent that such taxes have become due, except for any such taxes being contested in good faith and for which an adequate reserve or accrual has been established in accordance with U.S. generally accepted principles of accounting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60" w:firstLine="644"/>
        <w:spacing w:after="0" w:line="252" w:lineRule="auto"/>
        <w:tabs>
          <w:tab w:leader="none" w:pos="8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The Company and its subsidiaries own or have a valid and enforceable right to use all patents, trademarks, service marks, trade names, domain names, social media identifiers and accounts and other source indicators, copyrights and copyrightable works, licenses, inventions, software, source code, databases, technology, know-how, and other intellectual property (including trade secrets and other unpatented and/or unpatentable proprietary or confidential information, systems or procedures) and all other worldwide intellectual property and proprietary rights (including all goodwill associated with and all registrations of and applications for, the foregoing)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that is necessary to the conduct of their respective businesses as currently conducted and as described in the Registration Statement, the Disclosure Package and the Prospectus. Intellectual Property owned, whether exclusively or jointly with a third party, by the Company and its subsidiaries has not been adjudged invalid or unenforceable by a court of competent jurisdiction or applicable government agency, in whole or in part. The Company and its subsidiaries have not received any opinion from their legal counsel concluding that any activities of their respective businesses infringe, misappropriate, or otherwise violate, the Intellectual Property of any other person and, to the knowledge of the Company, there has been no such infringement, misappropriation or other violation of any Intellectual Property of any other person. Except as otherwise disclosed in the Registration Statement, the Disclosure Package and the Prospectus, there is no pending or, to the knowledge of the Company, threatened action, suit, proceeding or claim by others challenging the ownership, validity, scope or enforceability of, or any rights of the Company or any of its subsidiaries in, any such Intellectual Property except as would not, individually or in the aggregate, reasonably be expected to result in a Material Adverse Effect. The Company has no knowledge of any claim alleging the infringement, misappropriation or other violation of any Intellectual Property of any other person by the Company or any of its subsidiaries. Except as would not, individually or in the aggregate, reasonably be expected to have a Material Adverse Effect, the Company and its subsidiaries use, and have used, commercially reasonable efforts in accordance with customary industry practice to appropriately protect, maintain and safeguard the confidentiality of all Intellectual Property, the value of which to the Company or any of its subsidiaries is contingent upon maintaining the confidentiality thereof, including the execution of appropriate nondisclosure and confidentiality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3" w:name="page14"/>
    <w:bookmarkEnd w:id="13"/>
    <w:p>
      <w:pPr>
        <w:ind w:left="-460" w:firstLine="644"/>
        <w:spacing w:after="0" w:line="254" w:lineRule="auto"/>
        <w:tabs>
          <w:tab w:leader="none" w:pos="8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Except as would not, individually or in the aggregate, reasonably be expected to have a Material Adverse Effect, the Company and its subsidiaries use and have used any and all software and other materials distributed under a “free,” “open source” or similar licensing model (collectively,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and such use is in compliance with all license terms applicable to such Open Source Software. Neither the Company nor any of its subsidiaries uses or distributes or has used or distributed any Open Source Software in any manner than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(i) disclosed or distributed in source code form, (ii) licensed for the purpose of making derivative works or (iii) redistributed at no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244475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4" w:name="page15"/>
    <w:bookmarkEnd w:id="14"/>
    <w:p>
      <w:pPr>
        <w:ind w:left="-460" w:right="20" w:firstLine="644"/>
        <w:spacing w:after="0" w:line="251" w:lineRule="auto"/>
        <w:tabs>
          <w:tab w:leader="none" w:pos="8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 Data Protection</w:t>
      </w:r>
      <w:r>
        <w:rPr>
          <w:rFonts w:ascii="Times New Roman" w:cs="Times New Roman" w:eastAsia="Times New Roman" w:hAnsi="Times New Roman"/>
          <w:sz w:val="18"/>
          <w:szCs w:val="18"/>
          <w:color w:val="auto"/>
        </w:rPr>
        <w:t>. Except as disclosed in the Registration Statement, Disclosure Package and the Prospectus, or except as would not, individually or in the aggregate, reasonably be expected to result in a Material Adverse Effect, the Company and its subsidiaries’ respective information technology assets and equipment, computers, systems, networks, hardware, software, websites, applications, technology, data and databases (including confidential information, trade secrets or other data of the Company or any of its subsidiaries or their respective users, customers, employees, suppliers, vendors, personal data and any third party data maintained by or on behalf of the Company and its subsidiaries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 currently conducted. The Company and its subsidiaries have complied, and are presently in compliance with all applicable laws and statutes and any judgments, orders, rules or regulations of any court or arbitrator or other governmental or regulatory authority, and all internal policies and contractual obligations and any other legal obligations, in each case, relating to the privacy and security of IT Systems and Data, and to the protection of such IT Systems and Data from unauthorized use, access, misappropriation or modification and the collection, use, transfer, processing, import, export, storage, protection, disposal and disclosure of data (collectively, the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except as would not, individually or in the aggregate, reasonably be expected to result in a Material Adverse Effect. The Company and its subsidiaries have used reasonable efforts to establish and maintain, and have established, implemented, maintained and complied with, commercially reasonable information technology, information security, cyber security and data protection controls, policies and procedures to protect against and prevent security breaches of, unauthorized access to and other similar compromises of IT Systems and Data in accordance with industry practices and as required by applicable regulatory standards. Except as disclosed in the Registration Statement, Disclosure Package and the Prospectus, the Company and its subsidiaries have not experienced and have no knowledge of any cyber-attack, security breach, unauthorized access or other similar compromise to their IT Systems and Data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which attack, breach, unauthorized access, or similar compromise that would reasonably be expected to result in a Material Adverse Effect. There have been no Breaches, violations, outages, or unauthorized uses of or accesses to any IT Systems and Data used in connection with the operation of the Company’s and its subsidiaries’ businesses that would reasonably be expected to result in a Material Adverse Effect; the Company and its subsidiaries have not received notification of, and have no knowledge of, any event or condition that would reasonably be expected to result in, a Breach to their IT Systems and Data that would reasonably be expected to result in a Material Adverse Effect. Neither the Company nor any of its subsidiaries has received any written notification of or complaint regarding, and has no knowledge of any facts that, individually or in the aggregate, would reasonably indicate non-compliance with any Data Security Obligation by the Company or any of its subsidiaries, and there is no action, suit or proceeding by or before any court or governmental agency, authority or body, pending or, to the Company’s knowledge, threatened alleging non-compliance with any Data Security Obligation by the Company or any of its subsidiaries.</w:t>
      </w:r>
    </w:p>
    <w:p>
      <w:pPr>
        <w:spacing w:after="0" w:line="203" w:lineRule="exact"/>
        <w:rPr>
          <w:rFonts w:ascii="Times New Roman" w:cs="Times New Roman" w:eastAsia="Times New Roman" w:hAnsi="Times New Roman"/>
          <w:sz w:val="18"/>
          <w:szCs w:val="18"/>
          <w:color w:val="auto"/>
        </w:rPr>
      </w:pPr>
    </w:p>
    <w:p>
      <w:pPr>
        <w:ind w:left="-460" w:right="120" w:firstLine="644"/>
        <w:spacing w:after="0" w:line="266" w:lineRule="auto"/>
        <w:tabs>
          <w:tab w:leader="none" w:pos="8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industry-related and market-related data included in the Registration Statement, the Disclosure Package or the Prospectus are based on or derived from sources that the Company believes, after reasonable inquiry, to be reliable and accurate in all material respects.</w:t>
      </w:r>
    </w:p>
    <w:p>
      <w:pPr>
        <w:spacing w:after="0" w:line="175" w:lineRule="exact"/>
        <w:rPr>
          <w:rFonts w:ascii="Times New Roman" w:cs="Times New Roman" w:eastAsia="Times New Roman" w:hAnsi="Times New Roman"/>
          <w:sz w:val="18"/>
          <w:szCs w:val="18"/>
          <w:color w:val="auto"/>
        </w:rPr>
      </w:pPr>
    </w:p>
    <w:p>
      <w:pPr>
        <w:ind w:left="-460" w:firstLine="644"/>
        <w:spacing w:after="0" w:line="253" w:lineRule="auto"/>
        <w:tabs>
          <w:tab w:leader="none" w:pos="8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Except, in each case, for any such matter as would not, individually or in the aggregate, reasonably be expected to result in a Material Adverse Effect, (i) with respect to each “employee benefit plan” (within the meaning of Section 3(3)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that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subject to Title IV of ERISA (A) no “reportable event” (as defined in Section 4043 of ERISA) has occurred for which the Company or any member of its Controlled Group would have any material liability; and (B) neither the Company nor any member of its Controlled Group has incurred or expects to incur material liability under Title IV of ERISA (other than for contributions to the Plan or premiums payable to the Pension Benefit Guaranty Corporation, in each case in the ordinary course and without default); and (ii) no Plan which is subject to Section 412 of the Code or Section 302 of ERISA has failed to satisfy the minimum funding standard within the meaning of such sections of the Code or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5" w:name="page16"/>
    <w:bookmarkEnd w:id="15"/>
    <w:p>
      <w:pPr>
        <w:ind w:left="-460" w:firstLine="644"/>
        <w:spacing w:after="0" w:line="252" w:lineRule="auto"/>
        <w:tabs>
          <w:tab w:leader="none" w:pos="8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Registration Statement, the Disclosure Package and the Prospectus or as would not reasonably be expected to,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investigations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97" w:lineRule="exact"/>
        <w:rPr>
          <w:rFonts w:ascii="Times New Roman" w:cs="Times New Roman" w:eastAsia="Times New Roman" w:hAnsi="Times New Roman"/>
          <w:sz w:val="18"/>
          <w:szCs w:val="18"/>
          <w:color w:val="auto"/>
        </w:rPr>
      </w:pPr>
    </w:p>
    <w:p>
      <w:pPr>
        <w:ind w:left="-460" w:right="100" w:firstLine="644"/>
        <w:spacing w:after="0" w:line="256" w:lineRule="auto"/>
        <w:tabs>
          <w:tab w:leader="none" w:pos="8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Dividends</w:t>
      </w:r>
      <w:r>
        <w:rPr>
          <w:rFonts w:ascii="Times New Roman" w:cs="Times New Roman" w:eastAsia="Times New Roman" w:hAnsi="Times New Roman"/>
          <w:sz w:val="18"/>
          <w:szCs w:val="18"/>
          <w:color w:val="auto"/>
        </w:rPr>
        <w:t>. Except as disclosed in the Registration Statement, the Disclosure Package and the Prospectus, no subsidiary of the Company is prohibited or restricted, directly or indirectly, from paying dividends to the Company or any other subsidiary of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any other subsidiary of the Company or from transferring any property or assets to the Company or to any other subsidiary of the Company.</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58" w:lineRule="auto"/>
        <w:tabs>
          <w:tab w:leader="none" w:pos="8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Company’s Common Stock has been registered pursuant to Section 12(b) of the Exchange Act and the Shares have been approved for listing, subject to official notice of issuance,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Company has taken no action designed to, or likely to have the effect of, terminating the registration of the Common Stock under the Exchange Act or the listing of the Common Stock (including the Shares) on the Nasdaq, nor has the Company received any notification that the Commission or the Nasdaq is contemplating terminating such registration or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239395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6" w:name="page17"/>
    <w:bookmarkEnd w:id="16"/>
    <w:p>
      <w:pPr>
        <w:ind w:left="-460" w:right="180" w:firstLine="644"/>
        <w:spacing w:after="0" w:line="266" w:lineRule="auto"/>
        <w:tabs>
          <w:tab w:leader="none" w:pos="8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Relationships and Related Party Transactions</w:t>
      </w:r>
      <w:r>
        <w:rPr>
          <w:rFonts w:ascii="Times New Roman" w:cs="Times New Roman" w:eastAsia="Times New Roman" w:hAnsi="Times New Roman"/>
          <w:sz w:val="18"/>
          <w:szCs w:val="18"/>
          <w:color w:val="auto"/>
        </w:rPr>
        <w:t>. There are no material related-party transactions involving the Company or its subsidiaries or any other person required to be described in the Registration Statement, the Disclosure Package and the Prospectus which have not been described in such documents as required.</w:t>
      </w:r>
    </w:p>
    <w:p>
      <w:pPr>
        <w:spacing w:after="0" w:line="175" w:lineRule="exact"/>
        <w:rPr>
          <w:rFonts w:ascii="Times New Roman" w:cs="Times New Roman" w:eastAsia="Times New Roman" w:hAnsi="Times New Roman"/>
          <w:sz w:val="18"/>
          <w:szCs w:val="18"/>
          <w:color w:val="auto"/>
        </w:rPr>
      </w:pPr>
    </w:p>
    <w:p>
      <w:pPr>
        <w:ind w:left="-460" w:right="140" w:firstLine="644"/>
        <w:spacing w:after="0" w:line="261" w:lineRule="auto"/>
        <w:tabs>
          <w:tab w:leader="none" w:pos="8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material labor disturbance by or material dispute with employees of the Company or any of its subsidiaries exists or, to the knowledge of the Company, is threatened, and the Company is not aware of any existing or imminent labor disturbance by the employees of any of its or any subsidiary’s principal suppliers, manufacturers, customers or contractors, which, in either case, would result in a Material Adverse Effect.</w:t>
      </w:r>
    </w:p>
    <w:p>
      <w:pPr>
        <w:spacing w:after="0" w:line="179" w:lineRule="exact"/>
        <w:rPr>
          <w:rFonts w:ascii="Times New Roman" w:cs="Times New Roman" w:eastAsia="Times New Roman" w:hAnsi="Times New Roman"/>
          <w:sz w:val="18"/>
          <w:szCs w:val="18"/>
          <w:color w:val="auto"/>
        </w:rPr>
      </w:pPr>
    </w:p>
    <w:p>
      <w:pPr>
        <w:ind w:left="-460" w:firstLine="644"/>
        <w:spacing w:after="0" w:line="266" w:lineRule="auto"/>
        <w:tabs>
          <w:tab w:leader="none" w:pos="8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w:t>
      </w:r>
      <w:r>
        <w:rPr>
          <w:rFonts w:ascii="Times New Roman" w:cs="Times New Roman" w:eastAsia="Times New Roman" w:hAnsi="Times New Roman"/>
          <w:sz w:val="18"/>
          <w:szCs w:val="18"/>
          <w:color w:val="auto"/>
        </w:rPr>
        <w:t>. None of the Company or any of its subsidiaries is a party to any contract, agreement or understanding with any person (other than this Agreement) that would give rise to a valid claim against the Company or any of its subsidiaries or the Manager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55" w:lineRule="auto"/>
        <w:tabs>
          <w:tab w:leader="none" w:pos="8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Other than as set forth in the Registration Statement, the Disclosure Package and the Prospectus, there are no legal or governmental or regulatory investigations, actions, demands, claims, suits, arbitrations, inquiries or proceedings pending to which the Company or any of its subsidiaries or any officer or director of the Company is a party or of which any property of the Company or any of its subsidiaries is the subject which, if determined adversely to the Company or any of its subsidiaries, would, individually or in the aggregate, reasonably be expected to result in a Material Adverse Effect or which might materially and adversely affect the consummation of the transactions contemplated in this Agreement or the performance by the Company of its obligations hereunder; and, to the knowledge of the Company, no such proceedings are threatened or contemplated by governmental authorities or threatened by others.</w:t>
      </w:r>
    </w:p>
    <w:p>
      <w:pPr>
        <w:spacing w:after="0" w:line="188" w:lineRule="exact"/>
        <w:rPr>
          <w:rFonts w:ascii="Times New Roman" w:cs="Times New Roman" w:eastAsia="Times New Roman" w:hAnsi="Times New Roman"/>
          <w:sz w:val="18"/>
          <w:szCs w:val="18"/>
          <w:color w:val="auto"/>
        </w:rPr>
      </w:pPr>
    </w:p>
    <w:p>
      <w:pPr>
        <w:ind w:left="-460" w:firstLine="644"/>
        <w:spacing w:after="0" w:line="266" w:lineRule="auto"/>
        <w:tabs>
          <w:tab w:leader="none" w:pos="8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There are no transfer taxes or other similar fees or charges under U.S. federal law or the laws of any state, or any political subdivision thereof, required to be paid in connection with the execution and delivery of this Agreement or the issuance or sale by the Company of the Shares.</w:t>
      </w:r>
    </w:p>
    <w:p>
      <w:pPr>
        <w:spacing w:after="0" w:line="175" w:lineRule="exact"/>
        <w:rPr>
          <w:rFonts w:ascii="Times New Roman" w:cs="Times New Roman" w:eastAsia="Times New Roman" w:hAnsi="Times New Roman"/>
          <w:sz w:val="18"/>
          <w:szCs w:val="18"/>
          <w:color w:val="auto"/>
        </w:rPr>
      </w:pPr>
    </w:p>
    <w:p>
      <w:pPr>
        <w:ind w:left="-460" w:firstLine="644"/>
        <w:spacing w:after="0" w:line="266" w:lineRule="auto"/>
        <w:tabs>
          <w:tab w:leader="none" w:pos="8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upon the issuance and sale of the Shares and the application of the proceeds thereof as described in the Registration Statement, the Disclosure Package and the Prospectus under the caption “Use of Proceeds,” will not be required to register as an “investment company”, as such term is defined in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7" w:name="page18"/>
    <w:bookmarkEnd w:id="17"/>
    <w:p>
      <w:pPr>
        <w:ind w:left="-460" w:firstLine="644"/>
        <w:spacing w:after="0" w:line="252" w:lineRule="auto"/>
        <w:tabs>
          <w:tab w:leader="none" w:pos="8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the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GAAP applied on a consistent basis throughout the periods involved. The supporting schedules, if any, present fairly in all material respects in accordance with GAAP the information required to be stated therein. The pro forma financial statements and the related notes thereto included or incorporated by reference in the Registration Statement, the Disclosure Package and the Prospectus, if any,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therein, no historical or pro forma financial statements or supporting schedules are required to be included or incorporated by reference in the Registration Statement, the Disclosure Package or the Prospectus under the Act. All disclosures contained in the Registration Statement, the Disclosure Package or the Prospectus, or incorporated by reference therein, regarding “non-GAAP financial measures” (as such term is defined by the rules and regulations of the Commission) comply in all material respects with Regulation G of the Exchange Act and Item 10 of Regulation S-K of the Act, to the extent applicable. The interactive data in eXtensible Business Reporting Language or incorporated by reference in the Registration Statement, the Disclosure Package and the Prospectus fairly presents in all material respects the information called for in all material respects and has been prepared in accordance with the Commission's rules and guidelines applicable thereto.</w:t>
      </w:r>
    </w:p>
    <w:p>
      <w:pPr>
        <w:spacing w:after="0" w:line="193" w:lineRule="exact"/>
        <w:rPr>
          <w:rFonts w:ascii="Times New Roman" w:cs="Times New Roman" w:eastAsia="Times New Roman" w:hAnsi="Times New Roman"/>
          <w:sz w:val="18"/>
          <w:szCs w:val="18"/>
          <w:color w:val="auto"/>
        </w:rPr>
      </w:pPr>
    </w:p>
    <w:p>
      <w:pPr>
        <w:ind w:left="-460" w:right="80" w:firstLine="644"/>
        <w:spacing w:after="0" w:line="266" w:lineRule="auto"/>
        <w:tabs>
          <w:tab w:leader="none" w:pos="8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incorporated by reference in the Registration Statement, the Disclosure Package and the Prospectus are independent public accountants as required by the Act and its rules and regulations, the Exchange Act and its rules and regulations and the Public Company Accounting Oversight Board.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 in each case to the extent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236855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8" w:name="page19"/>
    <w:bookmarkEnd w:id="18"/>
    <w:p>
      <w:pPr>
        <w:ind w:left="-460" w:right="40" w:firstLine="644"/>
        <w:spacing w:after="0" w:line="253" w:lineRule="auto"/>
        <w:tabs>
          <w:tab w:leader="none" w:pos="8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 and Disclosure Controls</w:t>
      </w:r>
      <w:r>
        <w:rPr>
          <w:rFonts w:ascii="Times New Roman" w:cs="Times New Roman" w:eastAsia="Times New Roman" w:hAnsi="Times New Roman"/>
          <w:sz w:val="18"/>
          <w:szCs w:val="18"/>
          <w:color w:val="auto"/>
        </w:rPr>
        <w:t>. Except as described in the Registration Statement, the Disclosure Package and the Prospectus, the Company and each of its subsidiaries maintain effective internal control over financial reporting (as defined under Rule 13 a15 and 15d 15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Disclosure Package and the Prospectus fairly presents the information called for in all material respects and is prepared in accordance with the Commission's rules and guidelines applicable thereto. Except as described in the Registration Statement, the Disclosure Package and the Prospectus, since the end of the Company’s most recent audited fiscal year, there has been no material weakness in the Company’s internal control over financial reporting (whether or not remediated).</w:t>
      </w:r>
    </w:p>
    <w:p>
      <w:pPr>
        <w:spacing w:after="0" w:line="191" w:lineRule="exact"/>
        <w:rPr>
          <w:rFonts w:ascii="Times New Roman" w:cs="Times New Roman" w:eastAsia="Times New Roman" w:hAnsi="Times New Roman"/>
          <w:sz w:val="18"/>
          <w:szCs w:val="18"/>
          <w:color w:val="auto"/>
        </w:rPr>
      </w:pPr>
    </w:p>
    <w:p>
      <w:pPr>
        <w:ind w:left="-460" w:firstLine="644"/>
        <w:spacing w:after="0" w:line="253" w:lineRule="auto"/>
        <w:tabs>
          <w:tab w:leader="none" w:pos="8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None of the Company, any of its subsidiaries or any of their respective directors or officers or, to the knowledge of the Company, any agent, employee, affiliate or other person associated with or acting on behalf of the Company or any of its subsidiaries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any other applicable anti-corruption, anti-bribery or related law, statute or regulation (collectively, “</w:t>
      </w:r>
      <w:r>
        <w:rPr>
          <w:rFonts w:ascii="Times New Roman" w:cs="Times New Roman" w:eastAsia="Times New Roman" w:hAnsi="Times New Roman"/>
          <w:sz w:val="18"/>
          <w:szCs w:val="18"/>
          <w:b w:val="1"/>
          <w:bCs w:val="1"/>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or (v) made any bribe, rebate, payoff, influence payment, kickback or other unlawful payment. The Company and its subsidiaries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of the Company, the Company’s affiliates, have conducted their respective businesses in compliance with Anti-Corruption Laws and the Company has instituted and maintained and will continue to maintain policies and procedures reasonably designed to promote and achieve compliance in all material respects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applicable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9" w:name="page20"/>
    <w:bookmarkEnd w:id="19"/>
    <w:p>
      <w:pPr>
        <w:ind w:left="-460" w:firstLine="644"/>
        <w:spacing w:after="0" w:line="255" w:lineRule="auto"/>
        <w:tabs>
          <w:tab w:leader="none" w:pos="8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left="-460" w:firstLine="644"/>
        <w:spacing w:after="0" w:line="268" w:lineRule="auto"/>
        <w:tabs>
          <w:tab w:leader="none" w:pos="85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xml:space="preserve"> Neither the Company nor any of its subsidiaries, directors, officers or employees, nor, to the knowledge of the Company, any of their respective agents, affiliates or any other person associated with or acting on behalf of the Company or any of their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HM Treasury, the United Nations Security Council,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nor is the Company or any of its subsidiaries located, organized or resident in a country or territory that is the subject or target of Sanctions (a “</w:t>
      </w:r>
      <w:r>
        <w:rPr>
          <w:rFonts w:ascii="Times New Roman" w:cs="Times New Roman" w:eastAsia="Times New Roman" w:hAnsi="Times New Roman"/>
          <w:sz w:val="17"/>
          <w:szCs w:val="17"/>
          <w:b w:val="1"/>
          <w:bCs w:val="1"/>
          <w:color w:val="auto"/>
        </w:rPr>
        <w:t>Sanctioned Jurisdiction</w:t>
      </w:r>
      <w:r>
        <w:rPr>
          <w:rFonts w:ascii="Times New Roman" w:cs="Times New Roman" w:eastAsia="Times New Roman" w:hAnsi="Times New Roman"/>
          <w:sz w:val="17"/>
          <w:szCs w:val="17"/>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except as otherwise permitted by applicable law, or (ii) in any other manner that will result in a violation by any person (including any person participating in the transaction, whether as sales agent, advisor, investor or otherwise) of Sanctions; neither the Company nor any of its subsidiaries is knowingly engaged in, or has, at any time in the past five years, knowingly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 or applicable export control laws and regulations.</w:t>
      </w:r>
    </w:p>
    <w:p>
      <w:pPr>
        <w:spacing w:after="0" w:line="181" w:lineRule="exact"/>
        <w:rPr>
          <w:rFonts w:ascii="Times New Roman" w:cs="Times New Roman" w:eastAsia="Times New Roman" w:hAnsi="Times New Roman"/>
          <w:sz w:val="17"/>
          <w:szCs w:val="17"/>
          <w:color w:val="auto"/>
        </w:rPr>
      </w:pPr>
    </w:p>
    <w:p>
      <w:pPr>
        <w:ind w:left="-460" w:right="80" w:firstLine="644"/>
        <w:spacing w:after="0" w:line="256" w:lineRule="auto"/>
        <w:tabs>
          <w:tab w:leader="none" w:pos="8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20" w:name="page21"/>
    <w:bookmarkEnd w:id="20"/>
    <w:p>
      <w:pPr>
        <w:ind w:left="660" w:right="40" w:firstLine="644"/>
        <w:spacing w:after="0" w:line="261" w:lineRule="auto"/>
        <w:tabs>
          <w:tab w:leader="none" w:pos="19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to facilitate the sale or resale of the Shares in violation of Regulation M of the Exchange Act.</w:t>
      </w:r>
    </w:p>
    <w:p>
      <w:pPr>
        <w:spacing w:after="0" w:line="179" w:lineRule="exact"/>
        <w:rPr>
          <w:rFonts w:ascii="Times New Roman" w:cs="Times New Roman" w:eastAsia="Times New Roman" w:hAnsi="Times New Roman"/>
          <w:sz w:val="18"/>
          <w:szCs w:val="18"/>
          <w:color w:val="auto"/>
        </w:rPr>
      </w:pPr>
    </w:p>
    <w:p>
      <w:pPr>
        <w:ind w:left="660" w:right="40" w:firstLine="644"/>
        <w:spacing w:after="0" w:line="266" w:lineRule="auto"/>
        <w:tabs>
          <w:tab w:leader="none" w:pos="19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w:t>
      </w:r>
      <w:r>
        <w:rPr>
          <w:rFonts w:ascii="Times New Roman" w:cs="Times New Roman" w:eastAsia="Times New Roman" w:hAnsi="Times New Roman"/>
          <w:sz w:val="18"/>
          <w:szCs w:val="18"/>
          <w:color w:val="auto"/>
        </w:rPr>
        <w:t>. To the knowledge of the Company, there are no affiliations or associations between any member of FINRA and any of the officers or directors of the Company or the holders of 10% or greater of the Common Stock, except as described in the Registration Statement, the Disclosure Package and the Prospectus.</w:t>
      </w:r>
    </w:p>
    <w:p>
      <w:pPr>
        <w:spacing w:after="0" w:line="175" w:lineRule="exact"/>
        <w:rPr>
          <w:rFonts w:ascii="Times New Roman" w:cs="Times New Roman" w:eastAsia="Times New Roman" w:hAnsi="Times New Roman"/>
          <w:sz w:val="18"/>
          <w:szCs w:val="18"/>
          <w:color w:val="auto"/>
        </w:rPr>
      </w:pPr>
    </w:p>
    <w:p>
      <w:pPr>
        <w:ind w:left="660" w:right="180" w:firstLine="644"/>
        <w:spacing w:after="0" w:line="261" w:lineRule="auto"/>
        <w:tabs>
          <w:tab w:leader="none" w:pos="19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other documents that are required by the Act to be described in the Prospectus or filed as exhibits to the Registration Statement, or that are required by the Exchange Act to be filed as exhibits to a document incorporated by reference into the Prospectus, that have not been so described in the Prospectus or filed as exhibits to the Registration Statement or such incorporated document.</w:t>
      </w:r>
    </w:p>
    <w:p>
      <w:pPr>
        <w:spacing w:after="0" w:line="179" w:lineRule="exact"/>
        <w:rPr>
          <w:rFonts w:ascii="Times New Roman" w:cs="Times New Roman" w:eastAsia="Times New Roman" w:hAnsi="Times New Roman"/>
          <w:sz w:val="18"/>
          <w:szCs w:val="18"/>
          <w:color w:val="auto"/>
        </w:rPr>
      </w:pPr>
    </w:p>
    <w:p>
      <w:pPr>
        <w:ind w:left="620" w:right="20" w:firstLine="675"/>
        <w:spacing w:after="0" w:line="266" w:lineRule="auto"/>
        <w:tabs>
          <w:tab w:leader="none" w:pos="1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the Disclosure Package and the Prospectus, the Company (i) does not have any material lending or other relationship with the Manager and (ii) does not intend to use any of the proceeds from the sale of the Shares to repay any outstanding debt owed to any affiliate of the Manager.</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the Manager or to counsel for the Manager in connection with this Agreement shall be deemed a representation and warranty by the Company or such subsidiary of the Company, as applicable, to the Manager as to the matters set forth therein.</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that the Manager and, for purposes of the opinions to be delivered pursuant to Section 4 hereof, counsel for the Company and counsel for the Manager, will rely upon the accuracy and truthfulness of the foregoing representations and hereby consents to such reliance.</w:t>
      </w:r>
    </w:p>
    <w:p>
      <w:pPr>
        <w:spacing w:after="0" w:line="162" w:lineRule="exact"/>
        <w:rPr>
          <w:sz w:val="20"/>
          <w:szCs w:val="20"/>
          <w:color w:val="auto"/>
        </w:rPr>
      </w:pPr>
    </w:p>
    <w:p>
      <w:pPr>
        <w:ind w:right="80" w:firstLine="656"/>
        <w:spacing w:after="0" w:line="266"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Manager agree that the Company may from time to time seek to sell Shares through the Manager, acting as sales agent, on the following terms.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submit to the Manager its orders (including any price, time or size limits or other customary parameters or conditions) to sell Shares on any Trading Day (as defined herein) in a form and manner as mutually agreed to by the Company and the Manager (each such order, a “</w:t>
      </w:r>
      <w:r>
        <w:rPr>
          <w:rFonts w:ascii="Times New Roman" w:cs="Times New Roman" w:eastAsia="Times New Roman" w:hAnsi="Times New Roman"/>
          <w:sz w:val="18"/>
          <w:szCs w:val="18"/>
          <w:b w:val="1"/>
          <w:bCs w:val="1"/>
          <w:color w:val="auto"/>
        </w:rPr>
        <w:t>Placement Notice</w:t>
      </w:r>
      <w:r>
        <w:rPr>
          <w:rFonts w:ascii="Times New Roman" w:cs="Times New Roman" w:eastAsia="Times New Roman" w:hAnsi="Times New Roman"/>
          <w:sz w:val="18"/>
          <w:szCs w:val="18"/>
          <w:color w:val="auto"/>
        </w:rPr>
        <w:t>”) to be delivered substantially in the form of Schedule I hereto. As used herein,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any trading day on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ind w:left="4" w:firstLine="644"/>
        <w:spacing w:after="0" w:line="276" w:lineRule="auto"/>
        <w:tabs>
          <w:tab w:leader="none" w:pos="131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hereof, the Manager shall use its reasonable efforts to execute any Company order submitted to it hereunder to sell Shares and with respect to which the Manager has agreed to act as sales agent. The Company acknowledges and agrees that</w:t>
      </w:r>
    </w:p>
    <w:p>
      <w:pPr>
        <w:ind w:left="4" w:right="40" w:hanging="4"/>
        <w:spacing w:after="0" w:line="251"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Manager will be successful in selling the Shares and (ii) the Manager will incur no liability or obligation to the Company or any other person or entity if it does not sell Shares for any reason other than a failure by the Manager to use its reasonable efforts consistent with its normal trading and sales practices and applicable law and regulations to sell such Shares as required under this Agreement. The Manager shall not be under any obligation to purchase Shares on a principal basis, except as otherwise specifically agreed by the Manager and the Company. The Manager may make sales pursuant to each order by any method permitted by law, including without limitation (A) by means of ordinary brokers’ transactions (whether or not solicited), (B) to or through a market maker, (C) directly on or through any national securities exchange or facility thereof, a trading facility of a national securities association, an alternative trading system, or any other market venue, (D) in the over-the-counter market, (E) in privately negotiated transactions, or (F) through a combination of any such methods.</w:t>
      </w:r>
    </w:p>
    <w:p>
      <w:pPr>
        <w:spacing w:after="0" w:line="193" w:lineRule="exact"/>
        <w:rPr>
          <w:rFonts w:ascii="Times New Roman" w:cs="Times New Roman" w:eastAsia="Times New Roman" w:hAnsi="Times New Roman"/>
          <w:sz w:val="18"/>
          <w:szCs w:val="18"/>
          <w:color w:val="auto"/>
        </w:rPr>
      </w:pPr>
    </w:p>
    <w:p>
      <w:pPr>
        <w:ind w:left="4" w:firstLine="644"/>
        <w:spacing w:after="0" w:line="255" w:lineRule="auto"/>
        <w:tabs>
          <w:tab w:leader="none" w:pos="130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authorize the issuance and sale of, and the Manager shall not sell as sales agent, any Share at a price lower than the minimum price therefor designated from time to time by the Company and notified to the Manager in writing. In addition, the Company or the Manager, in such party’s sole discretion, may upon notice to the other party hereto by telephone (confirmed promptly by email or facsimile) or in writing (including by email correspondence, if receipt of such correspondence is actually acknowledged by any of the individuals to whom the notice is sent, other than via auto-reply), suspend an offering of the Shares with respect to which the Manager is acting as sales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prior to the giving of such notice.</w:t>
      </w:r>
    </w:p>
    <w:p>
      <w:pPr>
        <w:spacing w:after="0" w:line="188" w:lineRule="exact"/>
        <w:rPr>
          <w:rFonts w:ascii="Times New Roman" w:cs="Times New Roman" w:eastAsia="Times New Roman" w:hAnsi="Times New Roman"/>
          <w:sz w:val="18"/>
          <w:szCs w:val="18"/>
          <w:color w:val="auto"/>
        </w:rPr>
      </w:pPr>
    </w:p>
    <w:p>
      <w:pPr>
        <w:ind w:left="4" w:right="60" w:firstLine="644"/>
        <w:spacing w:after="0" w:line="256" w:lineRule="auto"/>
        <w:tabs>
          <w:tab w:leader="none" w:pos="13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Manager for sales of the Shares with respect to which the Manager acts as sales agent hereunder shall be up to 3.0% of the gross offering proceeds of the Shares sold pursuant to this Agreement. Any compensation due and payable to the Manager hereunder with respect to any sale of Shares shall be paid by the Company to the Manager concurrently with the settlement for sales of the Shares by deduction from the proceeds from sales of the Shares payable to the Company. The remaining proceeds, after further deduction for any transaction fees imposed by any governmental or self-regulatory organization in respect of such sales shall constitute the net proceeds to the Company for such Shares (the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241935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22" w:name="page23"/>
    <w:bookmarkEnd w:id="22"/>
    <w:p>
      <w:pPr>
        <w:ind w:left="-460" w:right="60" w:firstLine="644"/>
        <w:spacing w:after="0" w:line="253" w:lineRule="auto"/>
        <w:tabs>
          <w:tab w:leader="none" w:pos="8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the Shares pursuant to this Agreement will occur on the first Trading Day following the date on which such sales are made (each such day, a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On each Settlement Date, the Shares sold through the Manager for settlement on such date shall be issued and delivered by the Company to the Manager against payment of the Net Proceeds from the sale of such Shares. Settlement for all such Shares shall be effected by free delivery of the Shares, in definitive form, by the Company or its transfer agent to the Manager’s or its designee’s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Manager shall have given the Company written notice of such designee prior to the Settlement Date) at The Depository Trust Company through its Deposit and Withdrawal at Custodian System or by such other means of delivery as may be mutually agreed upon by the parties hereto, in return for payments in same day funds delivered to the account designated by the Company. If the Company, or its transfer agent (if applicable) shall default on its obligation to deliver the Shares on any Settlement Date, the Company shall (A) hold the Manager harmless against any loss, claim, damage, or expense (including reasonable legal fees and expenses), as incurred, arising out of or in connection with such default by the Company and (B) pay the Manager any compensation to which it would otherwise be entitled absent such default. The parties hereto acknowledge and agree that, in performing its obligations under this Agreement, the Manager may borrow shares of Common Stock from stock lenders in the event that the Company has not delivered Shares to settle sales as required by this Section 3(e), and may use the Shares to settle or close out such borrowings.</w:t>
      </w:r>
    </w:p>
    <w:p>
      <w:pPr>
        <w:spacing w:after="0" w:line="187"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8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acting as sales agent hereunder, the Manager shall provide written confirmation (which may be by facsimile or email) to the Company following the close of trading on the Nasdaq each day in which the Shares are sold under this Agreement setting forth (i) the number of the Shares sold on such day and the gross offering proceeds received from such sale and (ii) the compensation payable by the Company to the Manager with respect to such sales.</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55" w:lineRule="auto"/>
        <w:tabs>
          <w:tab w:leader="none" w:pos="8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Representation Date (as defined in Section 4(k)), Filing Date (as defined in Section 4(t)) and at the time of delivery of each Placement Notice,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reasonable efforts to sell the Shares on behalf of the Company as sales agent shall be subject to the continuing accuracy of the representations and warranties of the Company herein (and the completion of any reasonable diligence to verify such accuracy by the Manager), to the performance by the Company of its obligations hereunder and to the continuing satisfaction of the additional conditions specified in Section 6 of this Agreement.</w:t>
      </w:r>
    </w:p>
    <w:p>
      <w:pPr>
        <w:spacing w:after="0" w:line="188" w:lineRule="exact"/>
        <w:rPr>
          <w:rFonts w:ascii="Times New Roman" w:cs="Times New Roman" w:eastAsia="Times New Roman" w:hAnsi="Times New Roman"/>
          <w:sz w:val="18"/>
          <w:szCs w:val="18"/>
          <w:color w:val="auto"/>
        </w:rPr>
      </w:pPr>
    </w:p>
    <w:p>
      <w:pPr>
        <w:ind w:left="-460" w:firstLine="644"/>
        <w:spacing w:after="0" w:line="256" w:lineRule="auto"/>
        <w:tabs>
          <w:tab w:leader="none" w:pos="8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further limitations on offers and sales of Shares or delivery of instructions to offer and sell Shares as are set forth herein and as may be mutually agreed upon by the Company and the Manager, the Company shall not request the sale of any Shares that would be sold, and the Manager shall not be obligated to sell, (i) any time during the period commencing on the fourteenth day of the third month of the applicable fiscal quarter through and including the time that is 48 hours following the public announcement of the Company’s earnings, revenues or other results of operations for such fiscal quarter, or (ii) during any other period in which the Company is, or could be deemed to be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23" w:name="page24"/>
    <w:bookmarkEnd w:id="23"/>
    <w:p>
      <w:pPr>
        <w:ind w:left="4" w:right="60" w:firstLine="644"/>
        <w:spacing w:after="0" w:line="258" w:lineRule="auto"/>
        <w:tabs>
          <w:tab w:leader="none" w:pos="13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number and aggregate amount of the Shares sold pursuant to this Agreement exceed any of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 duly authorized committee thereof, and notified to the Manager in writing.</w:t>
      </w:r>
    </w:p>
    <w:p>
      <w:pPr>
        <w:spacing w:after="0" w:line="183" w:lineRule="exact"/>
        <w:rPr>
          <w:rFonts w:ascii="Times New Roman" w:cs="Times New Roman" w:eastAsia="Times New Roman" w:hAnsi="Times New Roman"/>
          <w:sz w:val="18"/>
          <w:szCs w:val="18"/>
          <w:color w:val="auto"/>
        </w:rPr>
      </w:pPr>
    </w:p>
    <w:p>
      <w:pPr>
        <w:ind w:left="584" w:hanging="584"/>
        <w:spacing w:after="0"/>
        <w:tabs>
          <w:tab w:leader="none" w:pos="5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Manager that:</w:t>
      </w:r>
    </w:p>
    <w:p>
      <w:pPr>
        <w:spacing w:after="0" w:line="225" w:lineRule="exact"/>
        <w:rPr>
          <w:rFonts w:ascii="Times New Roman" w:cs="Times New Roman" w:eastAsia="Times New Roman" w:hAnsi="Times New Roman"/>
          <w:sz w:val="18"/>
          <w:szCs w:val="18"/>
          <w:color w:val="auto"/>
        </w:rPr>
      </w:pPr>
    </w:p>
    <w:p>
      <w:pPr>
        <w:ind w:left="4" w:firstLine="644"/>
        <w:spacing w:after="0" w:line="251" w:lineRule="auto"/>
        <w:tabs>
          <w:tab w:leader="none" w:pos="13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not file any amendment of the Registration Statement or supplement in connection with the offering and sale of the Shares (including the Prospectus Supplement or any Interim Prospectus Supplement) to the Base Prospectus, the Disclosure Package or the Prospectus, whether pursuant to the Act, the Exchange Act or otherwise, unless (i) the Company has furnished to the Manager a copy of such amendment or supplement (including, for the avoidance of doubt, reports or other information to be filed by the Company under the Exchange Act and relating to the Shares that would be incorporated by reference into the Registration Statement and the Prospectus) for its review a reasonable period of time prior to filing; and (ii) the Company will not file any such proposed amendment or supplement to which the Manager reasonably objects. The Company will cause any supplement to the Prospectus to be prepared, in a form approved by the Manager in their reasonable judgment, and will file such supplement with the Commission pursuant to the applicable paragraph of Rule 424(b) within the time period prescribed thereby and will notify the Manager of such timely filing. The Company, subject to this Section 4(a) and Section 4(c), will comply with the requirements of Rule 430B. During any period when the delivery of a prospectus relating to the Shares is required (including in circumstances where such requirement may be satisfied pursuant to Rule 172 or any similar rule) to be delivered under the Act in connection with the offering or sale of the Shares, or during any period on or after the delivery of a Placement Notice but prior to the final Settlement Date with respect to Shares sold pursuant to such Placement Notice (or, if the Placement Notice has been terminated or suspended prior to the sale of all Shares covered by a Placement Notice, the later of the date of such suspension or termination or the final Settlement Date with respect to any Shares sold thereto) (such period, the “</w:t>
      </w:r>
      <w:r>
        <w:rPr>
          <w:rFonts w:ascii="Times New Roman" w:cs="Times New Roman" w:eastAsia="Times New Roman" w:hAnsi="Times New Roman"/>
          <w:sz w:val="18"/>
          <w:szCs w:val="18"/>
          <w:b w:val="1"/>
          <w:bCs w:val="1"/>
          <w:color w:val="auto"/>
        </w:rPr>
        <w:t>Placement Notice Period</w:t>
      </w:r>
      <w:r>
        <w:rPr>
          <w:rFonts w:ascii="Times New Roman" w:cs="Times New Roman" w:eastAsia="Times New Roman" w:hAnsi="Times New Roman"/>
          <w:sz w:val="18"/>
          <w:szCs w:val="18"/>
          <w:color w:val="auto"/>
        </w:rPr>
        <w:t>”) the Company will promptly advise the Manager (A) when any amendment to the Registration Statement or filing of a Prospectus and any supplement thereto or any new registration statement relating to the Shares shall have been filed or become effective (other than a prospectus supplement relating solely to the offering of securities other than the Shares), (B) of the receipt of any comments from the Commission relating to the Registration Statement or the Prospectus, (C) of any request by the Commission or its staff for any amendment of the Registration Statement, or for any supplement to the Prospectus or for any additional information related to the Registration Statement or the Prospectus, (D) of the issuance by the Commission of any stop order suspending the effectiveness of the Registration Statement or of any notice objecting to its use or any the issuance of any order preventing or suspending the use of the Prospectus or any amendment or supplement thereto, or the institution or threatening of any proceeding for any of such purposes or pursuant to Section 8A of the Act or (E) of the receipt by the Company of any notification with respect to the suspension of the qualification of the Shares for sale in any jurisdiction or the institution or threatening of any proceeding for such purpose. The Company will promptly use commercially reasonable efforts to prevent the issuance of any such stop order or the occurrence of any such suspension or objection to the use of the Registration Statement and, upon such issuance, occurrence or notice of objection, to obtain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4" w:name="page25"/>
    <w:bookmarkEnd w:id="24"/>
    <w:p>
      <w:pPr>
        <w:ind w:left="-460" w:right="20" w:firstLine="644"/>
        <w:spacing w:after="0" w:line="277" w:lineRule="auto"/>
        <w:tabs>
          <w:tab w:leader="none" w:pos="84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during any Placement Notice Period,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Disclosure Package may cease until it is amended or supplemented; (ii) amend or supplement the Disclosure Package to correct such statement or omission; and (iii) supply any amendment or supplement to the Manager in such quantities as the Manager may reasonably request.</w:t>
      </w:r>
    </w:p>
    <w:p>
      <w:pPr>
        <w:spacing w:after="0" w:line="167" w:lineRule="exact"/>
        <w:rPr>
          <w:rFonts w:ascii="Times New Roman" w:cs="Times New Roman" w:eastAsia="Times New Roman" w:hAnsi="Times New Roman"/>
          <w:sz w:val="17"/>
          <w:szCs w:val="17"/>
          <w:color w:val="auto"/>
        </w:rPr>
      </w:pPr>
    </w:p>
    <w:p>
      <w:pPr>
        <w:ind w:left="-460" w:right="80" w:firstLine="644"/>
        <w:spacing w:after="0" w:line="253" w:lineRule="auto"/>
        <w:tabs>
          <w:tab w:leader="none" w:pos="8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or any similar rule) to be delivered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(ii) prepare and file with the Commission, subject to the first sentence of paragraph (a) of this Section 4,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if applicable, in order to avoid any disruption in use of the Prospectus and (iv) supply any supplemented Prospectus to the Manager in such quantities as the Manager may reasonably request.</w:t>
      </w:r>
    </w:p>
    <w:p>
      <w:pPr>
        <w:spacing w:after="0" w:line="191" w:lineRule="exact"/>
        <w:rPr>
          <w:rFonts w:ascii="Times New Roman" w:cs="Times New Roman" w:eastAsia="Times New Roman" w:hAnsi="Times New Roman"/>
          <w:sz w:val="18"/>
          <w:szCs w:val="18"/>
          <w:color w:val="auto"/>
        </w:rPr>
      </w:pPr>
    </w:p>
    <w:p>
      <w:pPr>
        <w:ind w:left="-460" w:firstLine="644"/>
        <w:spacing w:after="0" w:line="266" w:lineRule="auto"/>
        <w:tabs>
          <w:tab w:leader="none" w:pos="8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(which may be by filing with the Commission pursuant to EDGAR) to its security holders and to the Manager an earnings statement or statements of the Company and its subsidiaries which will satisfy the provisions of Section 11(a) of the Act and Rule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25" w:name="page26"/>
    <w:bookmarkEnd w:id="25"/>
    <w:p>
      <w:pPr>
        <w:ind w:left="-460" w:firstLine="644"/>
        <w:spacing w:after="0" w:line="256" w:lineRule="auto"/>
        <w:tabs>
          <w:tab w:leader="none" w:pos="8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the Manager and counsel for the Manager, without charge, for so long as delivery of a prospectus by the Manager or dealer may be required by the Act (including in circumstances where such requirement may be satisfied pursuant to Rule 172 or any similar rule), as the Manager or counsel for the Manager may reasonably request, copies of the Registration Statement as originally filed and of each amendment thereto (including exhibits filed therewith or incorporated by reference therein and documents incorporated or deemed to be incorporated by reference therein). The Registration Statement and each amendment thereto furnished to the Manager will be identical to any electronically transmitted copies thereof filed with the Commission pursuant to EDGAR, except to the extent permitted by Regulation S-T.</w:t>
      </w:r>
    </w:p>
    <w:p>
      <w:pPr>
        <w:spacing w:after="0" w:line="187" w:lineRule="exact"/>
        <w:rPr>
          <w:rFonts w:ascii="Times New Roman" w:cs="Times New Roman" w:eastAsia="Times New Roman" w:hAnsi="Times New Roman"/>
          <w:sz w:val="18"/>
          <w:szCs w:val="18"/>
          <w:color w:val="auto"/>
        </w:rPr>
      </w:pPr>
    </w:p>
    <w:p>
      <w:pPr>
        <w:ind w:left="-460" w:firstLine="644"/>
        <w:spacing w:after="0" w:line="256" w:lineRule="auto"/>
        <w:tabs>
          <w:tab w:leader="none" w:pos="8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the Manager and counsel for the Manager, without charge, for so long as delivery of a prospectus by the Manager or dealer may be required by the Act (including in circumstances where such requirement may be satisfied pursuant to Rule 172 or any similar rule), as many copies of the Prospectus and each Issuer Free Writing Prospectus, if any, and any supplement thereto as the Manager may reasonably request. The Prospectus and any Issuer Free Writing Prospectus and any amendments or supplements thereto furnished to the Manager will be identical to any electronically transmitted copies thereof filed with the Commission pursuant to EDGAR, except to the extent permitted by Regulation S-T.</w:t>
      </w:r>
    </w:p>
    <w:p>
      <w:pPr>
        <w:spacing w:after="0" w:line="187" w:lineRule="exact"/>
        <w:rPr>
          <w:rFonts w:ascii="Times New Roman" w:cs="Times New Roman" w:eastAsia="Times New Roman" w:hAnsi="Times New Roman"/>
          <w:sz w:val="18"/>
          <w:szCs w:val="18"/>
          <w:color w:val="auto"/>
        </w:rPr>
      </w:pPr>
    </w:p>
    <w:p>
      <w:pPr>
        <w:ind w:left="-460" w:right="240" w:firstLine="644"/>
        <w:spacing w:after="0" w:line="256" w:lineRule="auto"/>
        <w:tabs>
          <w:tab w:leader="none" w:pos="8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commercially reasonable efforts to arrange, if necessary, for the qualification of the Shares for sale (or exemption from such qualification) under the laws of such jurisdictions as the Manager may reasonably designate and will maintain such qualifications or exemptions in effect so long as required for the distribution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or where it would be subject to taxation as a foreign business.</w:t>
      </w:r>
    </w:p>
    <w:p>
      <w:pPr>
        <w:spacing w:after="0" w:line="187" w:lineRule="exact"/>
        <w:rPr>
          <w:rFonts w:ascii="Times New Roman" w:cs="Times New Roman" w:eastAsia="Times New Roman" w:hAnsi="Times New Roman"/>
          <w:sz w:val="18"/>
          <w:szCs w:val="18"/>
          <w:color w:val="auto"/>
        </w:rPr>
      </w:pPr>
    </w:p>
    <w:p>
      <w:pPr>
        <w:ind w:left="-460" w:right="80" w:firstLine="644"/>
        <w:spacing w:after="0" w:line="254" w:lineRule="auto"/>
        <w:tabs>
          <w:tab w:leader="none" w:pos="8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unless it has or shall have obtained the prior written consent of the Manager, and the Manager agrees with the Company that (i) until it is no longer an “ineligible issuer” as defined in Rule 405 under the Act, and (ii) unless it shall have obtained the prior written consent of the Manager, it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and the Company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agrees that (i) it will treat each Permitted Free Writing Prospectus as an Issuer Free Writing Prospectus and (ii) it will comply with the requirements of Rules 164 and 433 applicable to any Permitted Free Writing Prospectus, including in respect of timely filing with the Commission, legending and record keeping.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244475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6" w:name="page27"/>
    <w:bookmarkEnd w:id="26"/>
    <w:p>
      <w:pPr>
        <w:jc w:val="both"/>
        <w:ind w:left="-460" w:right="220" w:firstLine="644"/>
        <w:spacing w:after="0" w:line="266" w:lineRule="auto"/>
        <w:tabs>
          <w:tab w:leader="none" w:pos="8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 take, directly or indirectly, any action designed to or that might reasonably be expected to cause or result in stabilization or manipulation of the price of any security of the Company to facilitate the sale or resale of the Shares or (ii) sell, bid for, purchase or pay any person (other than as contemplated by this Agreement) any compensation for soliciting purchases of the Shares.</w:t>
      </w:r>
    </w:p>
    <w:p>
      <w:pPr>
        <w:spacing w:after="0" w:line="175" w:lineRule="exact"/>
        <w:rPr>
          <w:rFonts w:ascii="Times New Roman" w:cs="Times New Roman" w:eastAsia="Times New Roman" w:hAnsi="Times New Roman"/>
          <w:sz w:val="18"/>
          <w:szCs w:val="18"/>
          <w:color w:val="auto"/>
        </w:rPr>
      </w:pPr>
    </w:p>
    <w:p>
      <w:pPr>
        <w:ind w:left="-460" w:right="420" w:firstLine="644"/>
        <w:spacing w:after="0" w:line="266" w:lineRule="auto"/>
        <w:tabs>
          <w:tab w:leader="none" w:pos="8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any time during the term of this Agreement, as supplemented from time to time, advise the Manager promptly after it shall have received notice or obtain knowledge thereof, of any information or fact that would materially alter or affect any opinion, certificate, letter and other document provided to the Manager pursuant to Section 6 herein.</w:t>
      </w:r>
    </w:p>
    <w:p>
      <w:pPr>
        <w:spacing w:after="0" w:line="175" w:lineRule="exact"/>
        <w:rPr>
          <w:rFonts w:ascii="Times New Roman" w:cs="Times New Roman" w:eastAsia="Times New Roman" w:hAnsi="Times New Roman"/>
          <w:sz w:val="18"/>
          <w:szCs w:val="18"/>
          <w:color w:val="auto"/>
        </w:rPr>
      </w:pPr>
    </w:p>
    <w:p>
      <w:pPr>
        <w:ind w:left="-460" w:firstLine="644"/>
        <w:spacing w:after="0" w:line="252" w:lineRule="auto"/>
        <w:tabs>
          <w:tab w:leader="none" w:pos="8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the Shares under this Agreement (if reasonably requested by the Manager and upon the recommencement of the offering of the Shares under this Agreement following the termination of a suspension of sales hereunder), and each time that (i) the Registration Statement or the Prospectus shall be amended or supplemented (other than by (A) an Interim Prospectus Supplement filed pursuant to Rule 424(b) pursuant to Section 4(t) of this Agreement, (B) a prospectus supplement relating solely to the offering or resale of securities other than the Shares or (C) the filing with the Commission of any report under the Exchange Act except such reports referred to in Section 4(t)(ii)), (ii) there is filed with the Commission any Annual Report on Form 10-K or Quarterly Report on Form 10-Q, or any other document that contains financial statements or financial information that is incorporated by reference into the Prospectus, or any amendment thereto, or (iii) promptly after each reasonable request by the Manager during a fiscal quarter in which the Company either intends to deliver a Placement Notice or during any Placement Notice Period (the date of each such recommencement and the date of each such event referred to in (i), (ii) and (iii) above,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the Company shall furnish or cause to be furnished to the Manager forthwith a certificate dated and delivered on such Representation Date, as the case may be, in form reasonably satisfactory to the Manager to the effect that the statements contained in the certificate referred to in Section 6(e) of this Agreement which were last furnished to the Manager are true and correct at the time of such Representation Date,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6(e), modified as necessary to relate to the Registration Statement, the Disclosure Package and the Prospectus as amended and supplemented to the time of delivery of such certificate.</w:t>
      </w:r>
    </w:p>
    <w:p>
      <w:pPr>
        <w:spacing w:after="0" w:line="194" w:lineRule="exact"/>
        <w:rPr>
          <w:rFonts w:ascii="Times New Roman" w:cs="Times New Roman" w:eastAsia="Times New Roman" w:hAnsi="Times New Roman"/>
          <w:sz w:val="18"/>
          <w:szCs w:val="18"/>
          <w:color w:val="auto"/>
        </w:rPr>
      </w:pPr>
    </w:p>
    <w:p>
      <w:pPr>
        <w:ind w:left="-460" w:right="20" w:firstLine="644"/>
        <w:spacing w:after="0" w:line="258" w:lineRule="auto"/>
        <w:tabs>
          <w:tab w:leader="none" w:pos="8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the Company shall furnish or cause to be furnished forthwith to the Manager and to counsel to the Manager a written opinion and negative assurance letter of DLA Piper LLP (US), counsel to the Company (“</w:t>
      </w:r>
      <w:r>
        <w:rPr>
          <w:rFonts w:ascii="Times New Roman" w:cs="Times New Roman" w:eastAsia="Times New Roman" w:hAnsi="Times New Roman"/>
          <w:sz w:val="18"/>
          <w:szCs w:val="18"/>
          <w:b w:val="1"/>
          <w:bCs w:val="1"/>
          <w:color w:val="auto"/>
        </w:rPr>
        <w:t>Company Counsel</w:t>
      </w:r>
      <w:r>
        <w:rPr>
          <w:rFonts w:ascii="Times New Roman" w:cs="Times New Roman" w:eastAsia="Times New Roman" w:hAnsi="Times New Roman"/>
          <w:sz w:val="18"/>
          <w:szCs w:val="18"/>
          <w:color w:val="auto"/>
        </w:rPr>
        <w:t>”), or other counsel reasonably satisfactory to the Manager, dated and delivered on such Representation Date, in form and substance reasonably satisfactory to the Manager, of the same tenor as the opinion referred to in Section 6(b) of this Agreement, but modified as necessary to relate to the Registration Statement, the Disclosure Package and the Prospectus as amended and supplemented to the time of delivery of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239395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27" w:name="page28"/>
    <w:bookmarkEnd w:id="27"/>
    <w:p>
      <w:pPr>
        <w:ind w:left="-460" w:firstLine="644"/>
        <w:spacing w:after="0" w:line="261" w:lineRule="auto"/>
        <w:tabs>
          <w:tab w:leader="none" w:pos="8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Goodwin Procter LLP, counsel to the Manager, shall deliver a written opinion and negative assurance letter, dated and delivered on such Representation Date, in form and substance satisfactory to the Manager, of the same tenor as the opinions and negative assurance referred to in Section 6(c) of this Agreement but modified as necessary to relate to the Registration Statement, the Disclosure Package and the Prospectus as amended and supplemented to the time of delivery of such opinion.</w:t>
      </w:r>
    </w:p>
    <w:p>
      <w:pPr>
        <w:spacing w:after="0" w:line="179" w:lineRule="exact"/>
        <w:rPr>
          <w:rFonts w:ascii="Times New Roman" w:cs="Times New Roman" w:eastAsia="Times New Roman" w:hAnsi="Times New Roman"/>
          <w:sz w:val="18"/>
          <w:szCs w:val="18"/>
          <w:color w:val="auto"/>
        </w:rPr>
      </w:pPr>
    </w:p>
    <w:p>
      <w:pPr>
        <w:ind w:left="-460" w:right="40" w:firstLine="644"/>
        <w:spacing w:after="0" w:line="258" w:lineRule="auto"/>
        <w:tabs>
          <w:tab w:leader="none" w:pos="8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Wolf, Greenfield &amp; Sacks, P.C., IP counsel to the Company, or other intellectual property counsel reasonably satisfactory to the Manager (“</w:t>
      </w:r>
      <w:r>
        <w:rPr>
          <w:rFonts w:ascii="Times New Roman" w:cs="Times New Roman" w:eastAsia="Times New Roman" w:hAnsi="Times New Roman"/>
          <w:sz w:val="18"/>
          <w:szCs w:val="18"/>
          <w:b w:val="1"/>
          <w:bCs w:val="1"/>
          <w:color w:val="auto"/>
        </w:rPr>
        <w:t>IP Counsel</w:t>
      </w:r>
      <w:r>
        <w:rPr>
          <w:rFonts w:ascii="Times New Roman" w:cs="Times New Roman" w:eastAsia="Times New Roman" w:hAnsi="Times New Roman"/>
          <w:sz w:val="18"/>
          <w:szCs w:val="18"/>
          <w:color w:val="auto"/>
        </w:rPr>
        <w:t>”), shall deliver a written opinion reasonably satisfactory to the Manager, dated and delivered on such Representation Date, in form and substance reasonably satisfactory to the Manager, of the same tenor as the opinion referenced in Section 6(d) of this Agreement but modified as necessary to relate to the Registration Statement, the Disclosure Package and the Prospectus as amended and supplemented at the time of delivery of such opinion.</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59" w:lineRule="auto"/>
        <w:tabs>
          <w:tab w:leader="none" w:pos="8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the Company shall cause each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and Deloitte &amp; Touche LLP (“</w:t>
      </w:r>
      <w:r>
        <w:rPr>
          <w:rFonts w:ascii="Times New Roman" w:cs="Times New Roman" w:eastAsia="Times New Roman" w:hAnsi="Times New Roman"/>
          <w:sz w:val="18"/>
          <w:szCs w:val="18"/>
          <w:b w:val="1"/>
          <w:bCs w:val="1"/>
          <w:color w:val="auto"/>
        </w:rPr>
        <w:t>Deloitte</w:t>
      </w:r>
      <w:r>
        <w:rPr>
          <w:rFonts w:ascii="Times New Roman" w:cs="Times New Roman" w:eastAsia="Times New Roman" w:hAnsi="Times New Roman"/>
          <w:sz w:val="18"/>
          <w:szCs w:val="18"/>
          <w:color w:val="auto"/>
        </w:rPr>
        <w:t>”), or other independent accountants satisfactory to the Manager forthwith, to furnish the Manager a letter, dated and delivered on such Representation Date, in form and substance reasonably satisfactory to the Manager of the same tenor as the letter referred to in Section 6(f) of this Agreement but modified to relate to the Registration Statement, the Disclosure Package and the Prospectus, as amended and supplemented to the date of such letter.</w:t>
      </w:r>
    </w:p>
    <w:p>
      <w:pPr>
        <w:spacing w:after="0" w:line="183" w:lineRule="exact"/>
        <w:rPr>
          <w:rFonts w:ascii="Times New Roman" w:cs="Times New Roman" w:eastAsia="Times New Roman" w:hAnsi="Times New Roman"/>
          <w:sz w:val="18"/>
          <w:szCs w:val="18"/>
          <w:color w:val="auto"/>
        </w:rPr>
      </w:pPr>
    </w:p>
    <w:p>
      <w:pPr>
        <w:ind w:left="-460" w:right="100" w:firstLine="644"/>
        <w:spacing w:after="0" w:line="258" w:lineRule="auto"/>
        <w:tabs>
          <w:tab w:leader="none" w:pos="8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Time and prior to any Representation Date, counsel for the Manager shall have been furnished with such documents and certificates as they may reasonably require for the purpose of enabling them to render the opinions or make the statements requested by the Manager, or in order to evidence the accuracy of any of the representations or warranties, or the fulfillment of any of the covenants, obligations or conditions, contained herein; and all proceedings taken by the Company in connection with the issuance and sale of the Shares as contemplated herein shall be satisfactory in form and substance to the Manager and counsel for the Manager.</w:t>
      </w:r>
    </w:p>
    <w:p>
      <w:pPr>
        <w:spacing w:after="0" w:line="183" w:lineRule="exact"/>
        <w:rPr>
          <w:rFonts w:ascii="Times New Roman" w:cs="Times New Roman" w:eastAsia="Times New Roman" w:hAnsi="Times New Roman"/>
          <w:sz w:val="18"/>
          <w:szCs w:val="18"/>
          <w:color w:val="auto"/>
        </w:rPr>
      </w:pPr>
    </w:p>
    <w:p>
      <w:pPr>
        <w:ind w:left="-460" w:right="100" w:firstLine="644"/>
        <w:spacing w:after="0" w:line="255" w:lineRule="auto"/>
        <w:tabs>
          <w:tab w:leader="none" w:pos="8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and at such other times as may be reasonably requested by the Manager upon the provision of reasonable notice, the Company shall be required to conduct one or more due diligence sessions, in form and substance reasonably satisfactory to the Manager, which shall include representatives of the management of the Company and the independent accountants of the Company. Such sessions may be held on a periodic basis, determined solely in the Manager’s discretion, if reasonably requested by the Manager. The Company shall cooperate timely with any reasonable due diligence request from or review conducted by the Manager or its respective agents from time to time in connection with the transactions contemplated by this Agreement, including, without limitation, providing information and available documents and access to appropriate officers and agents of the Company during regular business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28" w:name="page29"/>
    <w:bookmarkEnd w:id="28"/>
    <w:p>
      <w:pPr>
        <w:ind w:left="-460" w:firstLine="644"/>
        <w:spacing w:after="0" w:line="255" w:lineRule="auto"/>
        <w:tabs>
          <w:tab w:leader="none" w:pos="8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sales of Shares pursuant to the Agreement shall occur without the receipt by the Manager of each opinion, letter, certificate and other document specified in Section 4(l) through (p) above, unless otherwise waived by the Manager. The requirement to provide any such opinion, letter, certificate and other document shall be automatically waived for any Representation Date occurring at a time at which no Placement Notice is in effect and the Company does not expect to deliver a Placement Notice during the applicable fiscal quarter, which waiver shall continue until the earlier to occur of the date the Company delivers a Placement Notice hereunder (which for such fiscal quarter shall be considered a Representation Date) and the next occurring Representation Date on which the Company files its Annual Report on Form 10-K.</w:t>
      </w:r>
    </w:p>
    <w:p>
      <w:pPr>
        <w:spacing w:after="0" w:line="188" w:lineRule="exact"/>
        <w:rPr>
          <w:rFonts w:ascii="Times New Roman" w:cs="Times New Roman" w:eastAsia="Times New Roman" w:hAnsi="Times New Roman"/>
          <w:sz w:val="18"/>
          <w:szCs w:val="18"/>
          <w:color w:val="auto"/>
        </w:rPr>
      </w:pPr>
    </w:p>
    <w:p>
      <w:pPr>
        <w:ind w:left="-460" w:right="60" w:firstLine="644"/>
        <w:spacing w:after="0" w:line="266" w:lineRule="auto"/>
        <w:tabs>
          <w:tab w:leader="none" w:pos="8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restrict the Manager from trading, and the Company acknowledges that the Manager may trade in the Common Stock for the Manager’s own account and for the account of its clients before, at the same time as, or after sales of the Shares occur pursuant to this Agreement; provided that any such trades must comply with applicable securities laws.</w:t>
      </w:r>
    </w:p>
    <w:p>
      <w:pPr>
        <w:spacing w:after="0" w:line="175" w:lineRule="exact"/>
        <w:rPr>
          <w:rFonts w:ascii="Times New Roman" w:cs="Times New Roman" w:eastAsia="Times New Roman" w:hAnsi="Times New Roman"/>
          <w:sz w:val="18"/>
          <w:szCs w:val="18"/>
          <w:color w:val="auto"/>
        </w:rPr>
      </w:pPr>
    </w:p>
    <w:p>
      <w:pPr>
        <w:ind w:left="-460" w:right="140" w:firstLine="644"/>
        <w:spacing w:after="0" w:line="253" w:lineRule="auto"/>
        <w:tabs>
          <w:tab w:leader="none" w:pos="8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either (i) disclose in its Annual Reports on Form 10-K and Quarterly Reports on Form 10-Q, as applicable, with regard to the relevant quarter, the number of the Shares sold by or through the Manager pursuant to this Agreement and the Net Proceeds to the Company with respect to such sales of the Shares pursuant to this Agreement, or (ii) on or prior to the earlier of (A) the date on which the Company shall file a Quarterly Report on Form 10-Q or an Annual Report on Form 10-K in respect of any fiscal quarter in which sales of Shares were made by the Manager pursuant to this Agreement and (B) the date on which the Company shall be obligated to file such document referred to in clause (A) in respect of such quarter (each such date, and any date on which an amendment to any such document is filed, a “</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the Company will file an Interim Prospectus Supplement with the Commission under the applicable paragraph of Rule 424(b), which prospectus supplement will set forth, with regard to such quarter, the number of the Shares sold by or through the Manager pursuant to this Agreement and the Net Proceeds to the Company with respect to such sales of the Shares pursuant to this Agreement and deliver such number of copies of each such Interim Prospectus Supplement to Nasdaq as required by such exchange.</w:t>
      </w:r>
    </w:p>
    <w:p>
      <w:pPr>
        <w:spacing w:after="0" w:line="194" w:lineRule="exact"/>
        <w:rPr>
          <w:rFonts w:ascii="Times New Roman" w:cs="Times New Roman" w:eastAsia="Times New Roman" w:hAnsi="Times New Roman"/>
          <w:sz w:val="18"/>
          <w:szCs w:val="18"/>
          <w:color w:val="auto"/>
        </w:rPr>
      </w:pPr>
    </w:p>
    <w:p>
      <w:pPr>
        <w:ind w:left="-460" w:right="440" w:firstLine="644"/>
        <w:spacing w:after="0" w:line="282" w:lineRule="auto"/>
        <w:tabs>
          <w:tab w:leader="none" w:pos="8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to cause the Shares to be listed for trading on the Nasdaq and to maintain such listing.</w:t>
      </w:r>
    </w:p>
    <w:p>
      <w:pPr>
        <w:spacing w:after="0" w:line="161" w:lineRule="exact"/>
        <w:rPr>
          <w:rFonts w:ascii="Times New Roman" w:cs="Times New Roman" w:eastAsia="Times New Roman" w:hAnsi="Times New Roman"/>
          <w:sz w:val="18"/>
          <w:szCs w:val="18"/>
          <w:color w:val="auto"/>
        </w:rPr>
      </w:pPr>
    </w:p>
    <w:p>
      <w:pPr>
        <w:ind w:left="-460" w:right="220" w:firstLine="644"/>
        <w:spacing w:after="0" w:line="289" w:lineRule="auto"/>
        <w:tabs>
          <w:tab w:leader="none" w:pos="84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period when the delivery of a prospectus relating to the Shares is required (including in circumstances where such requirement may be satisfied pursuant to Rule 172 or any similar rule) to be delivered under the Act, the Company shall file, on a timely basis, with the Commission and the Nasdaq all reports and documents required to be filed under the Exchange Act and the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223520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 w:name="page30"/>
    <w:bookmarkEnd w:id="29"/>
    <w:p>
      <w:pPr>
        <w:ind w:left="-460" w:right="180" w:firstLine="644"/>
        <w:spacing w:after="0" w:line="282" w:lineRule="auto"/>
        <w:tabs>
          <w:tab w:leader="none" w:pos="8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Manager and use its reasonable efforts to permit the Shares to be eligible for clearance and settlement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82" w:lineRule="auto"/>
        <w:tabs>
          <w:tab w:leader="none" w:pos="8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in the manner set forth in the Disclosure Package and the Prospectus as described under the caption “Use of Proceeds”.</w:t>
      </w:r>
    </w:p>
    <w:p>
      <w:pPr>
        <w:spacing w:after="0" w:line="161" w:lineRule="exact"/>
        <w:rPr>
          <w:rFonts w:ascii="Times New Roman" w:cs="Times New Roman" w:eastAsia="Times New Roman" w:hAnsi="Times New Roman"/>
          <w:sz w:val="18"/>
          <w:szCs w:val="18"/>
          <w:color w:val="auto"/>
        </w:rPr>
      </w:pPr>
    </w:p>
    <w:p>
      <w:pPr>
        <w:ind w:left="-460" w:firstLine="644"/>
        <w:spacing w:after="0" w:line="252" w:lineRule="auto"/>
        <w:tabs>
          <w:tab w:leader="none" w:pos="8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Manager, the Company will not, directly or indirectly, offer to sell, sell, contract to sell, grant any option to sell or otherwise dispose of any shares of Common Stock (other than the Shares offered pursuant to this Agreement) or securities convertible into or exchangeable or exercisable for shares of Common Stock, warrants or any rights to purchase or acquire shares of Common Stock during the period beginning on the second Trading Day immediately prior to the date on which any Placement Notice is delivered to the Manager hereunder and ending on the second Trading Day immediately following the final Settlement Date with respect to Shares sold pursuant to such Placement Notice (or, if the Placement Notice has been terminated or suspended prior to the sale of all Shares covered by a Placement Notice, the later of the date of such suspension or termination or the final Settlement Date with respect to any Shares sold thereto); and will not directly or indirectly in any other “at the market offering” or continuous equity transaction offer to sell, sell, contract to sell, grant any option to sell or otherwise dispose of any shares of Common Stock (other than the Shares offered pursuant to this Agreement) or securities convertible into or exchangeable or exercisable for shares of Common Stock, warrants or any rights to purchase or acquire, shares of Common Stock prior to the later of the termination of this Agreement and the second Trading Day immediately following the final Settlement Date with respect to Shares sold pursuant to such Placement Notice; provided, however, that such restrictions will not be required in connection with the Company’s issuance or sale of (i) shares of Common Stock, options to purchase shares of Common Stock, other securities under the Company’s equity incentive plans, or shares of Common Stock issuable upon the exercise of options or vesting of other securities, pursuant to any employee or director share option or benefits plan, share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Manager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30" w:name="page31"/>
    <w:bookmarkEnd w:id="30"/>
    <w:p>
      <w:pPr>
        <w:ind w:left="-656" w:firstLine="656"/>
        <w:spacing w:after="0" w:line="252" w:lineRule="auto"/>
        <w:tabs>
          <w:tab w:leader="none" w:pos="5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all reasonable costs, fees and expenses incurred in connection with the performance of its obligations under this Agreement, whether or not the transactions contemplated hereby are consummated, including without limitation (i) all expenses incident to the issuance and delivery of the Shares (including all printing and engraving costs), (ii) all necessary issue, transfer and other stamp taxes in connection with the issuance and sale of the Shares, (iii) all fees and expenses of the Company’s counsel, independent public or certified public accountants and other advisors to the Company, and the reasonable fees and expenses of the Manager’s counsel (which shall be one outside counsel for the Manager unless otherwise agreed by the Company and in an amount not to exceed $75,000), (iv) all costs and expenses incurred in connection with the preparation, printing, filing, shipping and distribution of the Registration Statement (including financial statements, exhibits, schedules, consents and certificates of experts), each Issuer Free Writing Prospectus, if any, and the Prospectus, and all amendments and supplements thereto, and this Agreement, (v) all filing fees, attorneys’ fees and expenses incurred by the Company or the Manager in connection with qualifying or registering (or obtaining exemptions from the qualification or registration of) all or any part of the Shares for offer and sale under the state securities or blue sky laws, and, if reasonably requested by the Manager, preparing a “Blue Sky Survey” or memorandum, and any supplements thereto, advising the Manager of such qualifications, registrations and exemptions, (vi) the filing fees incident to the review and approval by FINRA of the terms of the sale of the Shares, (vii) the fees and expenses associated with listing of the Shares on the Nasdaq, (viii) all fees and expenses of the registrar and transfer agent of the Common Stock, (ix) all fees and expenses (including reasonable fees and expenses of counsel) of the Company in connection with approval of the Shares by DTC for “book-entry” transfer, (x) all other fees, costs and expenses referred to in Item 14 of Part II of the Registration Statement and (xi) all other fees, costs and expenses incurred in connection with the Company’s performance of its obligations hereunder for which provision is not otherwise made in this Section 5. Except as provided in this Section 5 and in Section 7 hereof, the Manager shall pay its own expenses.</w:t>
      </w:r>
    </w:p>
    <w:p>
      <w:pPr>
        <w:spacing w:after="0" w:line="193" w:lineRule="exact"/>
        <w:rPr>
          <w:rFonts w:ascii="Times New Roman" w:cs="Times New Roman" w:eastAsia="Times New Roman" w:hAnsi="Times New Roman"/>
          <w:sz w:val="18"/>
          <w:szCs w:val="18"/>
          <w:color w:val="auto"/>
        </w:rPr>
      </w:pPr>
    </w:p>
    <w:p>
      <w:pPr>
        <w:ind w:left="-656" w:right="60" w:firstLine="656"/>
        <w:spacing w:after="0" w:line="266" w:lineRule="auto"/>
        <w:tabs>
          <w:tab w:leader="none" w:pos="5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Manager</w:t>
      </w:r>
      <w:r>
        <w:rPr>
          <w:rFonts w:ascii="Times New Roman" w:cs="Times New Roman" w:eastAsia="Times New Roman" w:hAnsi="Times New Roman"/>
          <w:sz w:val="18"/>
          <w:szCs w:val="18"/>
          <w:color w:val="auto"/>
        </w:rPr>
        <w:t>. The obligations of the Manager under this Agreement shall be subject to (i) the accuracy of the representations and warranties on the part of the Company contained herein as of the Execution Time, each Representation Date, and as of each Applicable Time and Settlement Date, (ii) to the performance by the Company of its obligations hereunder and (iii) the following additional conditions:</w:t>
      </w:r>
    </w:p>
    <w:p>
      <w:pPr>
        <w:spacing w:after="0" w:line="175" w:lineRule="exact"/>
        <w:rPr>
          <w:rFonts w:ascii="Times New Roman" w:cs="Times New Roman" w:eastAsia="Times New Roman" w:hAnsi="Times New Roman"/>
          <w:sz w:val="18"/>
          <w:szCs w:val="18"/>
          <w:color w:val="auto"/>
        </w:rPr>
      </w:pPr>
    </w:p>
    <w:p>
      <w:pPr>
        <w:ind w:left="4" w:firstLine="644"/>
        <w:spacing w:after="0" w:line="255" w:lineRule="auto"/>
        <w:tabs>
          <w:tab w:leader="none" w:pos="13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4(t) of this Agreement;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to the knowledge of the Company, be threatened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242570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31" w:name="page32"/>
    <w:bookmarkEnd w:id="31"/>
    <w:p>
      <w:pPr>
        <w:ind w:left="-460" w:right="40" w:firstLine="644"/>
        <w:spacing w:after="0" w:line="312" w:lineRule="auto"/>
        <w:tabs>
          <w:tab w:leader="none" w:pos="84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requested and caused Company Counsel to furnish to the Manager, on every date specified in Section 4(l) of this Agreement subject to Section 4(r), a written opinion and disclosure letter in form and substance reasonably satisfactory to the Manager.</w:t>
      </w:r>
    </w:p>
    <w:p>
      <w:pPr>
        <w:spacing w:after="0" w:line="139" w:lineRule="exact"/>
        <w:rPr>
          <w:rFonts w:ascii="Times New Roman" w:cs="Times New Roman" w:eastAsia="Times New Roman" w:hAnsi="Times New Roman"/>
          <w:sz w:val="17"/>
          <w:szCs w:val="17"/>
          <w:color w:val="auto"/>
        </w:rPr>
      </w:pPr>
    </w:p>
    <w:p>
      <w:pPr>
        <w:ind w:left="-460" w:firstLine="644"/>
        <w:spacing w:after="0" w:line="258" w:lineRule="auto"/>
        <w:tabs>
          <w:tab w:leader="none" w:pos="8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from Goodwin Procter LLP, counsel for the Manager, on every date specified in Section 4(m) of this Agreement subject to Section 4(r), such opinion or opinions and disclosure letter or letters, dated as of such date and addressed to the Manager, with respect to the issuance and sale of the Shares, the Registration Statement, the Disclosure Package, the Prospectus (together with any supplement thereto) and other related matters as the Manager may reasonably require, and the Company shall have furnished to such counsel such documents as they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ind w:left="-460" w:right="140" w:firstLine="644"/>
        <w:spacing w:after="0" w:line="261" w:lineRule="auto"/>
        <w:tabs>
          <w:tab w:leader="none" w:pos="8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IP Counsel to furnish to the Manager, on every date specified in Section 4(n) of this Agreement subject to Section 4(r), such written opinions, dated as of such date and addressed to the Manager, with respect to intellectual property matters, and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left="-460" w:right="60" w:firstLine="644"/>
        <w:spacing w:after="0" w:line="258" w:lineRule="auto"/>
        <w:tabs>
          <w:tab w:leader="none" w:pos="8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Manager, on every date specified in Section 4(k) of this Agreement subject to Section 4(r), a certificate of the Company, signed by the chief executive officer or the President of the Company, and by the chief financial or chief accounting officer of the Company, dated as of such date, to the effect that the signers of such certificate have carefully examined the Registration Statement, the Disclosure Package and the Prospectus and any supplements or amendments thereto and this Agreement and that:</w:t>
      </w:r>
    </w:p>
    <w:p>
      <w:pPr>
        <w:spacing w:after="0" w:line="183" w:lineRule="exact"/>
        <w:rPr>
          <w:rFonts w:ascii="Times New Roman" w:cs="Times New Roman" w:eastAsia="Times New Roman" w:hAnsi="Times New Roman"/>
          <w:sz w:val="18"/>
          <w:szCs w:val="18"/>
          <w:color w:val="auto"/>
        </w:rPr>
      </w:pPr>
    </w:p>
    <w:p>
      <w:pPr>
        <w:ind w:left="1480" w:hanging="648"/>
        <w:spacing w:after="0" w:line="266" w:lineRule="auto"/>
        <w:tabs>
          <w:tab w:leader="none" w:pos="14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no stop order suspending the effectiveness of the Registration Statement, and no proceedings for such purpose or pursuant to Section 8A of the Act have been instituted or, to the Company’s knowledge, are threatened by the Commission;</w:t>
      </w:r>
    </w:p>
    <w:p>
      <w:pPr>
        <w:spacing w:after="0" w:line="175" w:lineRule="exact"/>
        <w:rPr>
          <w:rFonts w:ascii="Times New Roman" w:cs="Times New Roman" w:eastAsia="Times New Roman" w:hAnsi="Times New Roman"/>
          <w:sz w:val="18"/>
          <w:szCs w:val="18"/>
          <w:color w:val="auto"/>
        </w:rPr>
      </w:pPr>
    </w:p>
    <w:p>
      <w:pPr>
        <w:ind w:left="1480" w:right="300" w:hanging="648"/>
        <w:spacing w:after="0" w:line="266" w:lineRule="auto"/>
        <w:tabs>
          <w:tab w:leader="none" w:pos="14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incorporated by reference in the Prospectus and the Disclosure Package, there has been no event or condition of a type described in Section 2(l) hereof (a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except as set forth in or contemplated in the Disclosure Package and the Prospectus;</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set forth in Section 2 of this Agreement are true and correct with the same force and effect as though expressly made on and as of such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2" w:name="page33"/>
    <w:bookmarkEnd w:id="32"/>
    <w:p>
      <w:pPr>
        <w:ind w:left="1940" w:hanging="648"/>
        <w:spacing w:after="0" w:line="282" w:lineRule="auto"/>
        <w:tabs>
          <w:tab w:leader="none" w:pos="1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61" w:lineRule="exact"/>
        <w:rPr>
          <w:rFonts w:ascii="Times New Roman" w:cs="Times New Roman" w:eastAsia="Times New Roman" w:hAnsi="Times New Roman"/>
          <w:sz w:val="18"/>
          <w:szCs w:val="18"/>
          <w:color w:val="auto"/>
        </w:rPr>
      </w:pPr>
    </w:p>
    <w:p>
      <w:pPr>
        <w:ind w:right="240" w:firstLine="644"/>
        <w:spacing w:after="0" w:line="255" w:lineRule="auto"/>
        <w:tabs>
          <w:tab w:leader="none" w:pos="13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each of PwC and Deloitte to have furnished to the Manager, on every date specified in Section 4(o) hereof, letters (which may refer to letters previously delivered to the Manager), dated as of such date, in form and substance reasonably satisfactory to the Manager, which letters shall cover, without limitation, the various financial statements and disclosures incorporated by reference in the Registration Statement, the Disclosure Package and the Prospectus and other matters ordinarily covered by accountants’ “comfort letters” to underwriters in connection with registered public offerings as contemplated in AS 6101, as well as confirming that they have performed a review of any unaudited interim financial information of the Company included in the Registration Statement, the Disclosure Package and the Prospectus in accordance with AS 4105.</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References to the Prospectus in this paragraph (f) include any supplement thereto at the date of the letter.</w:t>
      </w:r>
    </w:p>
    <w:p>
      <w:pPr>
        <w:spacing w:after="0" w:line="225" w:lineRule="exact"/>
        <w:rPr>
          <w:sz w:val="20"/>
          <w:szCs w:val="20"/>
          <w:color w:val="auto"/>
        </w:rPr>
      </w:pPr>
    </w:p>
    <w:p>
      <w:pPr>
        <w:ind w:right="80" w:firstLine="644"/>
        <w:spacing w:after="0" w:line="256" w:lineRule="auto"/>
        <w:tabs>
          <w:tab w:leader="none" w:pos="13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disclosed in the Registration Statement, the Disclosure Package and the Prospectus, except as otherwise stated therein, there shall not have been any Material Adverse Change, except as set forth in or contemplated in the Disclosure Package and the Prospectus (exclusive of any amendment or supplement thereto) the effect of which is, in the reasonable judgment of the Manager, so material and adverse as to make it impractical or inadvisable to proceed with the offering or delivery of the Shares as contemplated by the Registration Statement (exclusive of any amendment thereof), the Disclosure Package and the Prospectus (exclusive of any amendment or supplement thereto).</w:t>
      </w:r>
    </w:p>
    <w:p>
      <w:pPr>
        <w:spacing w:after="0" w:line="187"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and reasonableness of the terms and arrangements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6" w:lineRule="exact"/>
        <w:rPr>
          <w:rFonts w:ascii="Times New Roman" w:cs="Times New Roman" w:eastAsia="Times New Roman" w:hAnsi="Times New Roman"/>
          <w:sz w:val="18"/>
          <w:szCs w:val="18"/>
          <w:color w:val="auto"/>
        </w:rPr>
      </w:pPr>
    </w:p>
    <w:p>
      <w:pPr>
        <w:ind w:right="420" w:firstLine="644"/>
        <w:spacing w:after="0" w:line="282" w:lineRule="auto"/>
        <w:tabs>
          <w:tab w:leader="none" w:pos="13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listed and admitted and authorized for trading on the Nasdaq, and satisfactory evidence of such actions shall have been provided to the Manager.</w:t>
      </w:r>
    </w:p>
    <w:p>
      <w:pPr>
        <w:spacing w:after="0" w:line="161" w:lineRule="exact"/>
        <w:rPr>
          <w:rFonts w:ascii="Times New Roman" w:cs="Times New Roman" w:eastAsia="Times New Roman" w:hAnsi="Times New Roman"/>
          <w:sz w:val="18"/>
          <w:szCs w:val="18"/>
          <w:color w:val="auto"/>
        </w:rPr>
      </w:pPr>
    </w:p>
    <w:p>
      <w:pPr>
        <w:ind w:right="60" w:firstLine="644"/>
        <w:spacing w:after="0" w:line="258" w:lineRule="auto"/>
        <w:tabs>
          <w:tab w:leader="none" w:pos="13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Manager, on every date specified in Section 4(k) of this Agreement (beginning with the filing by the Company with the Commission of its Annual Report on Form 10-K for the fiscal year ended December 31, 2024), a certificate of the Company, signed by the chief financial officer or similar officer of the Company, dated as of such date, in form and substance satisfactory to the Manager providing “management comfort” with respect to certain financial information included in the Registration Statement and the Prospectus,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239395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3" w:name="page34"/>
    <w:bookmarkEnd w:id="33"/>
    <w:p>
      <w:pPr>
        <w:ind w:left="660" w:right="480" w:firstLine="644"/>
        <w:spacing w:after="0" w:line="282" w:lineRule="auto"/>
        <w:tabs>
          <w:tab w:leader="none" w:pos="19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Settlement Date, the Company shall have furnished to the Manager such further information, certificates and documents as the Manager may reasonably request.</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by the Manager. Notice of such cancellation shall be given to the Company in writing or by telephone or facsimile confirmed in writing.</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Goodwin Procter LLP, counsel for the Manager, at The New York Times Building, 620 Eighth Avenue, New York, New York 10018, on each such date as provided in this Agreement.</w:t>
      </w:r>
    </w:p>
    <w:p>
      <w:pPr>
        <w:spacing w:after="0" w:line="162" w:lineRule="exact"/>
        <w:rPr>
          <w:sz w:val="20"/>
          <w:szCs w:val="20"/>
          <w:color w:val="auto"/>
        </w:rPr>
      </w:pPr>
    </w:p>
    <w:p>
      <w:pPr>
        <w:ind w:left="1240" w:hanging="584"/>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52" w:lineRule="auto"/>
        <w:tabs>
          <w:tab w:leader="none" w:pos="19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Manager, its affiliates, as such term is defined in Rule 501(b) under the Act (each,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the directors, officers, employees and agents of the Manager, any broker dealer affiliate of the Manager through which Shares are sold, and each person who controls the Manager within the meaning of either the Act or the Exchange Act and against any loss, claim, damage, liability or expense, as incurred, to which they or any of them may become subject under the Act, the Exchange Act or other federal or state statutory law or regulation, at common law or otherwise (including in settlement of any litigation, if such settlement is effected with the written consent of the Company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and agrees to reimburse each such indemnified party, for any and all expenses (including the reasonable fees and disbursements of counsel chosen by the indemnified party) as such expenses are reasonably incurred by them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arising out of or based upon any untrue statement or alleged untrue statement or omission or alleged omission made in reliance upon and in conformity with written information furnished to the Company by or on behalf of the Manager expressly for use in the Registration Statement (or any amendment thereto), any Issuer Free Writing Prospectus or the Prospectus (or any amendment or supplement thereto). This indemnity agreement will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60" w:firstLine="644"/>
        <w:spacing w:after="0" w:line="252" w:lineRule="auto"/>
        <w:tabs>
          <w:tab w:leader="none" w:pos="8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agrees to indemnify and hold harmless the Company, each of its directors, each of its officers who signed the Registration Statement and each person, if any, who controls the Company within the meaning of the Act or the Exchange Act, against any loss, claim, damage, liability or expense, as incurred, to which the Company or any such director, officer or controlling person may become subject, under the Act, the Exchange Act, or other federal or state statutory law or regulation, or at common law or otherwise (including in settlement of any litigation, if such settlement is effected with the written consent of the Manager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the Base Prospectus, any Issuer Free Writing Prospectus, any Prospectus Supplement or any Interim Prospectus Supplement (or any amendment or supplement thereto), in reliance upon and in conformity with written information furnished to the Company by the Manager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Company acknowledges that with respect to the Manager, (i) the name of the Manager and (ii) the last two sentences of the second paragraph, the first sentence of the fifth paragraph and the ninth paragraph under “Plan of Distribution” constitute the only information furnished in writing by or on behalf of the Manager for inclusion in the Registration Statement, the Base Prospectus, any Prospectus Supplement or any Interim Prospectus Supplement (or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35" w:name="page36"/>
    <w:bookmarkEnd w:id="35"/>
    <w:p>
      <w:pPr>
        <w:ind w:left="-460" w:firstLine="644"/>
        <w:spacing w:after="0" w:line="251" w:lineRule="auto"/>
        <w:tabs>
          <w:tab w:leader="none" w:pos="8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paragraph (a) or (b) above or to the extent it is not prejudiced (through the forfeiture of substantive rights or defenses)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shall not be liable for the expenses of more than one separate counsel (together with local counsel), approved by the indemnifying party (the Manager in the case of Section 7(b) and Section 7(e)), representing the indemnified parties who are parties to such action),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or (iii) the indemnifying party shall authorize the indemnified party to employ separate counsel at the expense of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6" w:name="page37"/>
    <w:bookmarkEnd w:id="36"/>
    <w:p>
      <w:pPr>
        <w:ind w:left="660" w:right="20" w:firstLine="644"/>
        <w:spacing w:after="0" w:line="253" w:lineRule="auto"/>
        <w:tabs>
          <w:tab w:leader="none" w:pos="196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7(c) hereof,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87" w:lineRule="exact"/>
        <w:rPr>
          <w:rFonts w:ascii="Times New Roman" w:cs="Times New Roman" w:eastAsia="Times New Roman" w:hAnsi="Times New Roman"/>
          <w:sz w:val="18"/>
          <w:szCs w:val="18"/>
          <w:color w:val="auto"/>
        </w:rPr>
      </w:pPr>
    </w:p>
    <w:p>
      <w:pPr>
        <w:ind w:left="660" w:firstLine="644"/>
        <w:spacing w:after="0" w:line="269" w:lineRule="auto"/>
        <w:tabs>
          <w:tab w:leader="none" w:pos="195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7 is for any reason held to be unavailable to or is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Manager, on the other hand, from the offering of the Shares pursuant to this Agreement, or (ii) if the allocation provided by clause</w:t>
      </w:r>
    </w:p>
    <w:p>
      <w:pPr>
        <w:spacing w:after="0" w:line="2" w:lineRule="exact"/>
        <w:rPr>
          <w:rFonts w:ascii="Times New Roman" w:cs="Times New Roman" w:eastAsia="Times New Roman" w:hAnsi="Times New Roman"/>
          <w:sz w:val="17"/>
          <w:szCs w:val="17"/>
          <w:color w:val="auto"/>
        </w:rPr>
      </w:pPr>
    </w:p>
    <w:p>
      <w:pPr>
        <w:ind w:left="660" w:right="60" w:hanging="4"/>
        <w:spacing w:after="0" w:line="268" w:lineRule="auto"/>
        <w:tabs>
          <w:tab w:leader="none" w:pos="87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is not permitted by applicable law, in such proportion as is appropriate to reflect not only the relative benefits referred to in clause (i) above but also the relative fault of the Company, on the one hand, and the Manager, on the other hand, in connection with the statements or omissions which resulted in such losses, claims, damages, liabilities or expenses, as well as any other relevant equitable considerations. The relative benefits received by the Company shall be deemed to be equal to the total net proceeds from the offering (net of compensation paid to the Manager but before deducting expenses) received by the Company, and benefits received by the Manager shall be deemed to be equal to the total compensation received by the Manager under Section 3(c) of this Agreement, in each case as determined by this Agreement. The relative fault of the Company, on the one hand, and the Manager, on the other hand, shall be determined by reference to, among other things, whether any such untrue or alleged untrue statement of a material fact or omission or alleged omission to state a material fact, on the one hand, or the Manager, on the other hand, and the parties’ relative intent, knowledge, access to information and opportunity to correct or prevent such statement or omission.</w:t>
      </w:r>
    </w:p>
    <w:p>
      <w:pPr>
        <w:spacing w:after="0" w:line="17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7(c), any legal or other fees or expenses reasonably incurred by such party in connection with investigating or defending any action or claim. The provisions set forth in Section 7(c) with respect to notice of commencement of any action shall apply if a claim for contribution is to be made under this Section 7(e);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additional notice shall be required with respect to any action for which notice has been given under Section 7(c)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Manager agree that it would not be just and equitable if contribution pursuant to this Section 7(e) were determined by pro rata allocation or by any other method of allocation which does not take account of the equitable considerations referred to in this Section 7(e).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provisions of this Section 7(e), the Manager shall be required to contribute any amount in excess of the discounts and compensation received by the Manager pursuant to this Agreement in connection with the Shares sold by it pursuant to this Agreement (less the aggregate amount of any damages or other amounts the Manager has otherwise been required to pay in respect thereof (pursuant to Section 7(b) or otherwise)). No person guilty of fraudulent misrepresentation (within the meaning of Section 11(f) of the Act) shall be entitled to contribution from any person who was not guilty of such fraudulent misrepresentation. For purposes of this Section 7(e), each Affiliate, director, officer, employee and agent of the Manager, and each person, if any, who controls the Manager within the meaning of the Act and the Exchange Act shall have the same rights to contribution as the Manager, and each director of the Company or each officer of the Company who signed the Registration Statement, and each person, if any, who controls the Company within the meaning of the Act and the Exchange Act shall have the same rights to contribution as the Company.</w:t>
      </w:r>
    </w:p>
    <w:p>
      <w:pPr>
        <w:spacing w:after="0" w:line="192" w:lineRule="exact"/>
        <w:rPr>
          <w:sz w:val="20"/>
          <w:szCs w:val="20"/>
          <w:color w:val="auto"/>
        </w:rPr>
      </w:pPr>
    </w:p>
    <w:p>
      <w:pPr>
        <w:ind w:left="1240" w:hanging="584"/>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9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this Agreement in its sole discretion at any time. Any such termination shall be without liability of any party to any other party except that (i) with respect to any pending sale of Shares, through the Manager for the Company, the obligations of the Company, including in respect of compensation of the Manager, shall remain in full force and effect notwithstanding the termination and (ii) the provisions of Sections 5, 7, 9, 10, 12, 14, 15 and 16 of this Agreement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6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the right, by giving written notice as hereinafter specified, to terminate this Agreement at any time. Any such termination shall be without liability of any party to any other party except that the provisions of Sections 5,7, 9, 10, 12, 14, 15 and 16 of this Agreement shall remain in full force and effect with respect to the Manager notwithstanding such termination.</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1" w:lineRule="auto"/>
        <w:tabs>
          <w:tab w:leader="none" w:pos="19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8(a) or (b) above or otherwise by mutual agreement of the parties or upon settlement of the sale of all Shares in the aggregate in one or more offerings;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termination by mutual agreement shall in all cases be deemed to provide that Sections 5, 7, 9, 10, 12, 14, 15 and 16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ind w:left="660" w:right="260" w:firstLine="644"/>
        <w:spacing w:after="0" w:line="266" w:lineRule="auto"/>
        <w:tabs>
          <w:tab w:leader="none" w:pos="196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If such termination shall occur prior to the Settlement Date for any sale of the Shares, such sale shall, subject to Section 6 hereof, settle in accordance with the provisions of Section 3(e) of this Agreement.</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12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the officers of the Company and of the Manager set forth in or made pursuant to this Agreement will remain in full force and effect, regardless of any investigation made by the Manager or the Company or any of the officers, directors, employees, agents or controlling persons referred to in Section 7 hereof, and will survive delivery of and payment for the Shares.</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If sent to the Manager, will be mailed, telefaxed or transmitted by any standard form of telecommunications (including, for the avoidance of doubt, electronic email)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Post Office Square, Suite 3000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S. Levato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sent to the Company, will be mailed, telefaxed or transmitted by any standard form of telecommunications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Quantum-Si Incorporated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5510 Morehouse Drive, Suite 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Jeffry Keyes, Chief Financial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4365 Executive Drive, Suite 1100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Larry Nishnick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9" w:name="page40"/>
    <w:bookmarkEnd w:id="39"/>
    <w:p>
      <w:pPr>
        <w:ind w:left="4"/>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5" w:lineRule="exact"/>
        <w:rPr>
          <w:sz w:val="20"/>
          <w:szCs w:val="20"/>
          <w:color w:val="auto"/>
        </w:rPr>
      </w:pPr>
    </w:p>
    <w:p>
      <w:pPr>
        <w:ind w:left="-656" w:right="320" w:firstLine="656"/>
        <w:spacing w:after="0" w:line="266" w:lineRule="auto"/>
        <w:tabs>
          <w:tab w:leader="none" w:pos="6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175" w:lineRule="exact"/>
        <w:rPr>
          <w:rFonts w:ascii="Times New Roman" w:cs="Times New Roman" w:eastAsia="Times New Roman" w:hAnsi="Times New Roman"/>
          <w:sz w:val="18"/>
          <w:szCs w:val="18"/>
          <w:color w:val="auto"/>
        </w:rPr>
      </w:pPr>
    </w:p>
    <w:p>
      <w:pPr>
        <w:ind w:left="-656" w:right="100" w:firstLine="656"/>
        <w:spacing w:after="0" w:line="254" w:lineRule="auto"/>
        <w:tabs>
          <w:tab w:leader="none" w:pos="6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it on related or other matters). The Company agrees that it will not claim that the Manager has rendered advisory services of any nature or respect, or owe an agency, fiduciary or similar duty to the Company, in connection with the transactions contemplated by this Agreement or the process leading thereto.</w:t>
      </w:r>
    </w:p>
    <w:p>
      <w:pPr>
        <w:spacing w:after="0" w:line="191" w:lineRule="exact"/>
        <w:rPr>
          <w:rFonts w:ascii="Times New Roman" w:cs="Times New Roman" w:eastAsia="Times New Roman" w:hAnsi="Times New Roman"/>
          <w:sz w:val="18"/>
          <w:szCs w:val="18"/>
          <w:color w:val="auto"/>
        </w:rPr>
      </w:pPr>
    </w:p>
    <w:p>
      <w:pPr>
        <w:ind w:left="-656" w:right="80" w:firstLine="656"/>
        <w:spacing w:after="0" w:line="282" w:lineRule="auto"/>
        <w:tabs>
          <w:tab w:leader="none" w:pos="6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Company and the Manager with respect to the subject matter hereof.</w:t>
      </w:r>
    </w:p>
    <w:p>
      <w:pPr>
        <w:spacing w:after="0" w:line="161" w:lineRule="exact"/>
        <w:rPr>
          <w:rFonts w:ascii="Times New Roman" w:cs="Times New Roman" w:eastAsia="Times New Roman" w:hAnsi="Times New Roman"/>
          <w:sz w:val="18"/>
          <w:szCs w:val="18"/>
          <w:color w:val="auto"/>
        </w:rPr>
      </w:pPr>
    </w:p>
    <w:p>
      <w:pPr>
        <w:ind w:left="-656" w:right="120" w:firstLine="656"/>
        <w:spacing w:after="0" w:line="282" w:lineRule="auto"/>
        <w:tabs>
          <w:tab w:leader="none" w:pos="6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 without regard to the principles of conflicts of laws.</w:t>
      </w:r>
    </w:p>
    <w:p>
      <w:pPr>
        <w:spacing w:after="0" w:line="161" w:lineRule="exact"/>
        <w:rPr>
          <w:rFonts w:ascii="Times New Roman" w:cs="Times New Roman" w:eastAsia="Times New Roman" w:hAnsi="Times New Roman"/>
          <w:sz w:val="18"/>
          <w:szCs w:val="18"/>
          <w:color w:val="auto"/>
        </w:rPr>
      </w:pPr>
    </w:p>
    <w:p>
      <w:pPr>
        <w:ind w:left="-656" w:firstLine="656"/>
        <w:spacing w:after="0" w:line="253" w:lineRule="auto"/>
        <w:tabs>
          <w:tab w:leader="none" w:pos="6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xml:space="preserve"> Each of the Company and the Manager agrees that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irrevocably submits to the exclusive jurisdiction (except for proceedings instituted in regard to the enforcement of a judgment of any Specified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the Specified Courts in any such suit, action or proceeding. Service of any process, summons, notice or document by mail to a party’s address set forth in Section 10 shall be effective service of process upon such party for any suit, action or proceeding brought in any Specified Court. Each of the Company and the Manager irrevocably and unconditionally waives any objection to the laying of venue of any suit, action or proceeding in the Specified Courts and irrevocably and unconditionally waives and agrees not to plead or claim in any Specified Court that any such suit, action or proceeding brought in any Specified Court has been brought in an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246380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40" w:name="page41"/>
    <w:bookmarkEnd w:id="40"/>
    <w:p>
      <w:pPr>
        <w:ind w:left="-656" w:firstLine="656"/>
        <w:spacing w:after="0" w:line="282" w:lineRule="auto"/>
        <w:tabs>
          <w:tab w:leader="none" w:pos="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Company and Manager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left="-656" w:right="100" w:firstLine="656"/>
        <w:spacing w:after="0" w:line="258" w:lineRule="auto"/>
        <w:tabs>
          <w:tab w:leader="none" w:pos="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644"/>
        <w:spacing w:after="0" w:line="261" w:lineRule="auto"/>
        <w:tabs>
          <w:tab w:leader="none" w:pos="130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Manager is a Covered Entity becomes subject to a proceeding under a U.S. Special Resolution Regime, the transfer from the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644"/>
        <w:spacing w:after="0" w:line="261" w:lineRule="auto"/>
        <w:tabs>
          <w:tab w:leader="none" w:pos="13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Manager is a Covered Entity or a BHC Act Affiliate of the Manager becomes subject to a proceeding under a U.S. Special Resolution Regime, Default Rights under this Agreement that may be exercised against the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this Section 19:</w:t>
      </w:r>
    </w:p>
    <w:p>
      <w:pPr>
        <w:spacing w:after="0" w:line="22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1841(k).</w:t>
      </w:r>
    </w:p>
    <w:p>
      <w:pPr>
        <w:spacing w:after="0" w:line="20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964" w:hanging="668"/>
        <w:spacing w:after="0"/>
        <w:tabs>
          <w:tab w:leader="none" w:pos="1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41" w:name="page42"/>
    <w:bookmarkEnd w:id="41"/>
    <w:p>
      <w:pPr>
        <w:ind w:left="1964" w:hanging="668"/>
        <w:spacing w:after="0"/>
        <w:tabs>
          <w:tab w:leader="none" w:pos="1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left="4"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9" w:lineRule="exact"/>
        <w:rPr>
          <w:sz w:val="20"/>
          <w:szCs w:val="20"/>
          <w:color w:val="auto"/>
        </w:rPr>
      </w:pPr>
    </w:p>
    <w:p>
      <w:pPr>
        <w:ind w:left="624" w:hanging="624"/>
        <w:spacing w:after="0"/>
        <w:tabs>
          <w:tab w:leader="none" w:pos="6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1" w:lineRule="exact"/>
        <w:rPr>
          <w:rFonts w:ascii="Times New Roman" w:cs="Times New Roman" w:eastAsia="Times New Roman" w:hAnsi="Times New Roman"/>
          <w:sz w:val="18"/>
          <w:szCs w:val="18"/>
          <w:color w:val="auto"/>
        </w:rPr>
      </w:pPr>
    </w:p>
    <w:p>
      <w:pPr>
        <w:ind w:left="644" w:right="4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w:t>
      </w:r>
    </w:p>
    <w:p>
      <w:pPr>
        <w:spacing w:after="0" w:line="2" w:lineRule="exact"/>
        <w:rPr>
          <w:sz w:val="20"/>
          <w:szCs w:val="20"/>
          <w:color w:val="auto"/>
        </w:rPr>
      </w:pPr>
    </w:p>
    <w:p>
      <w:pPr>
        <w:ind w:left="4"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Execution Time.</w:t>
      </w:r>
    </w:p>
    <w:p>
      <w:pPr>
        <w:spacing w:after="0" w:line="155" w:lineRule="exact"/>
        <w:rPr>
          <w:sz w:val="20"/>
          <w:szCs w:val="20"/>
          <w:color w:val="auto"/>
        </w:rPr>
      </w:pPr>
    </w:p>
    <w:p>
      <w:pPr>
        <w:ind w:left="4"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4"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shall mean (i) the Base Prospectus, (ii) the Prospectus Supplement, (iii) the most recently filed Interim Prospectus Supplement, if any, and (iv) any Free Writing Prospectus that the parties hereto shall hereafter expressly agree in writing to treat as part of the Disclosure Package.</w:t>
      </w:r>
    </w:p>
    <w:p>
      <w:pPr>
        <w:spacing w:after="0" w:line="171" w:lineRule="exact"/>
        <w:rPr>
          <w:sz w:val="20"/>
          <w:szCs w:val="20"/>
          <w:color w:val="auto"/>
        </w:rPr>
      </w:pPr>
    </w:p>
    <w:p>
      <w:pPr>
        <w:ind w:left="4"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55" w:lineRule="exact"/>
        <w:rPr>
          <w:sz w:val="20"/>
          <w:szCs w:val="20"/>
          <w:color w:val="auto"/>
        </w:rPr>
      </w:pPr>
    </w:p>
    <w:p>
      <w:pPr>
        <w:ind w:left="4"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42" w:name="page43"/>
    <w:bookmarkEnd w:id="42"/>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Prospectus Supplement</w:t>
      </w:r>
      <w:r>
        <w:rPr>
          <w:rFonts w:ascii="Times New Roman" w:cs="Times New Roman" w:eastAsia="Times New Roman" w:hAnsi="Times New Roman"/>
          <w:sz w:val="18"/>
          <w:szCs w:val="18"/>
          <w:color w:val="auto"/>
        </w:rPr>
        <w:t>” shall mean any prospectus supplement relating to the Shares prepared and filed pursuant to Rule 424(b) from time to time as provided by Section 4(t) of this Agreement.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Base Prospectus, as supplemented by the Prospectus Supplement and the most recently filed Interim Prospectus Supplement (if any).</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shall mean the most recent prospectus supplement relating to the Shares contained in the Registration Statement and, if required by Rule 424, first filed pursuant to Rule 424(b) at or prior to the Execution Time.</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176"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refer to such rules under the Act.</w:t>
      </w:r>
    </w:p>
    <w:p>
      <w:pPr>
        <w:spacing w:after="0" w:line="15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980" w:top="117" w:right="67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Jeffry Keyes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2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Dennis Camporeale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Dennis Camporeale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Placement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Quantum-Si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Canaccord Genuity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Canaccord Genuity LLC - At the Market Offering-Placement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Equity Distribution Agreement, dated December 11, 2024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Quantum-Si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Canaccord Genuity LLC, I hereby request on behalf of the Company that Canaccord Genuity LLC sell up to [ ] shares of the Company’s Class A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pacing w:after="0" w:line="18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pursuant to Section 3(g) of the Agreement, it is deemed to have affirmed each representation and warranty contained in the Agreement at each Applicable Time and Settlement Date, as if such representation and warranty were made as of such date, and that pursuant to Section 3(h) of the Agreement, the Company may not request the sale of any Shares during any period in which the Company is, or could be deemed to be,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3"/>
    </w:lvl>
  </w:abstractNum>
  <w:abstractNum w:abstractNumId="4">
    <w:nsid w:val="71F32454"/>
    <w:multiLevelType w:val="hybridMultilevel"/>
    <w:lvl w:ilvl="0">
      <w:lvlJc w:val="left"/>
      <w:lvlText w:val="(%1)"/>
      <w:numFmt w:val="lowerLetter"/>
      <w:start w:val="7"/>
    </w:lvl>
  </w:abstractNum>
  <w:abstractNum w:abstractNumId="5">
    <w:nsid w:val="2CA88611"/>
    <w:multiLevelType w:val="hybridMultilevel"/>
    <w:lvl w:ilvl="0">
      <w:lvlJc w:val="left"/>
      <w:lvlText w:val="(%1)"/>
      <w:numFmt w:val="lowerLetter"/>
      <w:start w:val="12"/>
    </w:lvl>
  </w:abstractNum>
  <w:abstractNum w:abstractNumId="6">
    <w:nsid w:val="836C40E"/>
    <w:multiLevelType w:val="hybridMultilevel"/>
    <w:lvl w:ilvl="0">
      <w:lvlJc w:val="left"/>
      <w:lvlText w:val="(%1)"/>
      <w:numFmt w:val="lowerLetter"/>
      <w:start w:val="15"/>
    </w:lvl>
  </w:abstractNum>
  <w:abstractNum w:abstractNumId="7">
    <w:nsid w:val="2901D82"/>
    <w:multiLevelType w:val="hybridMultilevel"/>
    <w:lvl w:ilvl="0">
      <w:lvlJc w:val="left"/>
      <w:lvlText w:val="(%1)"/>
      <w:numFmt w:val="lowerLetter"/>
      <w:start w:val="18"/>
    </w:lvl>
  </w:abstractNum>
  <w:abstractNum w:abstractNumId="8">
    <w:nsid w:val="3A95F874"/>
    <w:multiLevelType w:val="hybridMultilevel"/>
    <w:lvl w:ilvl="0">
      <w:lvlJc w:val="left"/>
      <w:lvlText w:val="%1"/>
      <w:numFmt w:val="lowerLetter"/>
      <w:start w:val="1"/>
    </w:lvl>
    <w:lvl w:ilvl="1">
      <w:lvlJc w:val="left"/>
      <w:lvlText w:val="(%2)"/>
      <w:numFmt w:val="lowerLetter"/>
      <w:start w:val="22"/>
    </w:lvl>
  </w:abstractNum>
  <w:abstractNum w:abstractNumId="9">
    <w:nsid w:val="8138641"/>
    <w:multiLevelType w:val="hybridMultilevel"/>
    <w:lvl w:ilvl="0">
      <w:lvlJc w:val="left"/>
      <w:lvlText w:val="(%1)"/>
      <w:numFmt w:val="lowerLetter"/>
      <w:start w:val="35"/>
    </w:lvl>
    <w:lvl w:ilvl="1">
      <w:lvlJc w:val="left"/>
      <w:lvlText w:val="%2"/>
      <w:numFmt w:val="lowerLetter"/>
      <w:start w:val="1"/>
    </w:lvl>
  </w:abstractNum>
  <w:abstractNum w:abstractNumId="10">
    <w:nsid w:val="1E7FF521"/>
    <w:multiLevelType w:val="hybridMultilevel"/>
    <w:lvl w:ilvl="0">
      <w:lvlJc w:val="left"/>
      <w:lvlText w:val="(%1)"/>
      <w:numFmt w:val="lowerLetter"/>
      <w:start w:val="24"/>
    </w:lvl>
  </w:abstractNum>
  <w:abstractNum w:abstractNumId="11">
    <w:nsid w:val="7C3DBD3D"/>
    <w:multiLevelType w:val="hybridMultilevel"/>
    <w:lvl w:ilvl="0">
      <w:lvlJc w:val="left"/>
      <w:lvlText w:val="(%1)"/>
      <w:numFmt w:val="lowerLetter"/>
      <w:start w:val="27"/>
    </w:lvl>
  </w:abstractNum>
  <w:abstractNum w:abstractNumId="12">
    <w:nsid w:val="737B8DDC"/>
    <w:multiLevelType w:val="hybridMultilevel"/>
    <w:lvl w:ilvl="0">
      <w:lvlJc w:val="left"/>
      <w:lvlText w:val="(%1)"/>
      <w:numFmt w:val="lowerLetter"/>
      <w:start w:val="28"/>
    </w:lvl>
  </w:abstractNum>
  <w:abstractNum w:abstractNumId="13">
    <w:nsid w:val="6CEAF087"/>
    <w:multiLevelType w:val="hybridMultilevel"/>
    <w:lvl w:ilvl="0">
      <w:lvlJc w:val="left"/>
      <w:lvlText w:val="(%1)"/>
      <w:numFmt w:val="lowerLetter"/>
      <w:start w:val="31"/>
    </w:lvl>
  </w:abstractNum>
  <w:abstractNum w:abstractNumId="14">
    <w:nsid w:val="22221A70"/>
    <w:multiLevelType w:val="hybridMultilevel"/>
    <w:lvl w:ilvl="0">
      <w:lvlJc w:val="left"/>
      <w:lvlText w:val="(%1)"/>
      <w:numFmt w:val="lowerLetter"/>
      <w:start w:val="34"/>
    </w:lvl>
  </w:abstractNum>
  <w:abstractNum w:abstractNumId="15">
    <w:nsid w:val="4516DDE9"/>
    <w:multiLevelType w:val="hybridMultilevel"/>
    <w:lvl w:ilvl="0">
      <w:lvlJc w:val="left"/>
      <w:lvlText w:val="(%1)"/>
      <w:numFmt w:val="lowerLetter"/>
      <w:start w:val="40"/>
    </w:lvl>
  </w:abstractNum>
  <w:abstractNum w:abstractNumId="16">
    <w:nsid w:val="3006C83E"/>
    <w:multiLevelType w:val="hybridMultilevel"/>
    <w:lvl w:ilvl="0">
      <w:lvlJc w:val="left"/>
      <w:lvlText w:val="(%1)"/>
      <w:numFmt w:val="lowerLetter"/>
      <w:start w:val="43"/>
    </w:lvl>
  </w:abstractNum>
  <w:abstractNum w:abstractNumId="17">
    <w:nsid w:val="614FD4A1"/>
    <w:multiLevelType w:val="hybridMultilevel"/>
    <w:lvl w:ilvl="0">
      <w:lvlJc w:val="left"/>
      <w:lvlText w:val="(%1)"/>
      <w:numFmt w:val="lowerLetter"/>
      <w:start w:val="45"/>
    </w:lvl>
  </w:abstractNum>
  <w:abstractNum w:abstractNumId="18">
    <w:nsid w:val="419AC241"/>
    <w:multiLevelType w:val="hybridMultilevel"/>
    <w:lvl w:ilvl="0">
      <w:lvlJc w:val="left"/>
      <w:lvlText w:val="(%1)"/>
      <w:numFmt w:val="lowerLetter"/>
      <w:start w:val="48"/>
    </w:lvl>
  </w:abstractNum>
  <w:abstractNum w:abstractNumId="19">
    <w:nsid w:val="5577F8E1"/>
    <w:multiLevelType w:val="hybridMultilevel"/>
    <w:lvl w:ilvl="0">
      <w:lvlJc w:val="left"/>
      <w:lvlText w:val="%1."/>
      <w:numFmt w:val="decimal"/>
      <w:start w:val="3"/>
    </w:lvl>
    <w:lvl w:ilvl="1">
      <w:lvlJc w:val="left"/>
      <w:lvlText w:val="(%2)"/>
      <w:numFmt w:val="lowerLetter"/>
      <w:start w:val="1"/>
    </w:lvl>
  </w:abstractNum>
  <w:abstractNum w:abstractNumId="20">
    <w:nsid w:val="440BADFC"/>
    <w:multiLevelType w:val="hybridMultilevel"/>
    <w:lvl w:ilvl="0">
      <w:lvlJc w:val="left"/>
      <w:lvlText w:val="%1"/>
      <w:numFmt w:val="lowerLetter"/>
      <w:start w:val="1"/>
    </w:lvl>
    <w:lvl w:ilvl="1">
      <w:lvlJc w:val="left"/>
      <w:lvlText w:val="(%2)"/>
      <w:numFmt w:val="lowerLetter"/>
      <w:start w:val="2"/>
    </w:lvl>
  </w:abstractNum>
  <w:abstractNum w:abstractNumId="21">
    <w:nsid w:val="5072367"/>
    <w:multiLevelType w:val="hybridMultilevel"/>
    <w:lvl w:ilvl="0">
      <w:lvlJc w:val="left"/>
      <w:lvlText w:val="(%1)"/>
      <w:numFmt w:val="lowerLetter"/>
      <w:start w:val="9"/>
    </w:lvl>
    <w:lvl w:ilvl="1">
      <w:lvlJc w:val="left"/>
      <w:lvlText w:val="(%2)"/>
      <w:numFmt w:val="lowerLetter"/>
      <w:start w:val="3"/>
    </w:lvl>
  </w:abstractNum>
  <w:abstractNum w:abstractNumId="22">
    <w:nsid w:val="3804823E"/>
    <w:multiLevelType w:val="hybridMultilevel"/>
    <w:lvl w:ilvl="0">
      <w:lvlJc w:val="left"/>
      <w:lvlText w:val="(%1)"/>
      <w:numFmt w:val="lowerLetter"/>
      <w:start w:val="5"/>
    </w:lvl>
  </w:abstractNum>
  <w:abstractNum w:abstractNumId="23">
    <w:nsid w:val="77465F01"/>
    <w:multiLevelType w:val="hybridMultilevel"/>
    <w:lvl w:ilvl="0">
      <w:lvlJc w:val="left"/>
      <w:lvlText w:val="%1"/>
      <w:numFmt w:val="decimal"/>
      <w:start w:val="1"/>
    </w:lvl>
    <w:lvl w:ilvl="1">
      <w:lvlJc w:val="left"/>
      <w:lvlText w:val="(%2)"/>
      <w:numFmt w:val="lowerLetter"/>
      <w:start w:val="9"/>
    </w:lvl>
  </w:abstractNum>
  <w:abstractNum w:abstractNumId="24">
    <w:nsid w:val="7724C67E"/>
    <w:multiLevelType w:val="hybridMultilevel"/>
    <w:lvl w:ilvl="0">
      <w:lvlJc w:val="left"/>
      <w:lvlText w:val="%1."/>
      <w:numFmt w:val="decimal"/>
      <w:start w:val="4"/>
    </w:lvl>
    <w:lvl w:ilvl="1">
      <w:lvlJc w:val="left"/>
      <w:lvlText w:val="(%2)"/>
      <w:numFmt w:val="lowerLetter"/>
      <w:start w:val="1"/>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1)"/>
      <w:numFmt w:val="lowerLetter"/>
      <w:start w:val="5"/>
    </w:lvl>
  </w:abstractNum>
  <w:abstractNum w:abstractNumId="27">
    <w:nsid w:val="5E884ADC"/>
    <w:multiLevelType w:val="hybridMultilevel"/>
    <w:lvl w:ilvl="0">
      <w:lvlJc w:val="left"/>
      <w:lvlText w:val="(%1)"/>
      <w:numFmt w:val="lowerLetter"/>
      <w:start w:val="9"/>
    </w:lvl>
  </w:abstractNum>
  <w:abstractNum w:abstractNumId="28">
    <w:nsid w:val="51EAD36B"/>
    <w:multiLevelType w:val="hybridMultilevel"/>
    <w:lvl w:ilvl="0">
      <w:lvlJc w:val="left"/>
      <w:lvlText w:val="(%1)"/>
      <w:numFmt w:val="lowerLetter"/>
      <w:start w:val="13"/>
    </w:lvl>
  </w:abstractNum>
  <w:abstractNum w:abstractNumId="29">
    <w:nsid w:val="2D517796"/>
    <w:multiLevelType w:val="hybridMultilevel"/>
    <w:lvl w:ilvl="0">
      <w:lvlJc w:val="left"/>
      <w:lvlText w:val="(%1)"/>
      <w:numFmt w:val="lowerLetter"/>
      <w:start w:val="18"/>
    </w:lvl>
  </w:abstractNum>
  <w:abstractNum w:abstractNumId="30">
    <w:nsid w:val="580BD78F"/>
    <w:multiLevelType w:val="hybridMultilevel"/>
    <w:lvl w:ilvl="0">
      <w:lvlJc w:val="left"/>
      <w:lvlText w:val="(%1)"/>
      <w:numFmt w:val="lowerLetter"/>
      <w:start w:val="23"/>
    </w:lvl>
  </w:abstractNum>
  <w:abstractNum w:abstractNumId="31">
    <w:nsid w:val="153EA438"/>
    <w:multiLevelType w:val="hybridMultilevel"/>
    <w:lvl w:ilvl="0">
      <w:lvlJc w:val="left"/>
      <w:lvlText w:val="%1."/>
      <w:numFmt w:val="decimal"/>
      <w:start w:val="5"/>
    </w:lvl>
    <w:lvl w:ilvl="1">
      <w:lvlJc w:val="left"/>
      <w:lvlText w:val="(%2)"/>
      <w:numFmt w:val="lowerLetter"/>
      <w:start w:val="1"/>
    </w:lvl>
  </w:abstractNum>
  <w:abstractNum w:abstractNumId="32">
    <w:nsid w:val="3855585C"/>
    <w:multiLevelType w:val="hybridMultilevel"/>
    <w:lvl w:ilvl="0">
      <w:lvlJc w:val="left"/>
      <w:lvlText w:val="(%1)"/>
      <w:numFmt w:val="lowerLetter"/>
      <w:start w:val="2"/>
    </w:lvl>
    <w:lvl w:ilvl="1">
      <w:lvlJc w:val="left"/>
      <w:lvlText w:val="(%2)"/>
      <w:numFmt w:val="lowerRoman"/>
      <w:start w:val="1"/>
    </w:lvl>
  </w:abstractNum>
  <w:abstractNum w:abstractNumId="33">
    <w:nsid w:val="70A64E2A"/>
    <w:multiLevelType w:val="hybridMultilevel"/>
    <w:lvl w:ilvl="0">
      <w:lvlJc w:val="left"/>
      <w:lvlText w:val="%1"/>
      <w:numFmt w:val="lowerLetter"/>
      <w:start w:val="1"/>
    </w:lvl>
    <w:lvl w:ilvl="1">
      <w:lvlJc w:val="left"/>
      <w:lvlText w:val="(%2)"/>
      <w:numFmt w:val="lowerRoman"/>
      <w:start w:val="4"/>
    </w:lvl>
  </w:abstractNum>
  <w:abstractNum w:abstractNumId="34">
    <w:nsid w:val="6A2342EC"/>
    <w:multiLevelType w:val="hybridMultilevel"/>
    <w:lvl w:ilvl="0">
      <w:lvlJc w:val="left"/>
      <w:lvlText w:val="(%1)"/>
      <w:numFmt w:val="lowerLetter"/>
      <w:start w:val="6"/>
    </w:lvl>
    <w:lvl w:ilvl="1">
      <w:lvlJc w:val="left"/>
      <w:lvlText w:val="%2"/>
      <w:numFmt w:val="lowerRoman"/>
      <w:start w:val="1"/>
    </w:lvl>
  </w:abstractNum>
  <w:abstractNum w:abstractNumId="35">
    <w:nsid w:val="2A487CB0"/>
    <w:multiLevelType w:val="hybridMultilevel"/>
    <w:lvl w:ilvl="0">
      <w:lvlJc w:val="left"/>
      <w:lvlText w:val="(%1)"/>
      <w:numFmt w:val="lowerLetter"/>
      <w:start w:val="7"/>
    </w:lvl>
  </w:abstractNum>
  <w:abstractNum w:abstractNumId="36">
    <w:nsid w:val="1D4ED43B"/>
    <w:multiLevelType w:val="hybridMultilevel"/>
    <w:lvl w:ilvl="0">
      <w:lvlJc w:val="left"/>
      <w:lvlText w:val="(%1)"/>
      <w:numFmt w:val="lowerLetter"/>
      <w:start w:val="11"/>
    </w:lvl>
  </w:abstractNum>
  <w:abstractNum w:abstractNumId="37">
    <w:nsid w:val="725A06FB"/>
    <w:multiLevelType w:val="hybridMultilevel"/>
    <w:lvl w:ilvl="0">
      <w:lvlJc w:val="left"/>
      <w:lvlText w:val="%1."/>
      <w:numFmt w:val="decimal"/>
      <w:start w:val="7"/>
    </w:lvl>
    <w:lvl w:ilvl="1">
      <w:lvlJc w:val="left"/>
      <w:lvlText w:val="(%2)"/>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3"/>
    </w:lvl>
  </w:abstractNum>
  <w:abstractNum w:abstractNumId="40">
    <w:nsid w:val="7A6D8D3C"/>
    <w:multiLevelType w:val="hybridMultilevel"/>
    <w:lvl w:ilvl="0">
      <w:lvlJc w:val="left"/>
      <w:lvlText w:val="%1"/>
      <w:numFmt w:val="lowerLetter"/>
      <w:start w:val="1"/>
    </w:lvl>
    <w:lvl w:ilvl="1">
      <w:lvlJc w:val="left"/>
      <w:lvlText w:val="(%2)"/>
      <w:numFmt w:val="lowerLetter"/>
      <w:start w:val="4"/>
    </w:lvl>
  </w:abstractNum>
  <w:abstractNum w:abstractNumId="41">
    <w:nsid w:val="4B588F54"/>
    <w:multiLevelType w:val="hybridMultilevel"/>
    <w:lvl w:ilvl="0">
      <w:lvlJc w:val="left"/>
      <w:lvlText w:val="(%1)"/>
      <w:numFmt w:val="lowerLetter"/>
      <w:start w:val="9"/>
    </w:lvl>
    <w:lvl w:ilvl="1">
      <w:lvlJc w:val="left"/>
      <w:lvlText w:val="%2"/>
      <w:numFmt w:val="lowerLetter"/>
      <w:start w:val="1"/>
    </w:lvl>
  </w:abstractNum>
  <w:abstractNum w:abstractNumId="42">
    <w:nsid w:val="542289EC"/>
    <w:multiLevelType w:val="hybridMultilevel"/>
    <w:lvl w:ilvl="0">
      <w:lvlJc w:val="left"/>
      <w:lvlText w:val="%1."/>
      <w:numFmt w:val="decimal"/>
      <w:start w:val="8"/>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4"/>
    </w:lvl>
  </w:abstractNum>
  <w:abstractNum w:abstractNumId="44">
    <w:nsid w:val="38437FDB"/>
    <w:multiLevelType w:val="hybridMultilevel"/>
    <w:lvl w:ilvl="0">
      <w:lvlJc w:val="left"/>
      <w:lvlText w:val="%1."/>
      <w:numFmt w:val="decimal"/>
      <w:start w:val="9"/>
    </w:lvl>
    <w:lvl w:ilvl="1">
      <w:lvlJc w:val="left"/>
      <w:lvlText w:val="%2"/>
      <w:numFmt w:val="lowerLetter"/>
      <w:start w:val="1"/>
    </w:lvl>
  </w:abstractNum>
  <w:abstractNum w:abstractNumId="45">
    <w:nsid w:val="7644A45C"/>
    <w:multiLevelType w:val="hybridMultilevel"/>
    <w:lvl w:ilvl="0">
      <w:lvlJc w:val="left"/>
      <w:lvlText w:val="%1."/>
      <w:numFmt w:val="decimal"/>
      <w:start w:val="11"/>
    </w:lvl>
  </w:abstractNum>
  <w:abstractNum w:abstractNumId="46">
    <w:nsid w:val="32FFF902"/>
    <w:multiLevelType w:val="hybridMultilevel"/>
    <w:lvl w:ilvl="0">
      <w:lvlJc w:val="left"/>
      <w:lvlText w:val="%1."/>
      <w:numFmt w:val="decimal"/>
      <w:start w:val="16"/>
    </w:lvl>
    <w:lvl w:ilvl="1">
      <w:lvlJc w:val="left"/>
      <w:lvlText w:val="(%2)"/>
      <w:numFmt w:val="lowerLetter"/>
      <w:start w:val="1"/>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lowerRoman"/>
      <w:start w:val="3"/>
    </w:lvl>
  </w:abstractNum>
  <w:abstractNum w:abstractNumId="49">
    <w:nsid w:val="749ABB43"/>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2024-12-11T08:06:37Z</dcterms:created>
  <dcterms:modified xsi:type="dcterms:W3CDTF">2024-12-11T08:06:37Z</dcterms:modified>
</cp:coreProperties>
</file>