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3048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468630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September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167005</wp:posOffset>
            </wp:positionV>
            <wp:extent cx="670750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QUANTUM-SI INCORPORATED</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40005</wp:posOffset>
            </wp:positionV>
            <wp:extent cx="670750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792" w:right="660" w:bottom="1440" w:gutter="0" w:footer="0" w:header="0"/>
        </w:sectPr>
      </w:pPr>
    </w:p>
    <w:p>
      <w:pPr>
        <w:spacing w:after="0" w:line="14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001-39486</w:t>
      </w:r>
    </w:p>
    <w:p>
      <w:pPr>
        <w:spacing w:after="0" w:line="1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85-1388175</w:t>
      </w:r>
    </w:p>
    <w:p>
      <w:pPr>
        <w:spacing w:after="0" w:line="16"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79" w:lineRule="exact"/>
        <w:rPr>
          <w:sz w:val="24"/>
          <w:szCs w:val="24"/>
          <w:color w:val="auto"/>
        </w:rPr>
      </w:pPr>
    </w:p>
    <w:p>
      <w:pPr>
        <w:sectPr>
          <w:pgSz w:w="11900" w:h="16840" w:orient="portrait"/>
          <w:cols w:equalWidth="0" w:num="3">
            <w:col w:w="3720" w:space="720"/>
            <w:col w:w="2600" w:space="720"/>
            <w:col w:w="2820"/>
          </w:cols>
          <w:pgMar w:left="660" w:top="792" w:right="660" w:bottom="1440" w:gutter="0" w:footer="0" w:header="0"/>
          <w:type w:val="continuous"/>
        </w:sectPr>
      </w:pPr>
    </w:p>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29 Business Park Drive</w:t>
      </w:r>
    </w:p>
    <w:p>
      <w:pPr>
        <w:spacing w:after="0" w:line="12"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Branford, Connecticut</w:t>
      </w:r>
    </w:p>
    <w:p>
      <w:pPr>
        <w:jc w:val="center"/>
        <w:ind w:right="6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6"/>
          <w:szCs w:val="16"/>
          <w:b w:val="1"/>
          <w:bCs w:val="1"/>
          <w:color w:val="auto"/>
        </w:rPr>
        <w:t>06405</w:t>
      </w:r>
    </w:p>
    <w:p>
      <w:pPr>
        <w:spacing w:after="0" w:line="16"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4"/>
          <w:szCs w:val="14"/>
          <w:color w:val="auto"/>
        </w:rPr>
        <w:t>(Zip Code)</w:t>
      </w:r>
    </w:p>
    <w:p>
      <w:pPr>
        <w:spacing w:after="0" w:line="179" w:lineRule="exact"/>
        <w:rPr>
          <w:sz w:val="24"/>
          <w:szCs w:val="24"/>
          <w:color w:val="auto"/>
        </w:rPr>
      </w:pPr>
    </w:p>
    <w:p>
      <w:pPr>
        <w:sectPr>
          <w:pgSz w:w="11900" w:h="16840" w:orient="portrait"/>
          <w:cols w:equalWidth="0" w:num="2">
            <w:col w:w="7760" w:space="720"/>
            <w:col w:w="2100"/>
          </w:cols>
          <w:pgMar w:left="660" w:top="792" w:right="66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(866) 688-7374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40005</wp:posOffset>
            </wp:positionV>
            <wp:extent cx="670750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99" w:lineRule="exact"/>
        <w:rPr>
          <w:sz w:val="24"/>
          <w:szCs w:val="24"/>
          <w:color w:val="auto"/>
        </w:rPr>
      </w:pPr>
    </w:p>
    <w:p>
      <w:pPr>
        <w:ind w:left="300" w:hanging="294"/>
        <w:spacing w:after="0"/>
        <w:tabs>
          <w:tab w:leader="none" w:pos="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 w:lineRule="exact"/>
        <w:rPr>
          <w:rFonts w:ascii="MS PGothic" w:cs="MS PGothic" w:eastAsia="MS PGothic" w:hAnsi="MS PGothic"/>
          <w:sz w:val="16"/>
          <w:szCs w:val="16"/>
          <w:color w:val="auto"/>
        </w:rPr>
      </w:pPr>
    </w:p>
    <w:p>
      <w:pPr>
        <w:ind w:left="300" w:hanging="294"/>
        <w:spacing w:after="0" w:line="234" w:lineRule="auto"/>
        <w:tabs>
          <w:tab w:leader="none" w:pos="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ind w:left="300" w:hanging="294"/>
        <w:spacing w:after="0" w:line="234" w:lineRule="auto"/>
        <w:tabs>
          <w:tab w:leader="none" w:pos="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ind w:left="300" w:hanging="294"/>
        <w:spacing w:after="0"/>
        <w:tabs>
          <w:tab w:leader="none" w:pos="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347"/>
        </w:trPr>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8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Name of each exchange on</w:t>
            </w:r>
          </w:p>
        </w:tc>
      </w:tr>
      <w:tr>
        <w:trPr>
          <w:trHeight w:val="211"/>
        </w:trPr>
        <w:tc>
          <w:tcPr>
            <w:tcW w:w="636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80" w:type="dxa"/>
            <w:vAlign w:val="bottom"/>
          </w:tcPr>
          <w:p>
            <w:pPr>
              <w:spacing w:after="0"/>
              <w:rPr>
                <w:sz w:val="18"/>
                <w:szCs w:val="18"/>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which registered</w:t>
            </w: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QSI</w:t>
            </w:r>
          </w:p>
        </w:tc>
        <w:tc>
          <w:tcPr>
            <w:tcW w:w="80" w:type="dxa"/>
            <w:vAlign w:val="bottom"/>
          </w:tcPr>
          <w:p>
            <w:pPr>
              <w:spacing w:after="0"/>
              <w:rPr>
                <w:sz w:val="17"/>
                <w:szCs w:val="17"/>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180"/>
        </w:trPr>
        <w:tc>
          <w:tcPr>
            <w:tcW w:w="63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98"/>
              </w:rPr>
              <w:t>Redeemable warrants, each whole warrant exercisable for one share of Class A common stock, each</w:t>
            </w:r>
          </w:p>
        </w:tc>
        <w:tc>
          <w:tcPr>
            <w:tcW w:w="100" w:type="dxa"/>
            <w:vAlign w:val="bottom"/>
          </w:tcPr>
          <w:p>
            <w:pPr>
              <w:spacing w:after="0"/>
              <w:rPr>
                <w:sz w:val="15"/>
                <w:szCs w:val="15"/>
                <w:color w:val="auto"/>
              </w:rPr>
            </w:pPr>
          </w:p>
        </w:tc>
        <w:tc>
          <w:tcPr>
            <w:tcW w:w="15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QSIAW</w:t>
            </w:r>
          </w:p>
        </w:tc>
        <w:tc>
          <w:tcPr>
            <w:tcW w:w="80" w:type="dxa"/>
            <w:vAlign w:val="bottom"/>
          </w:tcPr>
          <w:p>
            <w:pPr>
              <w:spacing w:after="0"/>
              <w:rPr>
                <w:sz w:val="15"/>
                <w:szCs w:val="15"/>
                <w:color w:val="auto"/>
              </w:rPr>
            </w:pPr>
          </w:p>
        </w:tc>
        <w:tc>
          <w:tcPr>
            <w:tcW w:w="25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The Nasdaq Stock Market LLC</w:t>
            </w: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 an exercise price of $11.50 per share</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bl>
    <w:p>
      <w:pPr>
        <w:spacing w:after="0" w:line="169"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9" w:lineRule="exact"/>
        <w:rPr>
          <w:sz w:val="24"/>
          <w:szCs w:val="24"/>
          <w:color w:val="auto"/>
        </w:rPr>
      </w:pPr>
    </w:p>
    <w:p>
      <w:pPr>
        <w:ind w:left="868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23" w:lineRule="exact"/>
        <w:rPr>
          <w:sz w:val="24"/>
          <w:szCs w:val="24"/>
          <w:color w:val="auto"/>
        </w:rPr>
      </w:pPr>
    </w:p>
    <w:p>
      <w:pPr>
        <w:jc w:val="both"/>
        <w:spacing w:after="0" w:line="20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67075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226695</wp:posOffset>
            </wp:positionV>
            <wp:extent cx="6707505" cy="30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304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356235</wp:posOffset>
            </wp:positionV>
            <wp:extent cx="670750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792" w:right="66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174" w:lineRule="exact"/>
        <w:rPr>
          <w:sz w:val="20"/>
          <w:szCs w:val="20"/>
          <w:color w:val="auto"/>
        </w:rPr>
      </w:pPr>
    </w:p>
    <w:p>
      <w:pPr>
        <w:jc w:val="both"/>
        <w:ind w:right="120" w:firstLine="288"/>
        <w:spacing w:after="0" w:line="244" w:lineRule="auto"/>
        <w:rPr>
          <w:sz w:val="20"/>
          <w:szCs w:val="20"/>
          <w:color w:val="auto"/>
        </w:rPr>
      </w:pPr>
      <w:r>
        <w:rPr>
          <w:rFonts w:ascii="Times New Roman" w:cs="Times New Roman" w:eastAsia="Times New Roman" w:hAnsi="Times New Roman"/>
          <w:sz w:val="16"/>
          <w:szCs w:val="16"/>
          <w:color w:val="auto"/>
        </w:rPr>
        <w:t>On September 26, 2025, Quantum-Si Incorporated,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entered into a Sales Agreement (the “</w:t>
      </w:r>
      <w:r>
        <w:rPr>
          <w:rFonts w:ascii="Times New Roman" w:cs="Times New Roman" w:eastAsia="Times New Roman" w:hAnsi="Times New Roman"/>
          <w:sz w:val="16"/>
          <w:szCs w:val="16"/>
          <w:b w:val="1"/>
          <w:bCs w:val="1"/>
          <w:i w:val="1"/>
          <w:iCs w:val="1"/>
          <w:color w:val="auto"/>
        </w:rPr>
        <w:t>Sales Agreement</w:t>
      </w:r>
      <w:r>
        <w:rPr>
          <w:rFonts w:ascii="Times New Roman" w:cs="Times New Roman" w:eastAsia="Times New Roman" w:hAnsi="Times New Roman"/>
          <w:sz w:val="16"/>
          <w:szCs w:val="16"/>
          <w:color w:val="auto"/>
        </w:rPr>
        <w:t>” ) with Leerink Partners LLC (the “</w:t>
      </w:r>
      <w:r>
        <w:rPr>
          <w:rFonts w:ascii="Times New Roman" w:cs="Times New Roman" w:eastAsia="Times New Roman" w:hAnsi="Times New Roman"/>
          <w:sz w:val="16"/>
          <w:szCs w:val="16"/>
          <w:b w:val="1"/>
          <w:bCs w:val="1"/>
          <w:i w:val="1"/>
          <w:iCs w:val="1"/>
          <w:color w:val="auto"/>
        </w:rPr>
        <w:t>Leerink Partners</w:t>
      </w:r>
      <w:r>
        <w:rPr>
          <w:rFonts w:ascii="Times New Roman" w:cs="Times New Roman" w:eastAsia="Times New Roman" w:hAnsi="Times New Roman"/>
          <w:sz w:val="16"/>
          <w:szCs w:val="16"/>
          <w:color w:val="auto"/>
        </w:rPr>
        <w:t xml:space="preserve">”), pursuant to which the Company may offer and sell from time to time at its sole discretion up to an aggregate of $100,000,000 of shares of the Company’s Class A common stock, par value $0.0001 per share (the “ </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through Leerink Partners, acting as sales agent or principal. The Company may ultimately choose not to offer or sell any Shares under the Sales Agreement.</w:t>
      </w:r>
    </w:p>
    <w:p>
      <w:pPr>
        <w:spacing w:after="0" w:line="156" w:lineRule="exact"/>
        <w:rPr>
          <w:sz w:val="20"/>
          <w:szCs w:val="20"/>
          <w:color w:val="auto"/>
        </w:rPr>
      </w:pPr>
    </w:p>
    <w:p>
      <w:pPr>
        <w:jc w:val="both"/>
        <w:ind w:firstLine="288"/>
        <w:spacing w:after="0" w:line="243" w:lineRule="auto"/>
        <w:rPr>
          <w:sz w:val="20"/>
          <w:szCs w:val="20"/>
          <w:color w:val="auto"/>
        </w:rPr>
      </w:pPr>
      <w:r>
        <w:rPr>
          <w:rFonts w:ascii="Times New Roman" w:cs="Times New Roman" w:eastAsia="Times New Roman" w:hAnsi="Times New Roman"/>
          <w:sz w:val="16"/>
          <w:szCs w:val="16"/>
          <w:color w:val="auto"/>
        </w:rPr>
        <w:t>The issuance and sale, if any, of the Shares under the Sales Agreement is subject to the effectiveness of the Company’s shelf registration statement on Form S-3 which was filed with the United States Securities and Exchange Commission (the “</w:t>
      </w:r>
      <w:r>
        <w:rPr>
          <w:rFonts w:ascii="Times New Roman" w:cs="Times New Roman" w:eastAsia="Times New Roman" w:hAnsi="Times New Roman"/>
          <w:sz w:val="16"/>
          <w:szCs w:val="16"/>
          <w:b w:val="1"/>
          <w:bCs w:val="1"/>
          <w:i w:val="1"/>
          <w:iCs w:val="1"/>
          <w:color w:val="auto"/>
        </w:rPr>
        <w:t>SEC</w:t>
      </w:r>
      <w:r>
        <w:rPr>
          <w:rFonts w:ascii="Times New Roman" w:cs="Times New Roman" w:eastAsia="Times New Roman" w:hAnsi="Times New Roman"/>
          <w:sz w:val="16"/>
          <w:szCs w:val="16"/>
          <w:color w:val="auto"/>
        </w:rPr>
        <w:t>”) on September 26, 2025 (the “</w:t>
      </w:r>
      <w:r>
        <w:rPr>
          <w:rFonts w:ascii="Times New Roman" w:cs="Times New Roman" w:eastAsia="Times New Roman" w:hAnsi="Times New Roman"/>
          <w:sz w:val="16"/>
          <w:szCs w:val="16"/>
          <w:b w:val="1"/>
          <w:bCs w:val="1"/>
          <w:i w:val="1"/>
          <w:iCs w:val="1"/>
          <w:color w:val="auto"/>
        </w:rPr>
        <w:t>Registration Statement</w:t>
      </w:r>
      <w:r>
        <w:rPr>
          <w:rFonts w:ascii="Times New Roman" w:cs="Times New Roman" w:eastAsia="Times New Roman" w:hAnsi="Times New Roman"/>
          <w:sz w:val="16"/>
          <w:szCs w:val="16"/>
          <w:color w:val="auto"/>
        </w:rPr>
        <w:t>”), including the prospectus of the Company relating to the offering and sale by the Company of the Shares under the Sales Agreement. The Company makes no assurances as to whether the Registration Statement will become effective or, if it does become effective, as to the continued effectiveness of the Registration Statement.</w:t>
      </w:r>
    </w:p>
    <w:p>
      <w:pPr>
        <w:spacing w:after="0" w:line="155" w:lineRule="exact"/>
        <w:rPr>
          <w:sz w:val="20"/>
          <w:szCs w:val="20"/>
          <w:color w:val="auto"/>
        </w:rPr>
      </w:pPr>
    </w:p>
    <w:p>
      <w:pPr>
        <w:jc w:val="both"/>
        <w:ind w:right="120" w:firstLine="288"/>
        <w:spacing w:after="0" w:line="237" w:lineRule="auto"/>
        <w:rPr>
          <w:sz w:val="20"/>
          <w:szCs w:val="20"/>
          <w:color w:val="auto"/>
        </w:rPr>
      </w:pPr>
      <w:r>
        <w:rPr>
          <w:rFonts w:ascii="Times New Roman" w:cs="Times New Roman" w:eastAsia="Times New Roman" w:hAnsi="Times New Roman"/>
          <w:sz w:val="16"/>
          <w:szCs w:val="16"/>
          <w:color w:val="auto"/>
        </w:rPr>
        <w:t>Subject to the terms and conditions of the Sales Agreement, Leerink Partners will act as sales agent and use its commercially reasonable efforts consistent with its normal trading and sales practices and applicable state and federal laws, rules and regulations and the rules of the Nasdaq Global Market to sell the Shares from time to time, based upon the Company’s instructions, including any price, time or size limits specified by the Company, subject to certain limitations. Sales of the Shares, if any, under the Sales Agreement may be made in any method deemed to be an “at the market offering” as defined in Rule 415(a)(4) promulgated under the Securities Act of 1933, as amended. The Company has no obligation to sell any of the Shares and may at any time suspend offers under the Sales Agreement or terminate the Sales Agreement. The Company may also sell Shares to Leerink Partners as principal. The Company has agreed to pay Leerink Partners commissions for its services in acting as sales agent in the sale of the Shares at a commission rate of up to 3.0% of the gross offering proceeds received per Share sold pursuant to the Sales Agreement, if any, and has agreed to provide Leerink Partners with customary indemnification and contribution rights. The Company has also agreed to reimburse Leerink Partners up to an aggregate of $75,000 of the actual outside legal expenses incurred by Leerink Partners in connection with the execution of the Sales Agreement, plus certain ongoing outside legal expenses. The Sales Agreement may be terminated by Leerink Partners or the Company in each party’s sole discretion at any time upon proper written notice to the other party.</w:t>
      </w:r>
    </w:p>
    <w:p>
      <w:pPr>
        <w:spacing w:after="0" w:line="162" w:lineRule="exact"/>
        <w:rPr>
          <w:sz w:val="20"/>
          <w:szCs w:val="20"/>
          <w:color w:val="auto"/>
        </w:rPr>
      </w:pPr>
    </w:p>
    <w:p>
      <w:pPr>
        <w:jc w:val="both"/>
        <w:ind w:right="140" w:firstLine="288"/>
        <w:spacing w:after="0" w:line="259" w:lineRule="auto"/>
        <w:rPr>
          <w:sz w:val="20"/>
          <w:szCs w:val="20"/>
          <w:color w:val="auto"/>
        </w:rPr>
      </w:pPr>
      <w:r>
        <w:rPr>
          <w:rFonts w:ascii="Times New Roman" w:cs="Times New Roman" w:eastAsia="Times New Roman" w:hAnsi="Times New Roman"/>
          <w:sz w:val="16"/>
          <w:szCs w:val="16"/>
          <w:color w:val="auto"/>
        </w:rPr>
        <w:t>The foregoing description of the Sales Agreement is not complete and is qualified in its entirety by reference to the full text of the Sales Agreement, which was previously filed as Exhibit 1.2 to the Company’s Registration Statement and is incorporated herein by reference.</w:t>
      </w:r>
    </w:p>
    <w:p>
      <w:pPr>
        <w:spacing w:after="0" w:line="143" w:lineRule="exact"/>
        <w:rPr>
          <w:sz w:val="20"/>
          <w:szCs w:val="20"/>
          <w:color w:val="auto"/>
        </w:rPr>
      </w:pPr>
    </w:p>
    <w:p>
      <w:pPr>
        <w:jc w:val="both"/>
        <w:ind w:right="140" w:firstLine="288"/>
        <w:spacing w:after="0" w:line="259" w:lineRule="auto"/>
        <w:rPr>
          <w:sz w:val="20"/>
          <w:szCs w:val="20"/>
          <w:color w:val="auto"/>
        </w:rPr>
      </w:pPr>
      <w:r>
        <w:rPr>
          <w:rFonts w:ascii="Times New Roman" w:cs="Times New Roman" w:eastAsia="Times New Roman" w:hAnsi="Times New Roman"/>
          <w:sz w:val="16"/>
          <w:szCs w:val="16"/>
          <w:color w:val="auto"/>
        </w:rPr>
        <w:t>The legal opinion of DLA Piper LLP (US), counsel to the Company, as to the legality of the Shares was previously filed as Exhibit 5.1 to the Company’s Registration Statement and is incorporated herein by reference.</w:t>
      </w:r>
    </w:p>
    <w:p>
      <w:pPr>
        <w:spacing w:after="0" w:line="143" w:lineRule="exact"/>
        <w:rPr>
          <w:sz w:val="20"/>
          <w:szCs w:val="20"/>
          <w:color w:val="auto"/>
        </w:rPr>
      </w:pPr>
    </w:p>
    <w:p>
      <w:pPr>
        <w:jc w:val="both"/>
        <w:ind w:right="140" w:firstLine="288"/>
        <w:spacing w:after="0" w:line="331" w:lineRule="auto"/>
        <w:rPr>
          <w:sz w:val="20"/>
          <w:szCs w:val="20"/>
          <w:color w:val="auto"/>
        </w:rPr>
      </w:pPr>
      <w:r>
        <w:rPr>
          <w:rFonts w:ascii="Times New Roman" w:cs="Times New Roman" w:eastAsia="Times New Roman" w:hAnsi="Times New Roman"/>
          <w:sz w:val="14"/>
          <w:szCs w:val="14"/>
          <w:color w:val="auto"/>
        </w:rPr>
        <w:t>This Current Report on Form 8-K shall not constitute an offer to sell or the solicitation of any offer to buy the Shares, nor shall there be any offer, solicitation or sale of the Shares in any state in which such offer, solicitation or sale would be unlawful prior to registration or qualification under the securities laws of such state.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 Exhibits.</w:t>
            </w:r>
          </w:p>
        </w:tc>
        <w:tc>
          <w:tcPr>
            <w:tcW w:w="780" w:type="dxa"/>
            <w:vAlign w:val="bottom"/>
          </w:tcPr>
          <w:p>
            <w:pPr>
              <w:spacing w:after="0"/>
              <w:rPr>
                <w:sz w:val="17"/>
                <w:szCs w:val="17"/>
                <w:color w:val="auto"/>
              </w:rPr>
            </w:pPr>
          </w:p>
        </w:tc>
        <w:tc>
          <w:tcPr>
            <w:tcW w:w="8600" w:type="dxa"/>
            <w:vAlign w:val="bottom"/>
          </w:tcPr>
          <w:p>
            <w:pPr>
              <w:spacing w:after="0"/>
              <w:rPr>
                <w:sz w:val="17"/>
                <w:szCs w:val="17"/>
                <w:color w:val="auto"/>
              </w:rPr>
            </w:pPr>
          </w:p>
        </w:tc>
      </w:tr>
      <w:tr>
        <w:trPr>
          <w:trHeight w:val="326"/>
        </w:trPr>
        <w:tc>
          <w:tcPr>
            <w:tcW w:w="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4"/>
              </w:rPr>
              <w:t>Exhibit</w:t>
            </w:r>
          </w:p>
        </w:tc>
        <w:tc>
          <w:tcPr>
            <w:tcW w:w="68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6"/>
              </w:rPr>
              <w:t>Description</w:t>
            </w:r>
          </w:p>
        </w:tc>
        <w:tc>
          <w:tcPr>
            <w:tcW w:w="8600" w:type="dxa"/>
            <w:vAlign w:val="bottom"/>
          </w:tcPr>
          <w:p>
            <w:pPr>
              <w:spacing w:after="0"/>
              <w:rPr>
                <w:sz w:val="24"/>
                <w:szCs w:val="24"/>
                <w:color w:val="auto"/>
              </w:rPr>
            </w:pPr>
          </w:p>
        </w:tc>
      </w:tr>
      <w:tr>
        <w:trPr>
          <w:trHeight w:val="160"/>
        </w:trPr>
        <w:tc>
          <w:tcPr>
            <w:tcW w:w="500" w:type="dxa"/>
            <w:vAlign w:val="bottom"/>
            <w:gridSpan w:val="2"/>
          </w:tcPr>
          <w:p>
            <w:pPr>
              <w:spacing w:after="0" w:line="160" w:lineRule="exact"/>
              <w:rPr>
                <w:rFonts w:ascii="Times New Roman" w:cs="Times New Roman" w:eastAsia="Times New Roman" w:hAnsi="Times New Roman"/>
                <w:sz w:val="16"/>
                <w:szCs w:val="16"/>
                <w:color w:val="0000EE"/>
              </w:rPr>
            </w:pPr>
            <w:hyperlink r:id="rId16">
              <w:r>
                <w:rPr>
                  <w:rFonts w:ascii="Times New Roman" w:cs="Times New Roman" w:eastAsia="Times New Roman" w:hAnsi="Times New Roman"/>
                  <w:sz w:val="16"/>
                  <w:szCs w:val="16"/>
                  <w:color w:val="0000EE"/>
                </w:rPr>
                <w:t>1.</w:t>
              </w:r>
              <w:r>
                <w:rPr>
                  <w:rFonts w:ascii="Times New Roman" w:cs="Times New Roman" w:eastAsia="Times New Roman" w:hAnsi="Times New Roman"/>
                  <w:sz w:val="16"/>
                  <w:szCs w:val="16"/>
                  <w:u w:val="single" w:color="auto"/>
                  <w:color w:val="0000EE"/>
                </w:rPr>
                <w:t>1</w:t>
              </w:r>
            </w:hyperlink>
          </w:p>
        </w:tc>
        <w:tc>
          <w:tcPr>
            <w:tcW w:w="680" w:type="dxa"/>
            <w:vAlign w:val="bottom"/>
          </w:tcPr>
          <w:p>
            <w:pPr>
              <w:spacing w:after="0"/>
              <w:rPr>
                <w:sz w:val="13"/>
                <w:szCs w:val="13"/>
                <w:color w:val="auto"/>
              </w:rPr>
            </w:pPr>
          </w:p>
        </w:tc>
        <w:tc>
          <w:tcPr>
            <w:tcW w:w="938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w w:val="99"/>
              </w:rPr>
              <w:t>Sales Agreement, dated September 26, 2025, by and between Quantum-Si Incorporated and Leerink Partners LLC (incorporated by reference from</w:t>
            </w:r>
          </w:p>
        </w:tc>
      </w:tr>
      <w:tr>
        <w:trPr>
          <w:trHeight w:val="171"/>
        </w:trPr>
        <w:tc>
          <w:tcPr>
            <w:tcW w:w="200" w:type="dxa"/>
            <w:vAlign w:val="bottom"/>
            <w:tcBorders>
              <w:top w:val="single" w:sz="8" w:color="0000EE"/>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38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Exhibit 1.2 to Quantum-Si’s Registration Statement on Form S-3 filed with the SEC on September 26, 2025).</w:t>
            </w:r>
          </w:p>
        </w:tc>
      </w:tr>
      <w:tr>
        <w:trPr>
          <w:trHeight w:val="203"/>
        </w:trPr>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680" w:type="dxa"/>
            <w:vAlign w:val="bottom"/>
          </w:tcPr>
          <w:p>
            <w:pPr>
              <w:spacing w:after="0"/>
              <w:rPr>
                <w:sz w:val="17"/>
                <w:szCs w:val="17"/>
                <w:color w:val="auto"/>
              </w:rPr>
            </w:pPr>
          </w:p>
        </w:tc>
        <w:tc>
          <w:tcPr>
            <w:tcW w:w="9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330"/>
        </w:trPr>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4"/>
                <w:szCs w:val="24"/>
                <w:color w:val="auto"/>
              </w:rPr>
            </w:pPr>
          </w:p>
        </w:tc>
      </w:tr>
    </w:tbl>
    <w:p>
      <w:pPr>
        <w:sectPr>
          <w:pgSz w:w="11900" w:h="16840" w:orient="portrait"/>
          <w:cols w:equalWidth="0" w:num="1">
            <w:col w:w="10580"/>
          </w:cols>
          <w:pgMar w:left="660" w:top="555" w:right="66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8" w:lineRule="exact"/>
        <w:rPr>
          <w:sz w:val="20"/>
          <w:szCs w:val="20"/>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QUANTUM-SI INCORPORATED</w:t>
      </w:r>
    </w:p>
    <w:p>
      <w:pPr>
        <w:spacing w:after="0" w:line="178" w:lineRule="exact"/>
        <w:rPr>
          <w:sz w:val="20"/>
          <w:szCs w:val="20"/>
          <w:color w:val="auto"/>
        </w:rPr>
      </w:pPr>
    </w:p>
    <w:tbl>
      <w:tblPr>
        <w:tblLayout w:type="fixed"/>
        <w:tblInd w:w="4240" w:type="dxa"/>
        <w:tblCellMar>
          <w:top w:w="0" w:type="dxa"/>
          <w:left w:w="0" w:type="dxa"/>
          <w:bottom w:w="0" w:type="dxa"/>
          <w:right w:w="0" w:type="dxa"/>
        </w:tblCellMar>
      </w:tblPr>
      <w:tr>
        <w:trPr>
          <w:trHeight w:val="197"/>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Jeffry Keyes</w:t>
            </w:r>
          </w:p>
        </w:tc>
      </w:tr>
      <w:tr>
        <w:trPr>
          <w:trHeight w:val="167"/>
        </w:trPr>
        <w:tc>
          <w:tcPr>
            <w:tcW w:w="10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Name:</w:t>
            </w:r>
          </w:p>
        </w:tc>
        <w:tc>
          <w:tcPr>
            <w:tcW w:w="528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Jeffry Keyes</w:t>
            </w:r>
          </w:p>
        </w:tc>
      </w:tr>
      <w:tr>
        <w:trPr>
          <w:trHeight w:val="203"/>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September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280035</wp:posOffset>
            </wp:positionV>
            <wp:extent cx="670750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 w:name="page4"/>
    <w:bookmarkEnd w:id="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6" Type="http://schemas.openxmlformats.org/officeDocument/2006/relationships/hyperlink" Target="https://www.sec.gov/Archives/edgar/data/1816431/000114036125036334/ny20056029x1_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2025-09-30T10:24:16Z</dcterms:created>
  <dcterms:modified xsi:type="dcterms:W3CDTF">2025-09-30T10:24:16Z</dcterms:modified>
</cp:coreProperties>
</file>