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Johnston Grace</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80" w:type="dxa"/>
            <w:vAlign w:val="bottom"/>
            <w:tcBorders>
              <w:top w:val="single" w:sz="8" w:color="0000EE"/>
              <w:bottom w:val="single" w:sz="8" w:color="9A9A9A"/>
            </w:tcBorders>
          </w:tcPr>
          <w:p>
            <w:pPr>
              <w:spacing w:after="0"/>
              <w:rPr>
                <w:sz w:val="17"/>
                <w:szCs w:val="17"/>
                <w:color w:val="auto"/>
              </w:rPr>
            </w:pPr>
          </w:p>
        </w:tc>
        <w:tc>
          <w:tcPr>
            <w:tcW w:w="130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12/21/2022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Quantum-Si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QSI</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40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C/O QUANTUM-SI</w:t>
      </w:r>
    </w:p>
    <w:p>
      <w:pPr>
        <w:spacing w:after="0" w:line="18"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INCORPORATED</w:t>
      </w:r>
    </w:p>
    <w:p>
      <w:pPr>
        <w:spacing w:after="0" w:line="62" w:lineRule="exact"/>
        <w:rPr>
          <w:sz w:val="24"/>
          <w:szCs w:val="24"/>
          <w:color w:val="auto"/>
        </w:rPr>
      </w:pPr>
    </w:p>
    <w:p>
      <w:pPr>
        <w:ind w:left="140"/>
        <w:spacing w:after="0"/>
        <w:rPr>
          <w:sz w:val="20"/>
          <w:szCs w:val="20"/>
          <w:color w:val="auto"/>
        </w:rPr>
      </w:pPr>
      <w:r>
        <w:rPr>
          <w:rFonts w:ascii="Arial" w:cs="Arial" w:eastAsia="Arial" w:hAnsi="Arial"/>
          <w:sz w:val="18"/>
          <w:szCs w:val="18"/>
          <w:color w:val="0000FF"/>
        </w:rPr>
        <w:t>530 OLD WHITFIELD STREET</w:t>
      </w:r>
    </w:p>
    <w:p>
      <w:pPr>
        <w:spacing w:after="0" w:line="357"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2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5"/>
                <w:szCs w:val="15"/>
                <w:color w:val="auto"/>
              </w:rPr>
            </w:pPr>
          </w:p>
        </w:tc>
      </w:tr>
      <w:tr>
        <w:trPr>
          <w:trHeight w:val="269"/>
        </w:trPr>
        <w:tc>
          <w:tcPr>
            <w:tcW w:w="1720" w:type="dxa"/>
            <w:vAlign w:val="bottom"/>
          </w:tcPr>
          <w:p>
            <w:pPr>
              <w:ind w:left="40"/>
              <w:spacing w:after="0"/>
              <w:rPr>
                <w:sz w:val="20"/>
                <w:szCs w:val="20"/>
                <w:color w:val="auto"/>
              </w:rPr>
            </w:pPr>
            <w:r>
              <w:rPr>
                <w:rFonts w:ascii="Arial" w:cs="Arial" w:eastAsia="Arial" w:hAnsi="Arial"/>
                <w:sz w:val="20"/>
                <w:szCs w:val="20"/>
                <w:color w:val="0000FF"/>
              </w:rPr>
              <w:t>GUILFORD CT</w:t>
            </w:r>
          </w:p>
        </w:tc>
        <w:tc>
          <w:tcPr>
            <w:tcW w:w="880" w:type="dxa"/>
            <w:vAlign w:val="bottom"/>
          </w:tcPr>
          <w:p>
            <w:pPr>
              <w:jc w:val="right"/>
              <w:spacing w:after="0"/>
              <w:rPr>
                <w:sz w:val="20"/>
                <w:szCs w:val="20"/>
                <w:color w:val="auto"/>
              </w:rPr>
            </w:pPr>
            <w:r>
              <w:rPr>
                <w:rFonts w:ascii="Arial" w:cs="Arial" w:eastAsia="Arial" w:hAnsi="Arial"/>
                <w:sz w:val="20"/>
                <w:szCs w:val="20"/>
                <w:color w:val="0000FF"/>
              </w:rPr>
              <w:t>06437</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543"/>
        <w:spacing w:after="0"/>
        <w:rPr>
          <w:sz w:val="20"/>
          <w:szCs w:val="20"/>
          <w:color w:val="auto"/>
        </w:rPr>
      </w:pPr>
      <w:r>
        <w:rPr>
          <w:rFonts w:ascii="Arial" w:cs="Arial" w:eastAsia="Arial" w:hAnsi="Arial"/>
          <w:sz w:val="20"/>
          <w:szCs w:val="20"/>
          <w:color w:val="0000FF"/>
        </w:rPr>
        <w:t>Chief Commercial Officer</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4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45"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16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Exhibit 24.1 -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/s/ Christian LaPointe,</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12/22/2022</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Ph.D., 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6540" w:type="dxa"/>
            <w:vAlign w:val="bottom"/>
          </w:tcPr>
          <w:p>
            <w:pPr>
              <w:spacing w:after="0"/>
              <w:rPr>
                <w:sz w:val="21"/>
                <w:szCs w:val="21"/>
                <w:color w:val="auto"/>
              </w:rPr>
            </w:pPr>
          </w:p>
        </w:tc>
        <w:tc>
          <w:tcPr>
            <w:tcW w:w="1840" w:type="dxa"/>
            <w:vAlign w:val="bottom"/>
            <w:tcBorders>
              <w:top w:val="single" w:sz="8" w:color="auto"/>
            </w:tcBorders>
            <w:gridSpan w:val="2"/>
          </w:tcPr>
          <w:p>
            <w:pPr>
              <w:spacing w:after="0"/>
              <w:rPr>
                <w:sz w:val="20"/>
                <w:szCs w:val="20"/>
                <w:color w:val="auto"/>
              </w:rPr>
            </w:pPr>
            <w:r>
              <w:rPr>
                <w:rFonts w:ascii="Arial" w:cs="Arial" w:eastAsia="Arial" w:hAnsi="Arial"/>
                <w:sz w:val="15"/>
                <w:szCs w:val="15"/>
                <w:color w:val="auto"/>
              </w:rPr>
              <w:t>** Signature of Reporting</w:t>
            </w:r>
          </w:p>
        </w:tc>
        <w:tc>
          <w:tcPr>
            <w:tcW w:w="34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304800</wp:posOffset>
            </wp:positionH>
            <wp:positionV relativeFrom="page">
              <wp:posOffset>88900</wp:posOffset>
            </wp:positionV>
            <wp:extent cx="6946900"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38100"/>
                    </a:xfrm>
                    <a:prstGeom prst="rect">
                      <a:avLst/>
                    </a:prstGeom>
                    <a:noFill/>
                  </pic:spPr>
                </pic:pic>
              </a:graphicData>
            </a:graphic>
          </wp:anchor>
        </w:drawing>
        <w:t>Exhibit 24.1</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POWER OF ATTORNEY</w:t>
      </w:r>
    </w:p>
    <w:p>
      <w:pPr>
        <w:spacing w:after="0" w:line="272" w:lineRule="exact"/>
        <w:rPr>
          <w:sz w:val="20"/>
          <w:szCs w:val="20"/>
          <w:color w:val="auto"/>
        </w:rPr>
      </w:pPr>
    </w:p>
    <w:p>
      <w:pPr>
        <w:jc w:val="both"/>
        <w:ind w:firstLine="720"/>
        <w:spacing w:after="0" w:line="273" w:lineRule="auto"/>
        <w:rPr>
          <w:sz w:val="20"/>
          <w:szCs w:val="20"/>
          <w:color w:val="auto"/>
        </w:rPr>
      </w:pPr>
      <w:r>
        <w:rPr>
          <w:rFonts w:ascii="Arial" w:cs="Arial" w:eastAsia="Arial" w:hAnsi="Arial"/>
          <w:sz w:val="22"/>
          <w:szCs w:val="22"/>
          <w:color w:val="auto"/>
        </w:rPr>
        <w:t>Know all by these presents, that the undersigned hereby constitutes and appoints Christian LaPointe of Quantum-Si Incorporated (the “Company”), and Michael Fantozzi, Jason McCaffrey, Samantha Silver, Brenda Meyette, Tanya Sylla and Robyn Frattali, each of Mintz, Levin, Cohn, Ferris, Glovsky and Popeo, P.C., signing singly, with full power of substitution, the undersigned's true and lawful attorney-in-fact to:</w:t>
      </w:r>
    </w:p>
    <w:p>
      <w:pPr>
        <w:spacing w:after="0" w:line="207" w:lineRule="exact"/>
        <w:rPr>
          <w:sz w:val="20"/>
          <w:szCs w:val="20"/>
          <w:color w:val="auto"/>
        </w:rPr>
      </w:pPr>
    </w:p>
    <w:p>
      <w:pPr>
        <w:ind w:left="2160" w:hanging="719"/>
        <w:spacing w:after="0" w:line="277" w:lineRule="auto"/>
        <w:tabs>
          <w:tab w:leader="none" w:pos="2160" w:val="left"/>
        </w:tabs>
        <w:numPr>
          <w:ilvl w:val="0"/>
          <w:numId w:val="5"/>
        </w:numPr>
        <w:rPr>
          <w:rFonts w:ascii="Arial" w:cs="Arial" w:eastAsia="Arial" w:hAnsi="Arial"/>
          <w:sz w:val="20"/>
          <w:szCs w:val="20"/>
          <w:color w:val="auto"/>
        </w:rPr>
      </w:pPr>
      <w:r>
        <w:rPr>
          <w:rFonts w:ascii="Arial" w:cs="Arial" w:eastAsia="Arial" w:hAnsi="Arial"/>
          <w:sz w:val="20"/>
          <w:szCs w:val="20"/>
          <w:color w:val="auto"/>
        </w:rPr>
        <w:t>execute for and on behalf of the undersigned, forms and authentication documents for EDGAR Filing Access;</w:t>
      </w:r>
    </w:p>
    <w:p>
      <w:pPr>
        <w:spacing w:after="0" w:line="219" w:lineRule="exact"/>
        <w:rPr>
          <w:rFonts w:ascii="Arial" w:cs="Arial" w:eastAsia="Arial" w:hAnsi="Arial"/>
          <w:sz w:val="20"/>
          <w:szCs w:val="20"/>
          <w:color w:val="auto"/>
        </w:rPr>
      </w:pPr>
    </w:p>
    <w:p>
      <w:pPr>
        <w:ind w:left="2160" w:right="20" w:hanging="719"/>
        <w:spacing w:after="0" w:line="277" w:lineRule="auto"/>
        <w:tabs>
          <w:tab w:leader="none" w:pos="2160" w:val="left"/>
        </w:tabs>
        <w:numPr>
          <w:ilvl w:val="0"/>
          <w:numId w:val="5"/>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forms and authentication documents;</w:t>
      </w:r>
    </w:p>
    <w:p>
      <w:pPr>
        <w:spacing w:after="0" w:line="219" w:lineRule="exact"/>
        <w:rPr>
          <w:rFonts w:ascii="Arial" w:cs="Arial" w:eastAsia="Arial" w:hAnsi="Arial"/>
          <w:sz w:val="20"/>
          <w:szCs w:val="20"/>
          <w:color w:val="auto"/>
        </w:rPr>
      </w:pPr>
    </w:p>
    <w:p>
      <w:pPr>
        <w:jc w:val="both"/>
        <w:ind w:left="2160" w:hanging="719"/>
        <w:spacing w:after="0" w:line="264" w:lineRule="auto"/>
        <w:tabs>
          <w:tab w:leader="none" w:pos="2160" w:val="left"/>
        </w:tabs>
        <w:numPr>
          <w:ilvl w:val="0"/>
          <w:numId w:val="5"/>
        </w:numPr>
        <w:rPr>
          <w:rFonts w:ascii="Arial" w:cs="Arial" w:eastAsia="Arial" w:hAnsi="Arial"/>
          <w:sz w:val="20"/>
          <w:szCs w:val="20"/>
          <w:color w:val="auto"/>
        </w:rPr>
      </w:pPr>
      <w:r>
        <w:rPr>
          <w:rFonts w:ascii="Arial" w:cs="Arial" w:eastAsia="Arial" w:hAnsi="Arial"/>
          <w:sz w:val="20"/>
          <w:szCs w:val="20"/>
          <w:color w:val="auto"/>
        </w:rPr>
        <w:t>execute for and on behalf of the undersigned, in the undersigned's capacity as an officer, director and/or 10% shareholder of the Company, Forms 3, 4 and 5 in accordance with Section 16(a) of the Securities Exchange Act of 1934 and the rules thereunder;</w:t>
      </w:r>
    </w:p>
    <w:p>
      <w:pPr>
        <w:spacing w:after="0" w:line="231" w:lineRule="exact"/>
        <w:rPr>
          <w:rFonts w:ascii="Arial" w:cs="Arial" w:eastAsia="Arial" w:hAnsi="Arial"/>
          <w:sz w:val="20"/>
          <w:szCs w:val="20"/>
          <w:color w:val="auto"/>
        </w:rPr>
      </w:pPr>
    </w:p>
    <w:p>
      <w:pPr>
        <w:jc w:val="both"/>
        <w:ind w:left="2160" w:hanging="719"/>
        <w:spacing w:after="0" w:line="284" w:lineRule="auto"/>
        <w:tabs>
          <w:tab w:leader="none" w:pos="2160" w:val="left"/>
        </w:tabs>
        <w:numPr>
          <w:ilvl w:val="0"/>
          <w:numId w:val="5"/>
        </w:numPr>
        <w:rPr>
          <w:rFonts w:ascii="Arial" w:cs="Arial" w:eastAsia="Arial" w:hAnsi="Arial"/>
          <w:sz w:val="19"/>
          <w:szCs w:val="19"/>
          <w:color w:val="auto"/>
        </w:rPr>
      </w:pPr>
      <w:r>
        <w:rPr>
          <w:rFonts w:ascii="Arial" w:cs="Arial" w:eastAsia="Arial" w:hAnsi="Arial"/>
          <w:sz w:val="19"/>
          <w:szCs w:val="19"/>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or similar authority; and</w:t>
      </w:r>
    </w:p>
    <w:p>
      <w:pPr>
        <w:spacing w:after="0" w:line="214" w:lineRule="exact"/>
        <w:rPr>
          <w:rFonts w:ascii="Arial" w:cs="Arial" w:eastAsia="Arial" w:hAnsi="Arial"/>
          <w:sz w:val="19"/>
          <w:szCs w:val="19"/>
          <w:color w:val="auto"/>
        </w:rPr>
      </w:pPr>
    </w:p>
    <w:p>
      <w:pPr>
        <w:jc w:val="both"/>
        <w:ind w:left="2160" w:hanging="719"/>
        <w:spacing w:after="0" w:line="257" w:lineRule="auto"/>
        <w:tabs>
          <w:tab w:leader="none" w:pos="2160" w:val="left"/>
        </w:tabs>
        <w:numPr>
          <w:ilvl w:val="0"/>
          <w:numId w:val="5"/>
        </w:numPr>
        <w:rPr>
          <w:rFonts w:ascii="Arial" w:cs="Arial" w:eastAsia="Arial" w:hAnsi="Arial"/>
          <w:sz w:val="20"/>
          <w:szCs w:val="20"/>
          <w:color w:val="auto"/>
        </w:rPr>
      </w:pPr>
      <w:r>
        <w:rPr>
          <w:rFonts w:ascii="Arial" w:cs="Arial" w:eastAsia="Arial" w:hAnsi="Arial"/>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2" w:lineRule="exact"/>
        <w:rPr>
          <w:sz w:val="20"/>
          <w:szCs w:val="20"/>
          <w:color w:val="auto"/>
        </w:rPr>
      </w:pPr>
    </w:p>
    <w:p>
      <w:pPr>
        <w:jc w:val="both"/>
        <w:ind w:firstLine="720"/>
        <w:spacing w:after="0" w:line="238" w:lineRule="auto"/>
        <w:rPr>
          <w:sz w:val="20"/>
          <w:szCs w:val="20"/>
          <w:color w:val="auto"/>
        </w:rPr>
      </w:pPr>
      <w:r>
        <w:rPr>
          <w:rFonts w:ascii="Arial" w:cs="Arial" w:eastAsia="Arial" w:hAnsi="Arial"/>
          <w:sz w:val="24"/>
          <w:szCs w:val="24"/>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is not assuming, nor is the Company assuming, any of the undersigned's responsibilities to comply with Section 16 of the Securities Exchange Act of 1934.</w:t>
      </w:r>
    </w:p>
    <w:p>
      <w:pPr>
        <w:spacing w:after="0" w:line="238" w:lineRule="exact"/>
        <w:rPr>
          <w:sz w:val="20"/>
          <w:szCs w:val="20"/>
          <w:color w:val="auto"/>
        </w:rPr>
      </w:pPr>
    </w:p>
    <w:p>
      <w:pPr>
        <w:jc w:val="both"/>
        <w:ind w:firstLine="720"/>
        <w:spacing w:after="0" w:line="243" w:lineRule="auto"/>
        <w:rPr>
          <w:sz w:val="20"/>
          <w:szCs w:val="20"/>
          <w:color w:val="auto"/>
        </w:rPr>
      </w:pPr>
      <w:r>
        <w:rPr>
          <w:rFonts w:ascii="Arial" w:cs="Arial" w:eastAsia="Arial" w:hAnsi="Arial"/>
          <w:sz w:val="24"/>
          <w:szCs w:val="24"/>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33" w:lineRule="exact"/>
        <w:rPr>
          <w:sz w:val="20"/>
          <w:szCs w:val="20"/>
          <w:color w:val="auto"/>
        </w:rPr>
      </w:pPr>
    </w:p>
    <w:p>
      <w:pPr>
        <w:jc w:val="both"/>
        <w:ind w:right="20" w:firstLine="720"/>
        <w:spacing w:after="0" w:line="260" w:lineRule="auto"/>
        <w:rPr>
          <w:sz w:val="20"/>
          <w:szCs w:val="20"/>
          <w:color w:val="auto"/>
        </w:rPr>
      </w:pPr>
      <w:r>
        <w:rPr>
          <w:rFonts w:ascii="Arial" w:cs="Arial" w:eastAsia="Arial" w:hAnsi="Arial"/>
          <w:sz w:val="24"/>
          <w:szCs w:val="24"/>
          <w:color w:val="auto"/>
        </w:rPr>
        <w:t>IN WITNESS WHEREOF, the undersigned has caused this Power of Attorney to be executed this 12th day of December 2022.</w:t>
      </w:r>
    </w:p>
    <w:p>
      <w:pPr>
        <w:spacing w:after="0" w:line="220"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/s/ Grace Johnston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16510</wp:posOffset>
            </wp:positionV>
            <wp:extent cx="2086610"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086610" cy="19050"/>
                    </a:xfrm>
                    <a:prstGeom prst="rect">
                      <a:avLst/>
                    </a:prstGeom>
                    <a:noFill/>
                  </pic:spPr>
                </pic:pic>
              </a:graphicData>
            </a:graphic>
          </wp:anchor>
        </w:drawing>
      </w:r>
    </w:p>
    <w:p>
      <w:pPr>
        <w:spacing w:after="0" w:line="20"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Grace Johnston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436245</wp:posOffset>
            </wp:positionV>
            <wp:extent cx="694690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940"/>
      </w:cols>
      <w:pgMar w:left="480" w:top="288"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958477" TargetMode="External"/><Relationship Id="rId11" Type="http://schemas.openxmlformats.org/officeDocument/2006/relationships/hyperlink" Target="http://www.sec.gov/cgi-bin/browse-edgar?action=getcompany&amp;CIK=0001816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2022-12-22T15:31:07Z</dcterms:created>
  <dcterms:modified xsi:type="dcterms:W3CDTF">2022-12-22T15:31:07Z</dcterms:modified>
</cp:coreProperties>
</file>