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QUANTUM-SI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280" w:type="dxa"/>
        <w:tblCellMar>
          <w:top w:w="0" w:type="dxa"/>
          <w:left w:w="0" w:type="dxa"/>
          <w:bottom w:w="0" w:type="dxa"/>
          <w:right w:w="0" w:type="dxa"/>
        </w:tblCellMar>
      </w:tblPr>
      <w:tr>
        <w:trPr>
          <w:trHeight w:val="220"/>
        </w:trPr>
        <w:tc>
          <w:tcPr>
            <w:tcW w:w="3760" w:type="dxa"/>
            <w:vAlign w:val="bottom"/>
          </w:tcPr>
          <w:p>
            <w:pPr>
              <w:jc w:val="center"/>
              <w:ind w:right="510"/>
              <w:spacing w:after="0"/>
              <w:rPr>
                <w:sz w:val="20"/>
                <w:szCs w:val="20"/>
                <w:color w:val="auto"/>
              </w:rPr>
            </w:pPr>
            <w:r>
              <w:rPr>
                <w:rFonts w:ascii="Arial" w:cs="Arial" w:eastAsia="Arial" w:hAnsi="Arial"/>
                <w:sz w:val="18"/>
                <w:szCs w:val="18"/>
                <w:b w:val="1"/>
                <w:bCs w:val="1"/>
                <w:color w:val="auto"/>
                <w:w w:val="91"/>
              </w:rPr>
              <w:t>Delaware</w:t>
            </w:r>
          </w:p>
        </w:tc>
        <w:tc>
          <w:tcPr>
            <w:tcW w:w="3340" w:type="dxa"/>
            <w:vAlign w:val="bottom"/>
          </w:tcPr>
          <w:p>
            <w:pPr>
              <w:jc w:val="right"/>
              <w:ind w:right="1270"/>
              <w:spacing w:after="0"/>
              <w:rPr>
                <w:sz w:val="20"/>
                <w:szCs w:val="20"/>
                <w:color w:val="auto"/>
              </w:rPr>
            </w:pPr>
            <w:r>
              <w:rPr>
                <w:rFonts w:ascii="Arial" w:cs="Arial" w:eastAsia="Arial" w:hAnsi="Arial"/>
                <w:sz w:val="18"/>
                <w:szCs w:val="18"/>
                <w:b w:val="1"/>
                <w:bCs w:val="1"/>
                <w:color w:val="auto"/>
              </w:rPr>
              <w:t>001-39486</w:t>
            </w:r>
          </w:p>
        </w:tc>
        <w:tc>
          <w:tcPr>
            <w:tcW w:w="3240" w:type="dxa"/>
            <w:vAlign w:val="bottom"/>
          </w:tcPr>
          <w:p>
            <w:pPr>
              <w:jc w:val="right"/>
              <w:ind w:right="710"/>
              <w:spacing w:after="0"/>
              <w:rPr>
                <w:sz w:val="20"/>
                <w:szCs w:val="20"/>
                <w:color w:val="auto"/>
              </w:rPr>
            </w:pPr>
            <w:r>
              <w:rPr>
                <w:rFonts w:ascii="Arial" w:cs="Arial" w:eastAsia="Arial" w:hAnsi="Arial"/>
                <w:sz w:val="18"/>
                <w:szCs w:val="18"/>
                <w:b w:val="1"/>
                <w:bCs w:val="1"/>
                <w:color w:val="auto"/>
              </w:rPr>
              <w:t>85-1388175</w:t>
            </w:r>
          </w:p>
        </w:tc>
      </w:tr>
      <w:tr>
        <w:trPr>
          <w:trHeight w:val="230"/>
        </w:trPr>
        <w:tc>
          <w:tcPr>
            <w:tcW w:w="3760" w:type="dxa"/>
            <w:vAlign w:val="bottom"/>
          </w:tcPr>
          <w:p>
            <w:pPr>
              <w:jc w:val="center"/>
              <w:ind w:right="510"/>
              <w:spacing w:after="0"/>
              <w:rPr>
                <w:sz w:val="20"/>
                <w:szCs w:val="20"/>
                <w:color w:val="auto"/>
              </w:rPr>
            </w:pPr>
            <w:r>
              <w:rPr>
                <w:rFonts w:ascii="Arial" w:cs="Arial" w:eastAsia="Arial" w:hAnsi="Arial"/>
                <w:sz w:val="18"/>
                <w:szCs w:val="18"/>
                <w:color w:val="auto"/>
                <w:w w:val="92"/>
              </w:rPr>
              <w:t>(State or other jurisdiction of incorporation)</w:t>
            </w:r>
          </w:p>
        </w:tc>
        <w:tc>
          <w:tcPr>
            <w:tcW w:w="3340" w:type="dxa"/>
            <w:vAlign w:val="bottom"/>
          </w:tcPr>
          <w:p>
            <w:pPr>
              <w:jc w:val="center"/>
              <w:ind w:right="7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tcPr>
          <w:p>
            <w:pPr>
              <w:jc w:val="center"/>
              <w:ind w:left="690"/>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3760" w:type="dxa"/>
            <w:vAlign w:val="bottom"/>
          </w:tcPr>
          <w:p>
            <w:pPr>
              <w:jc w:val="center"/>
              <w:ind w:right="510"/>
              <w:spacing w:after="0"/>
              <w:rPr>
                <w:sz w:val="20"/>
                <w:szCs w:val="20"/>
                <w:color w:val="auto"/>
              </w:rPr>
            </w:pPr>
            <w:r>
              <w:rPr>
                <w:rFonts w:ascii="Arial" w:cs="Arial" w:eastAsia="Arial" w:hAnsi="Arial"/>
                <w:sz w:val="18"/>
                <w:szCs w:val="18"/>
                <w:b w:val="1"/>
                <w:bCs w:val="1"/>
                <w:color w:val="auto"/>
                <w:w w:val="93"/>
              </w:rPr>
              <w:t>530 Old Whitfield Street</w:t>
            </w:r>
          </w:p>
        </w:tc>
        <w:tc>
          <w:tcPr>
            <w:tcW w:w="33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20"/>
        </w:trPr>
        <w:tc>
          <w:tcPr>
            <w:tcW w:w="3760" w:type="dxa"/>
            <w:vAlign w:val="bottom"/>
          </w:tcPr>
          <w:p>
            <w:pPr>
              <w:jc w:val="center"/>
              <w:ind w:right="510"/>
              <w:spacing w:after="0"/>
              <w:rPr>
                <w:sz w:val="20"/>
                <w:szCs w:val="20"/>
                <w:color w:val="auto"/>
              </w:rPr>
            </w:pPr>
            <w:r>
              <w:rPr>
                <w:rFonts w:ascii="Arial" w:cs="Arial" w:eastAsia="Arial" w:hAnsi="Arial"/>
                <w:sz w:val="18"/>
                <w:szCs w:val="18"/>
                <w:b w:val="1"/>
                <w:bCs w:val="1"/>
                <w:color w:val="auto"/>
                <w:w w:val="91"/>
              </w:rPr>
              <w:t>Guilford, Connecticut</w:t>
            </w:r>
          </w:p>
        </w:tc>
        <w:tc>
          <w:tcPr>
            <w:tcW w:w="3340" w:type="dxa"/>
            <w:vAlign w:val="bottom"/>
          </w:tcPr>
          <w:p>
            <w:pPr>
              <w:spacing w:after="0"/>
              <w:rPr>
                <w:sz w:val="19"/>
                <w:szCs w:val="19"/>
                <w:color w:val="auto"/>
              </w:rPr>
            </w:pPr>
          </w:p>
        </w:tc>
        <w:tc>
          <w:tcPr>
            <w:tcW w:w="3240" w:type="dxa"/>
            <w:vAlign w:val="bottom"/>
          </w:tcPr>
          <w:p>
            <w:pPr>
              <w:jc w:val="right"/>
              <w:ind w:right="910"/>
              <w:spacing w:after="0"/>
              <w:rPr>
                <w:sz w:val="20"/>
                <w:szCs w:val="20"/>
                <w:color w:val="auto"/>
              </w:rPr>
            </w:pPr>
            <w:r>
              <w:rPr>
                <w:rFonts w:ascii="Arial" w:cs="Arial" w:eastAsia="Arial" w:hAnsi="Arial"/>
                <w:sz w:val="18"/>
                <w:szCs w:val="18"/>
                <w:b w:val="1"/>
                <w:bCs w:val="1"/>
                <w:color w:val="auto"/>
              </w:rPr>
              <w:t>06437</w:t>
            </w:r>
          </w:p>
        </w:tc>
      </w:tr>
      <w:tr>
        <w:trPr>
          <w:trHeight w:val="230"/>
        </w:trPr>
        <w:tc>
          <w:tcPr>
            <w:tcW w:w="3760" w:type="dxa"/>
            <w:vAlign w:val="bottom"/>
          </w:tcPr>
          <w:p>
            <w:pPr>
              <w:jc w:val="center"/>
              <w:ind w:right="490"/>
              <w:spacing w:after="0"/>
              <w:rPr>
                <w:sz w:val="20"/>
                <w:szCs w:val="20"/>
                <w:color w:val="auto"/>
              </w:rPr>
            </w:pPr>
            <w:r>
              <w:rPr>
                <w:rFonts w:ascii="Arial" w:cs="Arial" w:eastAsia="Arial" w:hAnsi="Arial"/>
                <w:sz w:val="18"/>
                <w:szCs w:val="18"/>
                <w:color w:val="auto"/>
                <w:w w:val="92"/>
              </w:rPr>
              <w:t>(Address of principal executive offices)</w:t>
            </w:r>
          </w:p>
        </w:tc>
        <w:tc>
          <w:tcPr>
            <w:tcW w:w="3340" w:type="dxa"/>
            <w:vAlign w:val="bottom"/>
          </w:tcPr>
          <w:p>
            <w:pPr>
              <w:spacing w:after="0"/>
              <w:rPr>
                <w:sz w:val="20"/>
                <w:szCs w:val="20"/>
                <w:color w:val="auto"/>
              </w:rPr>
            </w:pPr>
          </w:p>
        </w:tc>
        <w:tc>
          <w:tcPr>
            <w:tcW w:w="3240" w:type="dxa"/>
            <w:vAlign w:val="bottom"/>
          </w:tcPr>
          <w:p>
            <w:pPr>
              <w:jc w:val="center"/>
              <w:ind w:left="69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(203) 458-7100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41"/>
        </w:trPr>
        <w:tc>
          <w:tcPr>
            <w:tcW w:w="4540" w:type="dxa"/>
            <w:vAlign w:val="bottom"/>
            <w:gridSpan w:val="3"/>
          </w:tcPr>
          <w:p>
            <w:pPr>
              <w:ind w:left="1140"/>
              <w:spacing w:after="0"/>
              <w:rPr>
                <w:sz w:val="20"/>
                <w:szCs w:val="20"/>
                <w:color w:val="auto"/>
              </w:rPr>
            </w:pPr>
            <w:r>
              <w:rPr>
                <w:rFonts w:ascii="Arial" w:cs="Arial" w:eastAsia="Arial" w:hAnsi="Arial"/>
                <w:sz w:val="18"/>
                <w:szCs w:val="18"/>
                <w:b w:val="1"/>
                <w:bCs w:val="1"/>
                <w:color w:val="auto"/>
              </w:rPr>
              <w:t>Title of each class</w:t>
            </w:r>
          </w:p>
        </w:tc>
        <w:tc>
          <w:tcPr>
            <w:tcW w:w="2900" w:type="dxa"/>
            <w:vAlign w:val="bottom"/>
          </w:tcPr>
          <w:p>
            <w:pPr>
              <w:jc w:val="center"/>
              <w:ind w:right="610"/>
              <w:spacing w:after="0"/>
              <w:rPr>
                <w:sz w:val="20"/>
                <w:szCs w:val="20"/>
                <w:color w:val="auto"/>
              </w:rPr>
            </w:pPr>
            <w:r>
              <w:rPr>
                <w:rFonts w:ascii="Arial" w:cs="Arial" w:eastAsia="Arial" w:hAnsi="Arial"/>
                <w:sz w:val="18"/>
                <w:szCs w:val="18"/>
                <w:b w:val="1"/>
                <w:bCs w:val="1"/>
                <w:color w:val="auto"/>
                <w:w w:val="91"/>
              </w:rPr>
              <w:t>Trading Symbol(s)</w:t>
            </w:r>
          </w:p>
        </w:tc>
        <w:tc>
          <w:tcPr>
            <w:tcW w:w="22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202"/>
        </w:trPr>
        <w:tc>
          <w:tcPr>
            <w:tcW w:w="3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7"/>
              </w:rPr>
              <w:t>Class A common stock, par value $0.0001 per</w:t>
            </w: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tcPr>
          <w:p>
            <w:pPr>
              <w:jc w:val="center"/>
              <w:ind w:right="610"/>
              <w:spacing w:after="0" w:line="201" w:lineRule="exact"/>
              <w:rPr>
                <w:sz w:val="20"/>
                <w:szCs w:val="20"/>
                <w:color w:val="auto"/>
              </w:rPr>
            </w:pPr>
            <w:r>
              <w:rPr>
                <w:rFonts w:ascii="Arial" w:cs="Arial" w:eastAsia="Arial" w:hAnsi="Arial"/>
                <w:sz w:val="18"/>
                <w:szCs w:val="18"/>
                <w:color w:val="auto"/>
                <w:w w:val="90"/>
              </w:rPr>
              <w:t>QSI</w:t>
            </w:r>
          </w:p>
        </w:tc>
        <w:tc>
          <w:tcPr>
            <w:tcW w:w="220" w:type="dxa"/>
            <w:vAlign w:val="bottom"/>
          </w:tcPr>
          <w:p>
            <w:pPr>
              <w:spacing w:after="0"/>
              <w:rPr>
                <w:sz w:val="17"/>
                <w:szCs w:val="17"/>
                <w:color w:val="auto"/>
              </w:rPr>
            </w:pPr>
          </w:p>
        </w:tc>
        <w:tc>
          <w:tcPr>
            <w:tcW w:w="35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The Nasdaq Stock Market LLC</w:t>
            </w:r>
          </w:p>
        </w:tc>
      </w:tr>
      <w:tr>
        <w:trPr>
          <w:trHeight w:val="216"/>
        </w:trPr>
        <w:tc>
          <w:tcPr>
            <w:tcW w:w="4540" w:type="dxa"/>
            <w:vAlign w:val="bottom"/>
            <w:gridSpan w:val="3"/>
          </w:tcPr>
          <w:p>
            <w:pPr>
              <w:spacing w:after="0"/>
              <w:rPr>
                <w:sz w:val="20"/>
                <w:szCs w:val="20"/>
                <w:color w:val="auto"/>
              </w:rPr>
            </w:pPr>
            <w:r>
              <w:rPr>
                <w:rFonts w:ascii="Arial" w:cs="Arial" w:eastAsia="Arial" w:hAnsi="Arial"/>
                <w:sz w:val="18"/>
                <w:szCs w:val="18"/>
                <w:color w:val="auto"/>
              </w:rPr>
              <w:t>share</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4540" w:type="dxa"/>
            <w:vAlign w:val="bottom"/>
            <w:gridSpan w:val="3"/>
          </w:tcPr>
          <w:p>
            <w:pPr>
              <w:spacing w:after="0"/>
              <w:rPr>
                <w:sz w:val="20"/>
                <w:szCs w:val="20"/>
                <w:color w:val="auto"/>
              </w:rPr>
            </w:pPr>
            <w:r>
              <w:rPr>
                <w:rFonts w:ascii="Arial" w:cs="Arial" w:eastAsia="Arial" w:hAnsi="Arial"/>
                <w:sz w:val="18"/>
                <w:szCs w:val="18"/>
                <w:color w:val="auto"/>
              </w:rPr>
              <w:t>Redeemable warrants, each whole warrant</w:t>
            </w:r>
          </w:p>
        </w:tc>
        <w:tc>
          <w:tcPr>
            <w:tcW w:w="2900" w:type="dxa"/>
            <w:vAlign w:val="bottom"/>
          </w:tcPr>
          <w:p>
            <w:pPr>
              <w:jc w:val="center"/>
              <w:ind w:right="630"/>
              <w:spacing w:after="0"/>
              <w:rPr>
                <w:sz w:val="20"/>
                <w:szCs w:val="20"/>
                <w:color w:val="auto"/>
              </w:rPr>
            </w:pPr>
            <w:r>
              <w:rPr>
                <w:rFonts w:ascii="Arial" w:cs="Arial" w:eastAsia="Arial" w:hAnsi="Arial"/>
                <w:sz w:val="18"/>
                <w:szCs w:val="18"/>
                <w:color w:val="auto"/>
                <w:w w:val="96"/>
              </w:rPr>
              <w:t>QSIAW</w:t>
            </w:r>
          </w:p>
        </w:tc>
        <w:tc>
          <w:tcPr>
            <w:tcW w:w="3800" w:type="dxa"/>
            <w:vAlign w:val="bottom"/>
            <w:gridSpan w:val="2"/>
          </w:tcPr>
          <w:p>
            <w:pPr>
              <w:ind w:left="220"/>
              <w:spacing w:after="0"/>
              <w:rPr>
                <w:sz w:val="20"/>
                <w:szCs w:val="20"/>
                <w:color w:val="auto"/>
              </w:rPr>
            </w:pPr>
            <w:r>
              <w:rPr>
                <w:rFonts w:ascii="Arial" w:cs="Arial" w:eastAsia="Arial" w:hAnsi="Arial"/>
                <w:sz w:val="18"/>
                <w:szCs w:val="18"/>
                <w:color w:val="auto"/>
              </w:rPr>
              <w:t>The Nasdaq Stock Market LLC</w:t>
            </w:r>
          </w:p>
        </w:tc>
      </w:tr>
      <w:tr>
        <w:trPr>
          <w:trHeight w:val="216"/>
        </w:trPr>
        <w:tc>
          <w:tcPr>
            <w:tcW w:w="4540" w:type="dxa"/>
            <w:vAlign w:val="bottom"/>
            <w:gridSpan w:val="3"/>
          </w:tcPr>
          <w:p>
            <w:pPr>
              <w:spacing w:after="0"/>
              <w:rPr>
                <w:sz w:val="20"/>
                <w:szCs w:val="20"/>
                <w:color w:val="auto"/>
              </w:rPr>
            </w:pPr>
            <w:r>
              <w:rPr>
                <w:rFonts w:ascii="Arial" w:cs="Arial" w:eastAsia="Arial" w:hAnsi="Arial"/>
                <w:sz w:val="18"/>
                <w:szCs w:val="18"/>
                <w:color w:val="auto"/>
              </w:rPr>
              <w:t>exercisable for one share of Class A common</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4540" w:type="dxa"/>
            <w:vAlign w:val="bottom"/>
            <w:gridSpan w:val="3"/>
          </w:tcPr>
          <w:p>
            <w:pPr>
              <w:spacing w:after="0"/>
              <w:rPr>
                <w:sz w:val="20"/>
                <w:szCs w:val="20"/>
                <w:color w:val="auto"/>
              </w:rPr>
            </w:pPr>
            <w:r>
              <w:rPr>
                <w:rFonts w:ascii="Arial" w:cs="Arial" w:eastAsia="Arial" w:hAnsi="Arial"/>
                <w:sz w:val="18"/>
                <w:szCs w:val="18"/>
                <w:color w:val="auto"/>
              </w:rPr>
              <w:t>stock, each at an exercise price of $11.50 per</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rPr>
              <w:t>share</w:t>
            </w: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660"/>
        <w:spacing w:after="0" w:line="207" w:lineRule="exact"/>
        <w:tabs>
          <w:tab w:leader="none" w:pos="110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November 7, 2022, Quantum-Si Incorporated (the “Company”) issued a press release announcing its results for the third quarter ended September 30, 2022 and providing a business update. A copy of the press release is furnished as Exhibit 99.1 hereto.</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3"/>
              </w:rPr>
              <w:t>Exhibit</w:t>
            </w:r>
          </w:p>
        </w:tc>
        <w:tc>
          <w:tcPr>
            <w:tcW w:w="9420" w:type="dxa"/>
            <w:vAlign w:val="bottom"/>
          </w:tcPr>
          <w:p>
            <w:pPr>
              <w:spacing w:after="0"/>
              <w:rPr>
                <w:sz w:val="18"/>
                <w:szCs w:val="18"/>
                <w:color w:val="auto"/>
              </w:rPr>
            </w:pPr>
          </w:p>
        </w:tc>
      </w:tr>
      <w:tr>
        <w:trPr>
          <w:trHeight w:val="241"/>
        </w:trPr>
        <w:tc>
          <w:tcPr>
            <w:tcW w:w="640" w:type="dxa"/>
            <w:vAlign w:val="bottom"/>
          </w:tcPr>
          <w:p>
            <w:pPr>
              <w:spacing w:after="0"/>
              <w:rPr>
                <w:sz w:val="20"/>
                <w:szCs w:val="20"/>
                <w:color w:val="auto"/>
              </w:rPr>
            </w:pPr>
          </w:p>
        </w:tc>
        <w:tc>
          <w:tcPr>
            <w:tcW w:w="118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6"/>
              </w:rPr>
              <w:t>No.</w:t>
            </w:r>
          </w:p>
        </w:tc>
        <w:tc>
          <w:tcPr>
            <w:tcW w:w="942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391"/>
        </w:trPr>
        <w:tc>
          <w:tcPr>
            <w:tcW w:w="64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0000EE"/>
            </w:tcBorders>
          </w:tcPr>
          <w:p>
            <w:pPr>
              <w:jc w:val="cente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6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November 7, 2022</w:t>
            </w:r>
          </w:p>
        </w:tc>
      </w:tr>
      <w:tr>
        <w:trPr>
          <w:trHeight w:val="237"/>
        </w:trPr>
        <w:tc>
          <w:tcPr>
            <w:tcW w:w="96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26"/>
        </w:trPr>
        <w:tc>
          <w:tcPr>
            <w:tcW w:w="6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QUANTUM-SI INCORPORATED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Claudia Drayton</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Claudia Drayton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525905"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2590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12132"/>
        </w:rPr>
        <w:t>Quantum-Si Reports Third Quarter 2022 Financial Results</w:t>
      </w:r>
    </w:p>
    <w:p>
      <w:pPr>
        <w:spacing w:after="0" w:line="252"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GUILFORD, Conn. -- (BUSINESS WIRE) -- Nov. 07, 2022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Quantum-Si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(Nasdaq: QSI) (“Quantum-Si,” “QSI” or the “Company”), a life</w:t>
      </w:r>
      <w:r>
        <w:rPr>
          <w:rFonts w:ascii="Arial" w:cs="Arial" w:eastAsia="Arial" w:hAnsi="Arial"/>
          <w:sz w:val="18"/>
          <w:szCs w:val="18"/>
          <w:b w:val="1"/>
          <w:bCs w:val="1"/>
          <w:color w:val="auto"/>
        </w:rPr>
        <w:t xml:space="preserve"> </w:t>
      </w:r>
      <w:r>
        <w:rPr>
          <w:rFonts w:ascii="Arial" w:cs="Arial" w:eastAsia="Arial" w:hAnsi="Arial"/>
          <w:sz w:val="18"/>
          <w:szCs w:val="18"/>
          <w:color w:val="auto"/>
        </w:rPr>
        <w:t>sciences company commercializing the first next-generation, single-molecule protein sequencing platform, today announced financial results for the third quarter ending September 30,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2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Appointed Jeff Hawkins as Chief Executive Officer and director to the Board.</w:t>
      </w:r>
    </w:p>
    <w:p>
      <w:pPr>
        <w:spacing w:after="0" w:line="9" w:lineRule="exact"/>
        <w:rPr>
          <w:rFonts w:ascii="Arial" w:cs="Arial" w:eastAsia="Arial" w:hAnsi="Arial"/>
          <w:sz w:val="18"/>
          <w:szCs w:val="18"/>
          <w:color w:val="auto"/>
        </w:rPr>
      </w:pPr>
    </w:p>
    <w:p>
      <w:pPr>
        <w:ind w:left="340" w:right="2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Announced the publication of the paper entitled “Real-time dynamic single-molecule protein sequencing on an integrated semiconductor device,” in </w:t>
      </w:r>
      <w:r>
        <w:rPr>
          <w:rFonts w:ascii="Arial" w:cs="Arial" w:eastAsia="Arial" w:hAnsi="Arial"/>
          <w:sz w:val="18"/>
          <w:szCs w:val="18"/>
          <w:i w:val="1"/>
          <w:iCs w:val="1"/>
          <w:color w:val="auto"/>
        </w:rPr>
        <w:t>Science</w:t>
      </w:r>
      <w:r>
        <w:rPr>
          <w:rFonts w:ascii="Arial" w:cs="Arial" w:eastAsia="Arial" w:hAnsi="Arial"/>
          <w:sz w:val="18"/>
          <w:szCs w:val="18"/>
          <w:color w:val="auto"/>
        </w:rPr>
        <w:t>.</w:t>
      </w:r>
    </w:p>
    <w:p>
      <w:pPr>
        <w:ind w:left="340" w:right="620" w:hanging="332"/>
        <w:spacing w:after="0" w:line="26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Formed a subsidiary to accelerate protein engineering and directed evolution programs in collaboration with development partners at the Ecole Superieure de Physique et de Chimie Industrielles (ESPCI) in Paris, France.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5" w:lineRule="exact"/>
        <w:rPr>
          <w:sz w:val="20"/>
          <w:szCs w:val="20"/>
          <w:color w:val="auto"/>
        </w:rPr>
      </w:pPr>
    </w:p>
    <w:p>
      <w:pPr>
        <w:ind w:left="340" w:right="200" w:hanging="332"/>
        <w:spacing w:after="0" w:line="19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expects to launch its Platinum</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protein sequencing instrument and start taking orders before the end of 2022 and begin shipments in Q1 2023.</w:t>
      </w:r>
    </w:p>
    <w:p>
      <w:pPr>
        <w:ind w:left="340" w:right="880" w:hanging="332"/>
        <w:spacing w:after="0" w:line="323"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continue to increase our efforts to manage costs and improve efficiencies and are lowering our operating expense guidance for a second consecutive time. We now expect operating expenses to grow 25-30% year-over-year in 2022, down from a prior expectation of 40-50%.</w:t>
      </w:r>
    </w:p>
    <w:p>
      <w:pPr>
        <w:spacing w:after="0" w:line="16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“Quantum-Si’s focus during this past quarter has been on preparing our product and commercial organization to confidently launch the Platinum instrument later this year,” said Jeff Hawkins, Chief Executive Officer. “We look forward to the launch of our revolutionary next-generation protein sequencing platform and the opportunity to work closely with our customers to make it an indispensable tool for researchers globally.”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2022 Financial Results</w:t>
      </w:r>
    </w:p>
    <w:p>
      <w:pPr>
        <w:spacing w:after="0" w:line="27"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color w:val="auto"/>
        </w:rPr>
        <w:t>Research and development expenses were $16.7 million in the third quarter of 2022, compared to $11.1 million in the third quarter of 2021. The increase was primarily due to higher internal and external product development activities and higher personnel costs as a result of increased headcount.</w:t>
      </w:r>
    </w:p>
    <w:p>
      <w:pPr>
        <w:spacing w:after="0" w:line="165"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Selling, general and administrative expenses were $11.0 million in the third quarter of 2022, compared to $14.1 million in the third quarter of 2021. The decrease was primarily the result of lower stock-based compensation expense associated with the business combination that took place last year, and a reduction in consulting services, partially offset by an increase in compensation expense from higher headcount.</w:t>
      </w:r>
    </w:p>
    <w:p>
      <w:pPr>
        <w:spacing w:after="0" w:line="1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Operating expenses were $27.7 million in the third quarter of 2022, compared to $25.2 million in the third quarter of 2021, representing an increase of 9.9%.</w:t>
      </w:r>
    </w:p>
    <w:p>
      <w:pPr>
        <w:spacing w:after="0" w:line="197"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Net loss was $31.7 million in the third quarter of 2022, compared to a net loss of $18.1 million in the third quarter of 2021. Adjusted EBITDA was negative $22.9 million in the third quarter of 2022, compared to negative $17.5 million in the third quarter of 2021. The reconciliation of non-GAAP adjusted EBITDA to net loss is provided in a table included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As of September 30, 2022, cash and cash equivalents and investments in marketable securities were $372.1 million.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Webcast and Conference Call Information</w:t>
      </w:r>
    </w:p>
    <w:p>
      <w:pPr>
        <w:spacing w:after="0" w:line="27"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222222"/>
        </w:rPr>
        <w:t xml:space="preserve">Quantum-Si will host a conference call to discuss its third quarter 2022 financial results on Monday, November 7, 2022, at 4:30 PM Eastern Time. </w:t>
      </w:r>
      <w:r>
        <w:rPr>
          <w:rFonts w:ascii="Arial" w:cs="Arial" w:eastAsia="Arial" w:hAnsi="Arial"/>
          <w:sz w:val="18"/>
          <w:szCs w:val="18"/>
          <w:color w:val="000000"/>
        </w:rPr>
        <w:t xml:space="preserve">Individuals interested in listening to the conference call may do so by joining the live webcast on the Investors section of the Quantum-Si website under </w:t>
      </w:r>
      <w:r>
        <w:rPr>
          <w:rFonts w:ascii="Arial" w:cs="Arial" w:eastAsia="Arial" w:hAnsi="Arial"/>
          <w:sz w:val="18"/>
          <w:szCs w:val="18"/>
          <w:u w:val="single" w:color="auto"/>
          <w:color w:val="000000"/>
        </w:rPr>
        <w:t>Events &amp; Presentations</w:t>
      </w:r>
      <w:r>
        <w:rPr>
          <w:rFonts w:ascii="Arial" w:cs="Arial" w:eastAsia="Arial" w:hAnsi="Arial"/>
          <w:sz w:val="18"/>
          <w:szCs w:val="18"/>
          <w:color w:val="000000"/>
        </w:rPr>
        <w:t xml:space="preserve">. Alternatively, individuals can </w:t>
      </w:r>
      <w:r>
        <w:rPr>
          <w:rFonts w:ascii="Arial" w:cs="Arial" w:eastAsia="Arial" w:hAnsi="Arial"/>
          <w:sz w:val="18"/>
          <w:szCs w:val="18"/>
          <w:u w:val="single" w:color="auto"/>
          <w:color w:val="000000"/>
        </w:rPr>
        <w:t>register online</w:t>
      </w:r>
      <w:r>
        <w:rPr>
          <w:rFonts w:ascii="Arial" w:cs="Arial" w:eastAsia="Arial" w:hAnsi="Arial"/>
          <w:sz w:val="18"/>
          <w:szCs w:val="18"/>
          <w:color w:val="000000"/>
        </w:rPr>
        <w:t xml:space="preserve"> to receive a dial-in number and personalized PIN to participate in the call. An archived webcast of the event will be available for replay following the event.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Quantum-Si Incorporated</w:t>
      </w:r>
    </w:p>
    <w:p>
      <w:pPr>
        <w:spacing w:after="0" w:line="27" w:lineRule="exact"/>
        <w:rPr>
          <w:sz w:val="20"/>
          <w:szCs w:val="20"/>
          <w:color w:val="auto"/>
        </w:rPr>
      </w:pPr>
    </w:p>
    <w:p>
      <w:pPr>
        <w:ind w:right="540"/>
        <w:spacing w:after="0" w:line="277" w:lineRule="auto"/>
        <w:rPr>
          <w:sz w:val="20"/>
          <w:szCs w:val="20"/>
          <w:color w:val="auto"/>
        </w:rPr>
      </w:pPr>
      <w:r>
        <w:rPr>
          <w:rFonts w:ascii="Arial" w:cs="Arial" w:eastAsia="Arial" w:hAnsi="Arial"/>
          <w:sz w:val="17"/>
          <w:szCs w:val="17"/>
          <w:color w:val="auto"/>
        </w:rPr>
        <w:t xml:space="preserve">Quantum-Si is focused on revolutionizing the growing field of proteomics. The Company's suite of technologies is powered by a first-of-its-kind semiconductor chip designed to enable single-molecule next-generation protein sequencing and digitize proteomic research in order to advance drug discovery and diagnostics beyond what has been possible with DNA sequencing. Learn more at </w:t>
      </w:r>
      <w:r>
        <w:rPr>
          <w:rFonts w:ascii="Arial" w:cs="Arial" w:eastAsia="Arial" w:hAnsi="Arial"/>
          <w:sz w:val="17"/>
          <w:szCs w:val="17"/>
          <w:u w:val="single" w:color="auto"/>
          <w:color w:val="auto"/>
        </w:rPr>
        <w:t>www.quantum-si.com</w:t>
      </w:r>
      <w:r>
        <w:rPr>
          <w:rFonts w:ascii="Arial" w:cs="Arial" w:eastAsia="Arial" w:hAnsi="Arial"/>
          <w:sz w:val="17"/>
          <w:szCs w:val="17"/>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to providing financial measurements that have been prepared in accordance with accounting principles generally accepted in the United States of America (“U.S. GAAP”), the Company provides additional financial metrics that are not prepared in accordance with U.S. GAAP (“non-GAAP”). The non-GAAP financial measures included in this press release are EBITDA and Adjusted EBITDA. The Company presents non-GAAP financial measures to assist readers of its condensed consolidated financial statements in understanding the core operating results that its management uses to evaluate the business and for financial planning purposes. The Company’s non-GAAP financial measures, EBITDA and Adjusted EBITDA, provide an additional tool for investors to use in comparing its financial performance over multiple periods.</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EBITDA and Adjusted EBITDA are key performance measures that the Company’s management uses to assess its operating performance. These non-GAAP measures facilitate internal comparisons of the Company’s operating performance on a more consistent basis. The Company uses these performance measures for business planning purposes and forecasting. The Company believes that EBITDA and Adjusted EBITDA enhance an investor’s understanding of the Company’s financial performance as they are useful in assessing its operating performance from period-to-period by excluding certain items that the Company believes are not representative of its core business.</w:t>
      </w:r>
    </w:p>
    <w:p>
      <w:pPr>
        <w:spacing w:after="0" w:line="21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EBITDA and Adjusted EBITDA may not be comparable to similarly titled measures of other companies because they may not calculate this measure in the same manner. EBITDA and Adjusted EBITDA are not prepared in accordance with U.S. GAAP and should not be considered in isolation of, or as an alternative to, measures prepared in accordance with U.S. GAAP. When evaluating the Company’s performance, you should consider EBITDA and Adjusted EBITDA alongside other financial performance measures prepared in accordance with U.S. GAAP, including net loss.</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non-GAAP financial measures do not replace the presentation of the Company’s U.S. GAAP financial results and should only be used as a supplement to, not as a substitute for, the Company’s financial results presented in accordance with U.S. GAAP. In this press release, the Company has provided a reconciliation of EBITDA and Adjusted EBITDA to net loss, the most directly comparable U.S. GAAP financial measure. A reconciliation of EBITDA and Adjusted EBITDA to corresponding U.S. GAAP measures is not available on a forward-looking basis because the Company is unable to predict with reasonable certainty the non-cash component of employee compensation expense, changes in its working capital needs, the impact of earnings or charges resulting from matters the Company considers not to be reflective, on a recurring basis, of its ongoing operations, and other such items without unreasonable effort. These items are uncertain, depend on several factors, and could be material to the Company’s results computed in accordance with U.S. GAAP. Management strongly encourages investors to review the Company’s financial statements and publicly-filed reports in their entirety and not rely on any single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press release includes "forward-looking statements" within the meaning of the "safe harbor" provisions of the United States Private Securities Litigation Reform Act of 1995. The actual results of the Company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the Company's expectations with respect to future performance and development and commercialization of products and services. These forward-looking statements involve significant risks and uncertainties that could cause the actual results to differ materially from those discussed in the forward-looking statements. Most of these factors are outside the Company's control and are difficult to predict. Factors that may cause such differences include, but are not limited to: the impact of COVID-19 on the Company's business; the inability to maintain the listing of the Company's Class A common stock on The Nasdaq Stock Market; the ability to recognize the benefits of the business combination, which may be affected by, among other things, competition and the ability of the Company to grow and manage growth profitably and retain its key employees; our ongoing leadership transition; changes in applicable laws or regulations; the ability of the Company to raise financing in the future; the success, cost and timing of the Company's product development and commercialization activities; the potential attributes and benefits of the Company's products and services; the Company's ability to obtain and maintain regulatory approval for its products, and any related restrictions and limitations of any approved product; the Company's ability to identify, in-license or acquire additional technology; the Company's ability to maintain its existing lease, license, manufacture and supply agreements; the Company's ability to compete with other companies currently marketing or engaged in the development or commercialization of products and services that the Company is developing; the size and growth potential of the markets for the Company's future products and services, and its ability to serve those markets, either alone or in partnership with others; the pricing of the Company's products and services following anticipated commercial launch; the Company's estimates regarding future expenses, future revenue, capital requirements and needs for additional financing; the Company's financial performance; and other risks and uncertainties described under "Risk Factors" in the Company’s Annual Report for the fiscal year ended December 31, 2021, and in the Company's other filings with the SEC. The Company cautions that the foregoing list of factors is not exclusive. The Company cautions readers not to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6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23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6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23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59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16,675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53,905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32,190</w:t>
            </w:r>
          </w:p>
        </w:tc>
      </w:tr>
      <w:tr>
        <w:trPr>
          <w:trHeight w:val="223"/>
        </w:trPr>
        <w:tc>
          <w:tcPr>
            <w:tcW w:w="598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10,983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14,071</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31,093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36,928</w:t>
            </w:r>
          </w:p>
        </w:tc>
      </w:tr>
      <w:tr>
        <w:trPr>
          <w:trHeight w:val="223"/>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27,658</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25,175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84,998</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69,118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60" w:type="dxa"/>
            <w:vAlign w:val="bottom"/>
          </w:tcPr>
          <w:p>
            <w:pPr>
              <w:spacing w:after="0"/>
              <w:rPr>
                <w:sz w:val="18"/>
                <w:szCs w:val="18"/>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(27,658)</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(25,175)</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(84,998)</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(69,118)</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Dividend income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739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3,288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741</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3,442</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Other (expense), net</w:t>
            </w:r>
          </w:p>
        </w:tc>
        <w:tc>
          <w:tcPr>
            <w:tcW w:w="160" w:type="dxa"/>
            <w:vAlign w:val="bottom"/>
          </w:tcPr>
          <w:p>
            <w:pPr>
              <w:spacing w:after="0"/>
              <w:rPr>
                <w:sz w:val="19"/>
                <w:szCs w:val="19"/>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(5,573)</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(630)</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(22,713)</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(627)</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before provision for income taxes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(31,713)</w:t>
            </w:r>
          </w:p>
        </w:tc>
        <w:tc>
          <w:tcPr>
            <w:tcW w:w="26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(18,091)</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(99,302)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(65,567)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and comprehensive loss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(31,713)</w:t>
            </w:r>
          </w:p>
        </w:tc>
        <w:tc>
          <w:tcPr>
            <w:tcW w:w="26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(18,091)</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(99,302)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(65,567)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2"/>
        </w:trPr>
        <w:tc>
          <w:tcPr>
            <w:tcW w:w="5980" w:type="dxa"/>
            <w:vAlign w:val="bottom"/>
          </w:tcPr>
          <w:p>
            <w:pPr>
              <w:ind w:left="140"/>
              <w:spacing w:after="0" w:line="201" w:lineRule="exact"/>
              <w:rPr>
                <w:sz w:val="20"/>
                <w:szCs w:val="20"/>
                <w:color w:val="auto"/>
              </w:rPr>
            </w:pPr>
            <w:r>
              <w:rPr>
                <w:rFonts w:ascii="Arial" w:cs="Arial" w:eastAsia="Arial" w:hAnsi="Arial"/>
                <w:sz w:val="18"/>
                <w:szCs w:val="18"/>
                <w:color w:val="auto"/>
                <w:w w:val="96"/>
              </w:rPr>
              <w:t>Net loss per common share attributable to common stockholders, basic and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ind w:left="260"/>
              <w:spacing w:after="0"/>
              <w:rPr>
                <w:sz w:val="20"/>
                <w:szCs w:val="20"/>
                <w:color w:val="auto"/>
              </w:rPr>
            </w:pPr>
            <w:r>
              <w:rPr>
                <w:rFonts w:ascii="Arial" w:cs="Arial" w:eastAsia="Arial" w:hAnsi="Arial"/>
                <w:sz w:val="18"/>
                <w:szCs w:val="18"/>
                <w:color w:val="auto"/>
              </w:rPr>
              <w:t>diluted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(0.23)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(0.13)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(0.71)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r>
      <w:tr>
        <w:trPr>
          <w:trHeight w:val="202"/>
        </w:trPr>
        <w:tc>
          <w:tcPr>
            <w:tcW w:w="59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5"/>
              </w:rPr>
              <w:t>Weighted-average shares used to compute net loss per share attributable to</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common stockholders, basic and diluted</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139,542,660</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136,456,848</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139,057,663</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60,104,891</w:t>
            </w:r>
          </w:p>
        </w:tc>
      </w:tr>
      <w:tr>
        <w:trPr>
          <w:trHeight w:val="426"/>
        </w:trPr>
        <w:tc>
          <w:tcPr>
            <w:tcW w:w="5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78,263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35,785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293,811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435,519</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378,873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477,172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9,483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15,166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6,973</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417,983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503,226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1,775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3,393</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7,276</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Short-term operating lease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12,641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11,528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Long-term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7,219</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30,533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26,192</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Class A Common stock, $0.0001 par value; 600,000,000 shares authorized as of September 30, 2022 and December</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31, 2021; 119,848,170 and 118,025,410 shares issued and outstanding as of September 30, 2022 and December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31, 2021, respectively</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1"/>
              </w:rPr>
              <w:t>Class B Common stock, $0.0001 par value; 27,000,000 shares authorized as of September 30, 2022 and December</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31, 2021; 19,937,500 shares issued and outstanding as of September 30, 2022 and December 31, 2021</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753,970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744,252</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(366,534)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(267,232)</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387,450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477,034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417,983</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503,226</w:t>
            </w:r>
          </w:p>
        </w:tc>
      </w:tr>
      <w:tr>
        <w:trPr>
          <w:trHeight w:val="426"/>
        </w:trPr>
        <w:tc>
          <w:tcPr>
            <w:tcW w:w="868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QUANTUM-SI INCORPORATED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U.S. GAAP TO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b w:val="1"/>
                <w:bCs w:val="1"/>
                <w:color w:val="auto"/>
              </w:rPr>
              <w:t>Adjusted EBITDA</w:t>
            </w: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4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230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4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4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2022</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16"/>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loss</w:t>
            </w:r>
          </w:p>
        </w:tc>
        <w:tc>
          <w:tcPr>
            <w:tcW w:w="15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(31,713)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(99,302)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(65,567)</w:t>
            </w: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ind w:left="40"/>
              <w:spacing w:after="0"/>
              <w:rPr>
                <w:sz w:val="20"/>
                <w:szCs w:val="20"/>
                <w:color w:val="auto"/>
              </w:rPr>
            </w:pPr>
            <w:r>
              <w:rPr>
                <w:rFonts w:ascii="Arial" w:cs="Arial" w:eastAsia="Arial" w:hAnsi="Arial"/>
                <w:sz w:val="18"/>
                <w:szCs w:val="18"/>
                <w:b w:val="1"/>
                <w:bCs w:val="1"/>
                <w:color w:val="auto"/>
              </w:rPr>
              <w:t>Adjustments to reconcile to EBITDA:</w:t>
            </w: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1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4400" w:type="dxa"/>
            <w:vAlign w:val="bottom"/>
          </w:tcPr>
          <w:p>
            <w:pPr>
              <w:ind w:left="140"/>
              <w:spacing w:after="0"/>
              <w:rPr>
                <w:sz w:val="20"/>
                <w:szCs w:val="20"/>
                <w:color w:val="auto"/>
              </w:rPr>
            </w:pPr>
            <w:r>
              <w:rPr>
                <w:rFonts w:ascii="Arial" w:cs="Arial" w:eastAsia="Arial" w:hAnsi="Arial"/>
                <w:sz w:val="18"/>
                <w:szCs w:val="18"/>
                <w:color w:val="auto"/>
              </w:rPr>
              <w:t>Dividend income</w:t>
            </w: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(1,381)</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(739)</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(3,288)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(741)</w:t>
            </w:r>
          </w:p>
        </w:tc>
      </w:tr>
      <w:tr>
        <w:trPr>
          <w:trHeight w:val="216"/>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1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w:t>
            </w:r>
          </w:p>
        </w:tc>
      </w:tr>
      <w:tr>
        <w:trPr>
          <w:trHeight w:val="27"/>
        </w:trPr>
        <w:tc>
          <w:tcPr>
            <w:tcW w:w="44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400" w:type="dxa"/>
            <w:vAlign w:val="bottom"/>
          </w:tcPr>
          <w:p>
            <w:pPr>
              <w:ind w:left="260"/>
              <w:spacing w:after="0"/>
              <w:rPr>
                <w:sz w:val="20"/>
                <w:szCs w:val="20"/>
                <w:color w:val="auto"/>
              </w:rPr>
            </w:pPr>
            <w:r>
              <w:rPr>
                <w:rFonts w:ascii="Arial" w:cs="Arial" w:eastAsia="Arial" w:hAnsi="Arial"/>
                <w:sz w:val="18"/>
                <w:szCs w:val="18"/>
                <w:b w:val="1"/>
                <w:bCs w:val="1"/>
                <w:color w:val="auto"/>
              </w:rPr>
              <w:t>EBITDA</w:t>
            </w:r>
          </w:p>
        </w:tc>
        <w:tc>
          <w:tcPr>
            <w:tcW w:w="1960" w:type="dxa"/>
            <w:vAlign w:val="bottom"/>
            <w:gridSpan w:val="2"/>
          </w:tcPr>
          <w:p>
            <w:pPr>
              <w:jc w:val="right"/>
              <w:ind w:right="227"/>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(32,365)</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(18,566)</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(100,801)</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(65,591)</w:t>
            </w:r>
          </w:p>
        </w:tc>
      </w:tr>
      <w:tr>
        <w:trPr>
          <w:trHeight w:val="216"/>
        </w:trPr>
        <w:tc>
          <w:tcPr>
            <w:tcW w:w="440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Adjustments to reconcile to Adjusted EBITDA:</w:t>
            </w:r>
          </w:p>
        </w:tc>
        <w:tc>
          <w:tcPr>
            <w:tcW w:w="1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00" w:type="dxa"/>
            <w:vAlign w:val="bottom"/>
          </w:tcPr>
          <w:p>
            <w:pPr>
              <w:ind w:left="140"/>
              <w:spacing w:after="0"/>
              <w:rPr>
                <w:sz w:val="20"/>
                <w:szCs w:val="20"/>
                <w:color w:val="auto"/>
              </w:rPr>
            </w:pPr>
            <w:r>
              <w:rPr>
                <w:rFonts w:ascii="Arial" w:cs="Arial" w:eastAsia="Arial" w:hAnsi="Arial"/>
                <w:sz w:val="18"/>
                <w:szCs w:val="18"/>
                <w:color w:val="auto"/>
              </w:rPr>
              <w:t>Change in fair value of warrant liabilities</w:t>
            </w: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(6,975)</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(5,121)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(3,442)</w:t>
            </w:r>
          </w:p>
        </w:tc>
      </w:tr>
      <w:tr>
        <w:trPr>
          <w:trHeight w:val="216"/>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 net</w:t>
            </w:r>
          </w:p>
        </w:tc>
        <w:tc>
          <w:tcPr>
            <w:tcW w:w="1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5,573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r>
      <w:tr>
        <w:trPr>
          <w:trHeight w:val="216"/>
        </w:trPr>
        <w:tc>
          <w:tcPr>
            <w:tcW w:w="44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4,043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7,396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7,099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17,840</w:t>
            </w:r>
          </w:p>
        </w:tc>
      </w:tr>
      <w:tr>
        <w:trPr>
          <w:trHeight w:val="216"/>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related costs - business combination</w:t>
            </w:r>
          </w:p>
        </w:tc>
        <w:tc>
          <w:tcPr>
            <w:tcW w:w="1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6,920</w:t>
            </w:r>
          </w:p>
        </w:tc>
      </w:tr>
      <w:tr>
        <w:trPr>
          <w:trHeight w:val="27"/>
        </w:trPr>
        <w:tc>
          <w:tcPr>
            <w:tcW w:w="44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400" w:type="dxa"/>
            <w:vAlign w:val="bottom"/>
          </w:tcPr>
          <w:p>
            <w:pPr>
              <w:ind w:left="140"/>
              <w:spacing w:after="0"/>
              <w:rPr>
                <w:sz w:val="20"/>
                <w:szCs w:val="20"/>
                <w:color w:val="auto"/>
              </w:rPr>
            </w:pPr>
            <w:r>
              <w:rPr>
                <w:rFonts w:ascii="Arial" w:cs="Arial" w:eastAsia="Arial" w:hAnsi="Arial"/>
                <w:sz w:val="18"/>
                <w:szCs w:val="18"/>
                <w:b w:val="1"/>
                <w:bCs w:val="1"/>
                <w:color w:val="auto"/>
              </w:rPr>
              <w:t>Adjusted EBITDA</w:t>
            </w:r>
          </w:p>
        </w:tc>
        <w:tc>
          <w:tcPr>
            <w:tcW w:w="1960" w:type="dxa"/>
            <w:vAlign w:val="bottom"/>
            <w:gridSpan w:val="2"/>
          </w:tcPr>
          <w:p>
            <w:pPr>
              <w:jc w:val="right"/>
              <w:ind w:right="227"/>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(22,886)</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(17,515)</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(76,110)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(43,646)</w:t>
            </w:r>
          </w:p>
        </w:tc>
      </w:tr>
      <w:tr>
        <w:trPr>
          <w:trHeight w:val="27"/>
        </w:trPr>
        <w:tc>
          <w:tcPr>
            <w:tcW w:w="4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212132"/>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212132"/>
        </w:rPr>
        <w:t>Juan Avendano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ir@quantum-si.com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212132"/>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212132"/>
        </w:rPr>
        <w:t>Shawna Marino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media@quantum-si.com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Source: Quantum-Si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2022-11-07T15:50:31Z</dcterms:created>
  <dcterms:modified xsi:type="dcterms:W3CDTF">2022-11-07T15:50:31Z</dcterms:modified>
</cp:coreProperties>
</file>