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132715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800" w:hanging="3872"/>
        <w:spacing w:after="0" w:line="493" w:lineRule="auto"/>
        <w:tabs>
          <w:tab w:leader="none" w:pos="3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transition period from ________ to 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001-39486</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770"/>
              <w:spacing w:after="0"/>
              <w:rPr>
                <w:sz w:val="20"/>
                <w:szCs w:val="20"/>
                <w:color w:val="auto"/>
              </w:rPr>
            </w:pPr>
            <w:r>
              <w:rPr>
                <w:rFonts w:ascii="Arial" w:cs="Arial" w:eastAsia="Arial" w:hAnsi="Arial"/>
                <w:sz w:val="18"/>
                <w:szCs w:val="18"/>
                <w:b w:val="1"/>
                <w:bCs w:val="1"/>
                <w:color w:val="auto"/>
              </w:rPr>
              <w:t>85-1388175</w:t>
            </w:r>
          </w:p>
        </w:tc>
      </w:tr>
      <w:tr>
        <w:trPr>
          <w:trHeight w:val="230"/>
        </w:trPr>
        <w:tc>
          <w:tcPr>
            <w:tcW w:w="544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29 Business Park Drive</w:t>
            </w:r>
          </w:p>
        </w:tc>
        <w:tc>
          <w:tcPr>
            <w:tcW w:w="3720" w:type="dxa"/>
            <w:vAlign w:val="bottom"/>
          </w:tcPr>
          <w:p>
            <w:pPr>
              <w:spacing w:after="0"/>
              <w:rPr>
                <w:sz w:val="24"/>
                <w:szCs w:val="24"/>
                <w:color w:val="auto"/>
              </w:rPr>
            </w:pPr>
          </w:p>
        </w:tc>
      </w:tr>
      <w:tr>
        <w:trPr>
          <w:trHeight w:val="220"/>
        </w:trPr>
        <w:tc>
          <w:tcPr>
            <w:tcW w:w="54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Branford, Connecticut</w:t>
            </w:r>
          </w:p>
        </w:tc>
        <w:tc>
          <w:tcPr>
            <w:tcW w:w="3720" w:type="dxa"/>
            <w:vAlign w:val="bottom"/>
          </w:tcPr>
          <w:p>
            <w:pPr>
              <w:jc w:val="right"/>
              <w:ind w:right="970"/>
              <w:spacing w:after="0"/>
              <w:rPr>
                <w:sz w:val="20"/>
                <w:szCs w:val="20"/>
                <w:color w:val="auto"/>
              </w:rPr>
            </w:pPr>
            <w:r>
              <w:rPr>
                <w:rFonts w:ascii="Arial" w:cs="Arial" w:eastAsia="Arial" w:hAnsi="Arial"/>
                <w:sz w:val="18"/>
                <w:szCs w:val="18"/>
                <w:b w:val="1"/>
                <w:bCs w:val="1"/>
                <w:color w:val="auto"/>
              </w:rPr>
              <w:t>06405</w:t>
            </w:r>
          </w:p>
        </w:tc>
      </w:tr>
      <w:tr>
        <w:trPr>
          <w:trHeight w:val="230"/>
        </w:trPr>
        <w:tc>
          <w:tcPr>
            <w:tcW w:w="544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688-7374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4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720" w:type="dxa"/>
            <w:vAlign w:val="bottom"/>
          </w:tcPr>
          <w:p>
            <w:pPr>
              <w:jc w:val="center"/>
              <w:spacing w:after="0" w:line="201" w:lineRule="exact"/>
              <w:rPr>
                <w:sz w:val="20"/>
                <w:szCs w:val="20"/>
                <w:color w:val="auto"/>
              </w:rPr>
            </w:pPr>
            <w:r>
              <w:rPr>
                <w:rFonts w:ascii="Arial" w:cs="Arial" w:eastAsia="Arial" w:hAnsi="Arial"/>
                <w:sz w:val="18"/>
                <w:szCs w:val="18"/>
                <w:color w:val="auto"/>
                <w:w w:val="89"/>
              </w:rPr>
              <w:t>Class A common stock, $0.0001 per share</w:t>
            </w:r>
          </w:p>
        </w:tc>
        <w:tc>
          <w:tcPr>
            <w:tcW w:w="120" w:type="dxa"/>
            <w:vAlign w:val="bottom"/>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8"/>
                <w:szCs w:val="18"/>
                <w:color w:val="auto"/>
                <w:w w:val="90"/>
              </w:rPr>
              <w:t>QSI</w:t>
            </w:r>
          </w:p>
        </w:tc>
        <w:tc>
          <w:tcPr>
            <w:tcW w:w="120" w:type="dxa"/>
            <w:vAlign w:val="bottom"/>
          </w:tcPr>
          <w:p>
            <w:pPr>
              <w:spacing w:after="0"/>
              <w:rPr>
                <w:sz w:val="17"/>
                <w:szCs w:val="17"/>
                <w:color w:val="auto"/>
              </w:rPr>
            </w:pPr>
          </w:p>
        </w:tc>
        <w:tc>
          <w:tcPr>
            <w:tcW w:w="4720" w:type="dxa"/>
            <w:vAlign w:val="bottom"/>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QSIAW</w:t>
            </w:r>
          </w:p>
        </w:tc>
        <w:tc>
          <w:tcPr>
            <w:tcW w:w="12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4720" w:type="dxa"/>
            <w:vAlign w:val="bottom"/>
          </w:tcPr>
          <w:p>
            <w:pPr>
              <w:jc w:val="center"/>
              <w:spacing w:after="0"/>
              <w:rPr>
                <w:sz w:val="20"/>
                <w:szCs w:val="20"/>
                <w:color w:val="auto"/>
              </w:rPr>
            </w:pPr>
            <w:r>
              <w:rPr>
                <w:rFonts w:ascii="Arial" w:cs="Arial" w:eastAsia="Arial" w:hAnsi="Arial"/>
                <w:sz w:val="18"/>
                <w:szCs w:val="18"/>
                <w:color w:val="auto"/>
                <w:w w:val="88"/>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0"/>
        </w:trPr>
        <w:tc>
          <w:tcPr>
            <w:tcW w:w="4720" w:type="dxa"/>
            <w:vAlign w:val="bottom"/>
          </w:tcPr>
          <w:p>
            <w:pPr>
              <w:jc w:val="center"/>
              <w:spacing w:after="0"/>
              <w:rPr>
                <w:sz w:val="20"/>
                <w:szCs w:val="20"/>
                <w:color w:val="auto"/>
              </w:rPr>
            </w:pPr>
            <w:r>
              <w:rPr>
                <w:rFonts w:ascii="Arial" w:cs="Arial" w:eastAsia="Arial" w:hAnsi="Arial"/>
                <w:sz w:val="18"/>
                <w:szCs w:val="18"/>
                <w:color w:val="auto"/>
                <w:w w:val="86"/>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2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August 2, 2023, the registrant had 121,778,988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307"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June 30,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r>
      <w:tr>
        <w:trPr>
          <w:trHeight w:val="196"/>
        </w:trPr>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20"/>
            <w:shd w:val="clear" w:color="auto" w:fill="CCEEFF"/>
          </w:tcPr>
          <w:p>
            <w:pPr>
              <w:spacing w:after="0" w:line="142" w:lineRule="exact"/>
              <w:rPr>
                <w:sz w:val="20"/>
                <w:szCs w:val="20"/>
                <w:color w:val="auto"/>
              </w:rPr>
            </w:pPr>
            <w:r>
              <w:rPr>
                <w:rFonts w:ascii="Arial" w:cs="Arial" w:eastAsia="Arial" w:hAnsi="Arial"/>
                <w:sz w:val="16"/>
                <w:szCs w:val="16"/>
                <w:color w:val="0000EE"/>
              </w:rPr>
              <w:t>Cautionary Note Regarding Forward-Looking Statements</w:t>
            </w:r>
          </w:p>
        </w:tc>
        <w:tc>
          <w:tcPr>
            <w:tcW w:w="68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June 30, 2023 and December 31, 2022 (Unaudited)</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2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color w:val="0000EE"/>
                <w:w w:val="88"/>
              </w:rPr>
              <w:t>Condensed Consolidated Statements of Operations and Comprehensive Loss for the three and six months ended June 30, 2023 and</w:t>
            </w:r>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7"/>
        </w:trPr>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60" w:type="dxa"/>
            <w:vAlign w:val="bottom"/>
            <w:gridSpan w:val="20"/>
            <w:shd w:val="clear" w:color="auto" w:fill="CCEEFF"/>
          </w:tcPr>
          <w:p>
            <w:pPr>
              <w:spacing w:after="0" w:line="196" w:lineRule="exact"/>
              <w:rPr>
                <w:sz w:val="20"/>
                <w:szCs w:val="20"/>
                <w:color w:val="auto"/>
              </w:rPr>
            </w:pPr>
            <w:r>
              <w:rPr>
                <w:rFonts w:ascii="Arial" w:cs="Arial" w:eastAsia="Arial" w:hAnsi="Arial"/>
                <w:sz w:val="18"/>
                <w:szCs w:val="18"/>
                <w:color w:val="0000EE"/>
              </w:rPr>
              <w:t>2022 (Unaudited)</w:t>
            </w:r>
          </w:p>
        </w:tc>
        <w:tc>
          <w:tcPr>
            <w:tcW w:w="680" w:type="dxa"/>
            <w:vAlign w:val="bottom"/>
            <w:shd w:val="clear" w:color="auto" w:fill="CCEEFF"/>
          </w:tcPr>
          <w:p>
            <w:pPr>
              <w:spacing w:after="0"/>
              <w:rPr>
                <w:sz w:val="18"/>
                <w:szCs w:val="18"/>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6"/>
        </w:trPr>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Changes in Stockholders’ Equity for the three and six months ended June 30, 2023 and 2022</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520" w:type="dxa"/>
            <w:vAlign w:val="bottom"/>
            <w:tcBorders>
              <w:top w:val="single" w:sz="8" w:color="0000EE"/>
            </w:tcBorders>
            <w:gridSpan w:val="19"/>
            <w:shd w:val="clear" w:color="auto" w:fill="CCEEFF"/>
          </w:tcPr>
          <w:p>
            <w:pPr>
              <w:spacing w:after="0" w:line="196" w:lineRule="exact"/>
              <w:rPr>
                <w:sz w:val="20"/>
                <w:szCs w:val="20"/>
                <w:color w:val="auto"/>
              </w:rPr>
            </w:pPr>
            <w:r>
              <w:rPr>
                <w:rFonts w:ascii="Arial" w:cs="Arial" w:eastAsia="Arial" w:hAnsi="Arial"/>
                <w:sz w:val="18"/>
                <w:szCs w:val="18"/>
                <w:color w:val="0000EE"/>
              </w:rPr>
              <w:t>(Unaudited)</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six months ended June 30, 2023 and 2022 (Unaudited)</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r>
      <w:tr>
        <w:trPr>
          <w:trHeight w:val="175"/>
        </w:trPr>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Quarterly Report on Form 10-Q, the terms “we”, “us”, “our”, the “Company” or “Quantum-Si” mean Quantum-Si Incorporated (formerly HighCape Capital Acquisition Corp.) and our subsidiaries. Quantum-Si Incorporated was incorporated in Delaware on June 10, 2020. The Company’s legal name became Quantum-Si Incorporated following a business combination between the Company and Q-SI Operations Inc. (formerly Quantum-Si Incorporated) on June 10, 2021 (the “Business Combination”).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76" w:lineRule="exact"/>
        <w:rPr>
          <w:sz w:val="20"/>
          <w:szCs w:val="20"/>
          <w:color w:val="auto"/>
        </w:rPr>
      </w:pPr>
    </w:p>
    <w:p>
      <w:pPr>
        <w:ind w:left="660" w:hanging="328"/>
        <w:spacing w:after="0" w:line="191"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the potential attributes and benefits of our commercialized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protein sequencing instrument and our other products once commercialized;</w:t>
      </w:r>
    </w:p>
    <w:p>
      <w:pPr>
        <w:spacing w:after="0" w:line="2"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any product we may offer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for our products, and any related restrictions and limitations of any approved product;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leadership transition;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product to serve those markets once commercialized, either alone or in partnership with others;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fiscal year ended December 31, 2022, in Item 1A of Part II of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6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80" w:type="dxa"/>
            <w:vAlign w:val="bottom"/>
          </w:tcPr>
          <w:p>
            <w:pPr>
              <w:spacing w:after="0"/>
              <w:rPr>
                <w:sz w:val="24"/>
                <w:szCs w:val="24"/>
                <w:color w:val="auto"/>
              </w:rPr>
            </w:pPr>
          </w:p>
        </w:tc>
        <w:tc>
          <w:tcPr>
            <w:tcW w:w="7960" w:type="dxa"/>
            <w:vAlign w:val="bottom"/>
          </w:tcPr>
          <w:p>
            <w:pPr>
              <w:jc w:val="center"/>
              <w:ind w:left="1830"/>
              <w:spacing w:after="0"/>
              <w:rPr>
                <w:sz w:val="20"/>
                <w:szCs w:val="20"/>
                <w:color w:val="auto"/>
              </w:rPr>
            </w:pPr>
            <w:r>
              <w:rPr>
                <w:rFonts w:ascii="Arial" w:cs="Arial" w:eastAsia="Arial" w:hAnsi="Arial"/>
                <w:sz w:val="18"/>
                <w:szCs w:val="18"/>
                <w:b w:val="1"/>
                <w:bCs w:val="1"/>
                <w:color w:val="auto"/>
              </w:rPr>
              <w:t>QUANTUM-SI INCORPORATED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680" w:type="dxa"/>
            <w:vAlign w:val="bottom"/>
          </w:tcPr>
          <w:p>
            <w:pPr>
              <w:spacing w:after="0"/>
              <w:rPr>
                <w:sz w:val="19"/>
                <w:szCs w:val="19"/>
                <w:color w:val="auto"/>
              </w:rPr>
            </w:pPr>
          </w:p>
        </w:tc>
        <w:tc>
          <w:tcPr>
            <w:tcW w:w="7960" w:type="dxa"/>
            <w:vAlign w:val="bottom"/>
          </w:tcPr>
          <w:p>
            <w:pPr>
              <w:jc w:val="center"/>
              <w:ind w:left="18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0" w:type="dxa"/>
            <w:vAlign w:val="bottom"/>
          </w:tcPr>
          <w:p>
            <w:pPr>
              <w:spacing w:after="0"/>
              <w:rPr>
                <w:sz w:val="18"/>
                <w:szCs w:val="18"/>
                <w:color w:val="auto"/>
              </w:rPr>
            </w:pPr>
          </w:p>
        </w:tc>
        <w:tc>
          <w:tcPr>
            <w:tcW w:w="7960" w:type="dxa"/>
            <w:vAlign w:val="bottom"/>
          </w:tcPr>
          <w:p>
            <w:pPr>
              <w:jc w:val="center"/>
              <w:ind w:left="187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960" w:type="dxa"/>
            <w:vAlign w:val="bottom"/>
          </w:tcPr>
          <w:p>
            <w:pPr>
              <w:jc w:val="center"/>
              <w:ind w:left="183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68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7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87,934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84,319</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209,251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266,990</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estimated credit losses of $0 and $0, respectively</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100" w:type="dxa"/>
            <w:vAlign w:val="bottom"/>
            <w:shd w:val="clear" w:color="auto" w:fill="CCEEFF"/>
          </w:tcPr>
          <w:p>
            <w:pPr>
              <w:spacing w:after="0"/>
              <w:rPr>
                <w:sz w:val="18"/>
                <w:szCs w:val="18"/>
                <w:color w:val="auto"/>
              </w:rPr>
            </w:pPr>
          </w:p>
        </w:tc>
      </w:tr>
      <w:tr>
        <w:trPr>
          <w:trHeight w:val="27"/>
        </w:trPr>
        <w:tc>
          <w:tcPr>
            <w:tcW w:w="680" w:type="dxa"/>
            <w:vAlign w:val="bottom"/>
            <w:shd w:val="clear" w:color="auto" w:fill="CCEEFF"/>
          </w:tcPr>
          <w:p>
            <w:pPr>
              <w:spacing w:after="0"/>
              <w:rPr>
                <w:sz w:val="2"/>
                <w:szCs w:val="2"/>
                <w:color w:val="auto"/>
              </w:rPr>
            </w:pPr>
          </w:p>
        </w:tc>
        <w:tc>
          <w:tcPr>
            <w:tcW w:w="7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306,794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358,182</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Internally developed software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r>
      <w:tr>
        <w:trPr>
          <w:trHeight w:val="257"/>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341,168</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391,485</w:t>
            </w:r>
          </w:p>
        </w:tc>
        <w:tc>
          <w:tcPr>
            <w:tcW w:w="100" w:type="dxa"/>
            <w:vAlign w:val="bottom"/>
            <w:shd w:val="clear" w:color="auto" w:fill="CCEEFF"/>
          </w:tcPr>
          <w:p>
            <w:pPr>
              <w:spacing w:after="0"/>
              <w:rPr>
                <w:sz w:val="22"/>
                <w:szCs w:val="22"/>
                <w:color w:val="auto"/>
              </w:rPr>
            </w:pPr>
          </w:p>
        </w:tc>
      </w:tr>
      <w:tr>
        <w:trPr>
          <w:trHeight w:val="209"/>
        </w:trPr>
        <w:tc>
          <w:tcPr>
            <w:tcW w:w="86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8"/>
                <w:szCs w:val="18"/>
                <w:color w:val="auto"/>
              </w:rPr>
            </w:pPr>
          </w:p>
        </w:tc>
        <w:tc>
          <w:tcPr>
            <w:tcW w:w="3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Short-term operating lease liabilities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15,706</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tcPr>
          <w:p>
            <w:pPr>
              <w:spacing w:after="0"/>
              <w:rPr>
                <w:sz w:val="19"/>
                <w:szCs w:val="19"/>
                <w:color w:val="auto"/>
              </w:rPr>
            </w:pPr>
          </w:p>
        </w:tc>
      </w:tr>
      <w:tr>
        <w:trPr>
          <w:trHeight w:val="216"/>
        </w:trPr>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32,779</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Class A Common stock, $0.0001 par value; 600,000,000 shares authorized as of June 30, 2023 and December 31,</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40" w:type="dxa"/>
            <w:vAlign w:val="bottom"/>
            <w:gridSpan w:val="2"/>
          </w:tcPr>
          <w:p>
            <w:pPr>
              <w:ind w:left="340"/>
              <w:spacing w:after="0"/>
              <w:rPr>
                <w:sz w:val="20"/>
                <w:szCs w:val="20"/>
                <w:color w:val="auto"/>
              </w:rPr>
            </w:pPr>
            <w:r>
              <w:rPr>
                <w:rFonts w:ascii="Arial" w:cs="Arial" w:eastAsia="Arial" w:hAnsi="Arial"/>
                <w:sz w:val="18"/>
                <w:szCs w:val="18"/>
                <w:color w:val="auto"/>
                <w:w w:val="91"/>
              </w:rPr>
              <w:t>2022; 121,633,613 and 120,006,757 shares issued and outstanding as of June 30, 2023 and December 31, 2022,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40" w:type="dxa"/>
            <w:vAlign w:val="bottom"/>
            <w:gridSpan w:val="2"/>
          </w:tcPr>
          <w:p>
            <w:pPr>
              <w:ind w:left="3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02"/>
        </w:trPr>
        <w:tc>
          <w:tcPr>
            <w:tcW w:w="8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Class B Common stock, $0.0001 par value; 27,000,000 shares authorized as of June 30, 2023 and December 31,</w:t>
            </w: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2022; 19,937,500 shares issued and outstanding as of June 30, 2023 and December 31, 2022</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r>
      <w:tr>
        <w:trPr>
          <w:trHeight w:val="216"/>
        </w:trPr>
        <w:tc>
          <w:tcPr>
            <w:tcW w:w="86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764,139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758,366</w:t>
            </w:r>
          </w:p>
        </w:tc>
        <w:tc>
          <w:tcPr>
            <w:tcW w:w="10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(448,858)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(399,674)</w:t>
            </w:r>
          </w:p>
        </w:tc>
      </w:tr>
      <w:tr>
        <w:trPr>
          <w:trHeight w:val="27"/>
        </w:trPr>
        <w:tc>
          <w:tcPr>
            <w:tcW w:w="680" w:type="dxa"/>
            <w:vAlign w:val="bottom"/>
            <w:shd w:val="clear" w:color="auto" w:fill="CCEEFF"/>
          </w:tcPr>
          <w:p>
            <w:pPr>
              <w:spacing w:after="0"/>
              <w:rPr>
                <w:sz w:val="2"/>
                <w:szCs w:val="2"/>
                <w:color w:val="auto"/>
              </w:rPr>
            </w:pPr>
          </w:p>
        </w:tc>
        <w:tc>
          <w:tcPr>
            <w:tcW w:w="7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358,706</w:t>
            </w:r>
          </w:p>
        </w:tc>
        <w:tc>
          <w:tcPr>
            <w:tcW w:w="100" w:type="dxa"/>
            <w:vAlign w:val="bottom"/>
          </w:tcPr>
          <w:p>
            <w:pPr>
              <w:spacing w:after="0"/>
              <w:rPr>
                <w:sz w:val="19"/>
                <w:szCs w:val="19"/>
                <w:color w:val="auto"/>
              </w:rPr>
            </w:pPr>
          </w:p>
        </w:tc>
      </w:tr>
      <w:tr>
        <w:trPr>
          <w:trHeight w:val="237"/>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341,168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391,485</w:t>
            </w:r>
          </w:p>
        </w:tc>
        <w:tc>
          <w:tcPr>
            <w:tcW w:w="100" w:type="dxa"/>
            <w:vAlign w:val="bottom"/>
            <w:shd w:val="clear" w:color="auto" w:fill="CCEEFF"/>
          </w:tcPr>
          <w:p>
            <w:pPr>
              <w:spacing w:after="0"/>
              <w:rPr>
                <w:sz w:val="20"/>
                <w:szCs w:val="20"/>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8"/>
              </w:rPr>
              <w:t>Three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18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760" w:type="dxa"/>
            <w:vAlign w:val="bottom"/>
          </w:tcPr>
          <w:p>
            <w:pPr>
              <w:ind w:left="340"/>
              <w:spacing w:after="0"/>
              <w:rPr>
                <w:sz w:val="20"/>
                <w:szCs w:val="20"/>
                <w:color w:val="auto"/>
              </w:rPr>
            </w:pPr>
            <w:r>
              <w:rPr>
                <w:rFonts w:ascii="Arial" w:cs="Arial" w:eastAsia="Arial" w:hAnsi="Arial"/>
                <w:sz w:val="18"/>
                <w:szCs w:val="18"/>
                <w:b w:val="1"/>
                <w:bCs w:val="1"/>
                <w:color w:val="auto"/>
              </w:rPr>
              <w:t>Cost of revenue</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2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37,230</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20,110</w:t>
            </w:r>
          </w:p>
        </w:tc>
        <w:tc>
          <w:tcPr>
            <w:tcW w:w="100" w:type="dxa"/>
            <w:vAlign w:val="bottom"/>
          </w:tcPr>
          <w:p>
            <w:pPr>
              <w:spacing w:after="0"/>
              <w:rPr>
                <w:sz w:val="19"/>
                <w:szCs w:val="19"/>
                <w:color w:val="auto"/>
              </w:rPr>
            </w:pPr>
          </w:p>
        </w:tc>
      </w:tr>
      <w:tr>
        <w:trPr>
          <w:trHeight w:val="223"/>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26,970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56,315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(26,892)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(56,113)</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(57,340)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(17,140)</w:t>
            </w:r>
          </w:p>
        </w:tc>
      </w:tr>
      <w:tr>
        <w:trPr>
          <w:trHeight w:val="27"/>
        </w:trPr>
        <w:tc>
          <w:tcPr>
            <w:tcW w:w="5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(25,573)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(49,184)</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(67,589)</w:t>
            </w:r>
          </w:p>
        </w:tc>
      </w:tr>
      <w:tr>
        <w:trPr>
          <w:trHeight w:val="22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(25,573)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(32,414)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(49,184)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(67,589)</w:t>
            </w:r>
          </w:p>
        </w:tc>
      </w:tr>
      <w:tr>
        <w:trPr>
          <w:trHeight w:val="20"/>
        </w:trPr>
        <w:tc>
          <w:tcPr>
            <w:tcW w:w="5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7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2"/>
              </w:rPr>
              <w:t>Net loss per common share attributable to common stockholders, basic and</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(0.49)</w:t>
            </w:r>
          </w:p>
        </w:tc>
      </w:tr>
      <w:tr>
        <w:trPr>
          <w:trHeight w:val="202"/>
        </w:trPr>
        <w:tc>
          <w:tcPr>
            <w:tcW w:w="5760" w:type="dxa"/>
            <w:vAlign w:val="bottom"/>
          </w:tcPr>
          <w:p>
            <w:pPr>
              <w:ind w:left="180"/>
              <w:spacing w:after="0" w:line="201" w:lineRule="exact"/>
              <w:rPr>
                <w:sz w:val="20"/>
                <w:szCs w:val="20"/>
                <w:color w:val="auto"/>
              </w:rPr>
            </w:pPr>
            <w:r>
              <w:rPr>
                <w:rFonts w:ascii="Arial" w:cs="Arial" w:eastAsia="Arial" w:hAnsi="Arial"/>
                <w:sz w:val="18"/>
                <w:szCs w:val="18"/>
                <w:color w:val="auto"/>
                <w:w w:val="91"/>
              </w:rPr>
              <w:t>Weighted-average shares used to compute net loss per share attributable to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760" w:type="dxa"/>
            <w:vAlign w:val="bottom"/>
          </w:tcPr>
          <w:p>
            <w:pPr>
              <w:ind w:left="34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141,506,818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139,000,261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140,896,963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138,811,146</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4"/>
              </w:rPr>
              <w:t>Class A</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7"/>
              </w:rPr>
              <w:t>Class B</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common stock</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86"/>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paid-in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580" w:type="dxa"/>
            <w:vAlign w:val="bottom"/>
            <w:gridSpan w:val="5"/>
          </w:tcPr>
          <w:p>
            <w:pPr>
              <w:spacing w:after="0"/>
              <w:rPr>
                <w:sz w:val="20"/>
                <w:szCs w:val="20"/>
                <w:color w:val="auto"/>
              </w:rPr>
            </w:pPr>
            <w:r>
              <w:rPr>
                <w:rFonts w:ascii="Arial" w:cs="Arial" w:eastAsia="Arial" w:hAnsi="Arial"/>
                <w:sz w:val="18"/>
                <w:szCs w:val="18"/>
                <w:b w:val="1"/>
                <w:bCs w:val="1"/>
                <w:color w:val="auto"/>
                <w:w w:val="94"/>
              </w:rPr>
              <w:t>Total stockholders’</w:t>
            </w:r>
          </w:p>
        </w:tc>
      </w:tr>
      <w:tr>
        <w:trPr>
          <w:trHeight w:val="223"/>
        </w:trPr>
        <w:tc>
          <w:tcPr>
            <w:tcW w:w="18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010101"/>
                <w:w w:val="99"/>
              </w:rPr>
              <w:t>Shares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ind w:right="134"/>
              <w:spacing w:after="0"/>
              <w:rPr>
                <w:sz w:val="20"/>
                <w:szCs w:val="20"/>
                <w:color w:val="auto"/>
              </w:rPr>
            </w:pPr>
            <w:r>
              <w:rPr>
                <w:rFonts w:ascii="Arial" w:cs="Arial" w:eastAsia="Arial" w:hAnsi="Arial"/>
                <w:sz w:val="18"/>
                <w:szCs w:val="18"/>
                <w:b w:val="1"/>
                <w:bCs w:val="1"/>
                <w:color w:val="010101"/>
              </w:rPr>
              <w:t>Amount</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010101"/>
              </w:rPr>
              <w:t>Shares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143"/>
              <w:spacing w:after="0"/>
              <w:rPr>
                <w:sz w:val="20"/>
                <w:szCs w:val="20"/>
                <w:color w:val="auto"/>
              </w:rPr>
            </w:pPr>
            <w:r>
              <w:rPr>
                <w:rFonts w:ascii="Arial" w:cs="Arial" w:eastAsia="Arial" w:hAnsi="Arial"/>
                <w:sz w:val="18"/>
                <w:szCs w:val="18"/>
                <w:b w:val="1"/>
                <w:bCs w:val="1"/>
                <w:color w:val="010101"/>
                <w:w w:val="91"/>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8"/>
              </w:rPr>
              <w:t>deficit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0"/>
              </w:rPr>
              <w:t>equity</w:t>
            </w:r>
          </w:p>
        </w:tc>
      </w:tr>
      <w:tr>
        <w:trPr>
          <w:trHeight w:val="198"/>
        </w:trPr>
        <w:tc>
          <w:tcPr>
            <w:tcW w:w="1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010101"/>
              </w:rPr>
              <w:t>Balance - December</w:t>
            </w: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010101"/>
              </w:rPr>
              <w:t>31, 2022</w:t>
            </w:r>
          </w:p>
        </w:tc>
        <w:tc>
          <w:tcPr>
            <w:tcW w:w="1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87"/>
              </w:rPr>
              <w:t>120,006,757</w:t>
            </w:r>
          </w:p>
        </w:tc>
        <w:tc>
          <w:tcPr>
            <w:tcW w:w="4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88"/>
              </w:rPr>
              <w:t>19,937,500</w:t>
            </w:r>
          </w:p>
        </w:tc>
        <w:tc>
          <w:tcPr>
            <w:tcW w:w="2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758,366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(399,674)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358,706</w:t>
            </w:r>
          </w:p>
        </w:tc>
        <w:tc>
          <w:tcPr>
            <w:tcW w:w="100" w:type="dxa"/>
            <w:vAlign w:val="bottom"/>
            <w:shd w:val="clear" w:color="auto" w:fill="CCEEFF"/>
          </w:tcPr>
          <w:p>
            <w:pPr>
              <w:spacing w:after="0"/>
              <w:rPr>
                <w:sz w:val="20"/>
                <w:szCs w:val="20"/>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10101"/>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(23,611)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10101"/>
              </w:rPr>
              <w:t>(23,611)</w:t>
            </w:r>
          </w:p>
        </w:tc>
      </w:tr>
      <w:tr>
        <w:trPr>
          <w:trHeight w:val="202"/>
        </w:trPr>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w:t>
            </w:r>
          </w:p>
        </w:tc>
        <w:tc>
          <w:tcPr>
            <w:tcW w:w="3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rPr>
              <w:t>upon vesting of</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rPr>
              <w:t>restricted stock units</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010101"/>
              </w:rPr>
              <w:t>1,552,583</w:t>
            </w:r>
          </w:p>
        </w:tc>
        <w:tc>
          <w:tcPr>
            <w:tcW w:w="2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r>
      <w:tr>
        <w:trPr>
          <w:trHeight w:val="202"/>
        </w:trPr>
        <w:tc>
          <w:tcPr>
            <w:tcW w:w="2020" w:type="dxa"/>
            <w:vAlign w:val="bottom"/>
            <w:gridSpan w:val="2"/>
          </w:tcPr>
          <w:p>
            <w:pPr>
              <w:spacing w:after="0" w:line="201" w:lineRule="exact"/>
              <w:rPr>
                <w:sz w:val="20"/>
                <w:szCs w:val="20"/>
                <w:color w:val="auto"/>
              </w:rPr>
            </w:pPr>
            <w:r>
              <w:rPr>
                <w:rFonts w:ascii="Arial" w:cs="Arial" w:eastAsia="Arial" w:hAnsi="Arial"/>
                <w:sz w:val="18"/>
                <w:szCs w:val="18"/>
                <w:color w:val="010101"/>
              </w:rPr>
              <w:t>Stock-based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20" w:type="dxa"/>
            <w:vAlign w:val="bottom"/>
            <w:gridSpan w:val="2"/>
          </w:tcPr>
          <w:p>
            <w:pPr>
              <w:ind w:left="140"/>
              <w:spacing w:after="0"/>
              <w:rPr>
                <w:sz w:val="20"/>
                <w:szCs w:val="20"/>
                <w:color w:val="auto"/>
              </w:rPr>
            </w:pPr>
            <w:r>
              <w:rPr>
                <w:rFonts w:ascii="Arial" w:cs="Arial" w:eastAsia="Arial" w:hAnsi="Arial"/>
                <w:sz w:val="18"/>
                <w:szCs w:val="18"/>
                <w:color w:val="010101"/>
              </w:rPr>
              <w:t>compensation</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010101"/>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010101"/>
              </w:rPr>
              <w:t>3,908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10101"/>
              </w:rPr>
              <w:t>3,908</w:t>
            </w:r>
          </w:p>
        </w:tc>
        <w:tc>
          <w:tcPr>
            <w:tcW w:w="100" w:type="dxa"/>
            <w:vAlign w:val="bottom"/>
          </w:tcPr>
          <w:p>
            <w:pPr>
              <w:spacing w:after="0"/>
              <w:rPr>
                <w:sz w:val="20"/>
                <w:szCs w:val="20"/>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010101"/>
              </w:rPr>
              <w:t>Balance - March 31,</w:t>
            </w: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010101"/>
              </w:rPr>
              <w:t>2023</w:t>
            </w:r>
          </w:p>
        </w:tc>
        <w:tc>
          <w:tcPr>
            <w:tcW w:w="1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87"/>
              </w:rPr>
              <w:t>121,559,340</w:t>
            </w:r>
          </w:p>
        </w:tc>
        <w:tc>
          <w:tcPr>
            <w:tcW w:w="4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88"/>
              </w:rPr>
              <w:t>19,937,500</w:t>
            </w:r>
          </w:p>
        </w:tc>
        <w:tc>
          <w:tcPr>
            <w:tcW w:w="2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010101"/>
                <w:w w:val="79"/>
              </w:rPr>
              <w: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762,274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010101"/>
                <w:w w:val="90"/>
              </w:rPr>
              <w:t>(423,285)</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010101"/>
              </w:rPr>
              <w:t>339,003</w:t>
            </w:r>
          </w:p>
        </w:tc>
        <w:tc>
          <w:tcPr>
            <w:tcW w:w="100" w:type="dxa"/>
            <w:vAlign w:val="bottom"/>
            <w:shd w:val="clear" w:color="auto" w:fill="CCEEFF"/>
          </w:tcPr>
          <w:p>
            <w:pPr>
              <w:spacing w:after="0"/>
              <w:rPr>
                <w:sz w:val="20"/>
                <w:szCs w:val="20"/>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(25,573)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010101"/>
              </w:rPr>
              <w:t>(25,573)</w:t>
            </w:r>
          </w:p>
        </w:tc>
      </w:tr>
      <w:tr>
        <w:trPr>
          <w:trHeight w:val="202"/>
        </w:trPr>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w:t>
            </w:r>
          </w:p>
        </w:tc>
        <w:tc>
          <w:tcPr>
            <w:tcW w:w="3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upon vesting of</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010101"/>
              </w:rPr>
              <w:t>restricted stock units</w:t>
            </w:r>
          </w:p>
        </w:tc>
        <w:tc>
          <w:tcPr>
            <w:tcW w:w="3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74,273</w:t>
            </w:r>
          </w:p>
        </w:tc>
        <w:tc>
          <w:tcPr>
            <w:tcW w:w="2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r>
      <w:tr>
        <w:trPr>
          <w:trHeight w:val="202"/>
        </w:trPr>
        <w:tc>
          <w:tcPr>
            <w:tcW w:w="2020" w:type="dxa"/>
            <w:vAlign w:val="bottom"/>
            <w:gridSpan w:val="2"/>
          </w:tcPr>
          <w:p>
            <w:pPr>
              <w:spacing w:after="0" w:line="201" w:lineRule="exact"/>
              <w:rPr>
                <w:sz w:val="20"/>
                <w:szCs w:val="20"/>
                <w:color w:val="auto"/>
              </w:rPr>
            </w:pPr>
            <w:r>
              <w:rPr>
                <w:rFonts w:ascii="Arial" w:cs="Arial" w:eastAsia="Arial" w:hAnsi="Arial"/>
                <w:sz w:val="18"/>
                <w:szCs w:val="18"/>
                <w:color w:val="010101"/>
              </w:rPr>
              <w:t>Stock-based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20" w:type="dxa"/>
            <w:vAlign w:val="bottom"/>
            <w:gridSpan w:val="2"/>
          </w:tcPr>
          <w:p>
            <w:pPr>
              <w:ind w:left="140"/>
              <w:spacing w:after="0"/>
              <w:rPr>
                <w:sz w:val="20"/>
                <w:szCs w:val="20"/>
                <w:color w:val="auto"/>
              </w:rPr>
            </w:pPr>
            <w:r>
              <w:rPr>
                <w:rFonts w:ascii="Arial" w:cs="Arial" w:eastAsia="Arial" w:hAnsi="Arial"/>
                <w:sz w:val="18"/>
                <w:szCs w:val="18"/>
                <w:color w:val="010101"/>
              </w:rPr>
              <w:t>compensation</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010101"/>
              </w:rPr>
              <w:t>1,865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10101"/>
              </w:rPr>
              <w:t>1,865</w:t>
            </w:r>
          </w:p>
        </w:tc>
        <w:tc>
          <w:tcPr>
            <w:tcW w:w="100" w:type="dxa"/>
            <w:vAlign w:val="bottom"/>
          </w:tcPr>
          <w:p>
            <w:pPr>
              <w:spacing w:after="0"/>
              <w:rPr>
                <w:sz w:val="20"/>
                <w:szCs w:val="20"/>
                <w:color w:val="auto"/>
              </w:rPr>
            </w:pPr>
          </w:p>
        </w:tc>
      </w:tr>
      <w:tr>
        <w:trPr>
          <w:trHeight w:val="198"/>
        </w:trPr>
        <w:tc>
          <w:tcPr>
            <w:tcW w:w="1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010101"/>
              </w:rPr>
              <w:t>Balance - June 30,</w:t>
            </w: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18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010101"/>
              </w:rPr>
              <w:t>2023</w:t>
            </w:r>
          </w:p>
        </w:tc>
        <w:tc>
          <w:tcPr>
            <w:tcW w:w="18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87"/>
              </w:rPr>
              <w:t>121,633,613</w:t>
            </w:r>
          </w:p>
        </w:tc>
        <w:tc>
          <w:tcPr>
            <w:tcW w:w="48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w w:val="88"/>
              </w:rPr>
              <w:t>19,937,500</w:t>
            </w:r>
          </w:p>
        </w:tc>
        <w:tc>
          <w:tcPr>
            <w:tcW w:w="2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010101"/>
                <w:w w:val="79"/>
              </w:rPr>
              <w:t>$</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764,139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010101"/>
                <w:w w:val="90"/>
              </w:rPr>
              <w:t>(448,858)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010101"/>
              </w:rPr>
              <w:t>315,295</w:t>
            </w:r>
          </w:p>
        </w:tc>
        <w:tc>
          <w:tcPr>
            <w:tcW w:w="100" w:type="dxa"/>
            <w:vAlign w:val="bottom"/>
            <w:shd w:val="clear" w:color="auto" w:fill="CCEEFF"/>
          </w:tcPr>
          <w:p>
            <w:pPr>
              <w:spacing w:after="0"/>
              <w:rPr>
                <w:sz w:val="22"/>
                <w:szCs w:val="22"/>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7"/>
        </w:trPr>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right"/>
              <w:ind w:right="354"/>
              <w:spacing w:after="0"/>
              <w:rPr>
                <w:sz w:val="20"/>
                <w:szCs w:val="20"/>
                <w:color w:val="auto"/>
              </w:rPr>
            </w:pPr>
            <w:r>
              <w:rPr>
                <w:rFonts w:ascii="Arial" w:cs="Arial" w:eastAsia="Arial" w:hAnsi="Arial"/>
                <w:sz w:val="18"/>
                <w:szCs w:val="18"/>
                <w:b w:val="1"/>
                <w:bCs w:val="1"/>
                <w:color w:val="auto"/>
                <w:w w:val="93"/>
              </w:rPr>
              <w:t>Class A</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right"/>
              <w:ind w:right="403"/>
              <w:spacing w:after="0"/>
              <w:rPr>
                <w:sz w:val="20"/>
                <w:szCs w:val="20"/>
                <w:color w:val="auto"/>
              </w:rPr>
            </w:pPr>
            <w:r>
              <w:rPr>
                <w:rFonts w:ascii="Arial" w:cs="Arial" w:eastAsia="Arial" w:hAnsi="Arial"/>
                <w:sz w:val="18"/>
                <w:szCs w:val="18"/>
                <w:b w:val="1"/>
                <w:bCs w:val="1"/>
                <w:color w:val="auto"/>
                <w:w w:val="87"/>
              </w:rPr>
              <w:t>Class 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4"/>
              </w:rPr>
              <w:t>paid-in</w:t>
            </w:r>
          </w:p>
        </w:tc>
        <w:tc>
          <w:tcPr>
            <w:tcW w:w="100" w:type="dxa"/>
            <w:vAlign w:val="bottom"/>
          </w:tcPr>
          <w:p>
            <w:pPr>
              <w:spacing w:after="0"/>
              <w:rPr>
                <w:sz w:val="20"/>
                <w:szCs w:val="20"/>
                <w:color w:val="auto"/>
              </w:rPr>
            </w:pPr>
          </w:p>
        </w:tc>
        <w:tc>
          <w:tcPr>
            <w:tcW w:w="13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4"/>
          </w:tcPr>
          <w:p>
            <w:pPr>
              <w:ind w:left="280"/>
              <w:spacing w:after="0"/>
              <w:rPr>
                <w:sz w:val="20"/>
                <w:szCs w:val="20"/>
                <w:color w:val="auto"/>
              </w:rPr>
            </w:pPr>
            <w:r>
              <w:rPr>
                <w:rFonts w:ascii="Arial" w:cs="Arial" w:eastAsia="Arial" w:hAnsi="Arial"/>
                <w:sz w:val="18"/>
                <w:szCs w:val="18"/>
                <w:b w:val="1"/>
                <w:bCs w:val="1"/>
                <w:color w:val="010101"/>
              </w:rPr>
              <w:t>Shares</w:t>
            </w:r>
          </w:p>
        </w:tc>
        <w:tc>
          <w:tcPr>
            <w:tcW w:w="860" w:type="dxa"/>
            <w:vAlign w:val="bottom"/>
            <w:gridSpan w:val="2"/>
          </w:tcPr>
          <w:p>
            <w:pPr>
              <w:ind w:left="200"/>
              <w:spacing w:after="0"/>
              <w:rPr>
                <w:sz w:val="20"/>
                <w:szCs w:val="20"/>
                <w:color w:val="auto"/>
              </w:rPr>
            </w:pPr>
            <w:r>
              <w:rPr>
                <w:rFonts w:ascii="Arial" w:cs="Arial" w:eastAsia="Arial" w:hAnsi="Arial"/>
                <w:sz w:val="18"/>
                <w:szCs w:val="18"/>
                <w:b w:val="1"/>
                <w:bCs w:val="1"/>
                <w:color w:val="010101"/>
                <w:w w:val="91"/>
              </w:rPr>
              <w:t>Amount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b w:val="1"/>
                <w:bCs w:val="1"/>
                <w:color w:val="010101"/>
                <w:w w:val="93"/>
              </w:rPr>
              <w:t>Shares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Arial" w:cs="Arial" w:eastAsia="Arial" w:hAnsi="Arial"/>
                <w:sz w:val="18"/>
                <w:szCs w:val="18"/>
                <w:b w:val="1"/>
                <w:bCs w:val="1"/>
                <w:color w:val="010101"/>
                <w:w w:val="91"/>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equity</w:t>
            </w:r>
          </w:p>
        </w:tc>
      </w:tr>
      <w:tr>
        <w:trPr>
          <w:trHeight w:val="216"/>
        </w:trPr>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010101"/>
                <w:w w:val="93"/>
              </w:rPr>
              <w:t>Balance - December 31, 2021</w:t>
            </w: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118,025,410</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12</w:t>
            </w: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744,252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(267,232)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100" w:type="dxa"/>
            <w:vAlign w:val="bottom"/>
            <w:shd w:val="clear" w:color="auto" w:fill="CCEEFF"/>
          </w:tcPr>
          <w:p>
            <w:pPr>
              <w:spacing w:after="0"/>
              <w:rPr>
                <w:sz w:val="18"/>
                <w:szCs w:val="18"/>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010101"/>
              </w:rPr>
              <w:t>(35,175)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010101"/>
              </w:rPr>
              <w:t>(35,175)</w:t>
            </w:r>
          </w:p>
        </w:tc>
      </w:tr>
      <w:tr>
        <w:trPr>
          <w:trHeight w:val="202"/>
        </w:trPr>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w w:val="90"/>
              </w:rPr>
              <w:t>Common stock issued upon</w:t>
            </w:r>
          </w:p>
        </w:tc>
        <w:tc>
          <w:tcPr>
            <w:tcW w:w="3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w w:val="92"/>
              </w:rPr>
              <w:t>exercise of stock options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w w:val="95"/>
              </w:rPr>
              <w:t>and vesting of restricted</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rPr>
              <w:t>stock units</w:t>
            </w:r>
          </w:p>
        </w:tc>
        <w:tc>
          <w:tcPr>
            <w:tcW w:w="3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010101"/>
              </w:rPr>
              <w:t>946,987</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101"/>
              </w:rPr>
              <w:t>730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730</w:t>
            </w:r>
          </w:p>
        </w:tc>
      </w:tr>
      <w:tr>
        <w:trPr>
          <w:trHeight w:val="223"/>
        </w:trPr>
        <w:tc>
          <w:tcPr>
            <w:tcW w:w="2020" w:type="dxa"/>
            <w:vAlign w:val="bottom"/>
            <w:gridSpan w:val="2"/>
          </w:tcPr>
          <w:p>
            <w:pPr>
              <w:spacing w:after="0"/>
              <w:rPr>
                <w:sz w:val="20"/>
                <w:szCs w:val="20"/>
                <w:color w:val="auto"/>
              </w:rPr>
            </w:pPr>
            <w:r>
              <w:rPr>
                <w:rFonts w:ascii="Arial" w:cs="Arial" w:eastAsia="Arial" w:hAnsi="Arial"/>
                <w:sz w:val="18"/>
                <w:szCs w:val="18"/>
                <w:color w:val="010101"/>
                <w:w w:val="92"/>
              </w:rPr>
              <w:t>Stock-based compensation</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010101"/>
                <w:w w:val="95"/>
              </w:rPr>
              <w:t>(714)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010101"/>
              </w:rPr>
              <w:t>(714)</w:t>
            </w: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010101"/>
                <w:w w:val="93"/>
              </w:rPr>
              <w:t>Balance - March 31, 2022</w:t>
            </w:r>
          </w:p>
        </w:tc>
        <w:tc>
          <w:tcPr>
            <w:tcW w:w="300" w:type="dxa"/>
            <w:vAlign w:val="bottom"/>
            <w:shd w:val="clear" w:color="auto" w:fill="CCEEFF"/>
          </w:tcPr>
          <w:p>
            <w:pPr>
              <w:spacing w:after="0"/>
              <w:rPr>
                <w:sz w:val="18"/>
                <w:szCs w:val="18"/>
                <w:color w:val="auto"/>
              </w:rPr>
            </w:pP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118,972,397</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12</w:t>
            </w: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b w:val="1"/>
                <w:bCs w:val="1"/>
                <w:color w:val="010101"/>
                <w:w w:val="71"/>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w w:val="92"/>
              </w:rPr>
              <w:t>744,268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010101"/>
                <w:w w:val="71"/>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(302,407)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010101"/>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441,875</w:t>
            </w:r>
          </w:p>
        </w:tc>
        <w:tc>
          <w:tcPr>
            <w:tcW w:w="100" w:type="dxa"/>
            <w:vAlign w:val="bottom"/>
            <w:shd w:val="clear" w:color="auto" w:fill="CCEEFF"/>
          </w:tcPr>
          <w:p>
            <w:pPr>
              <w:spacing w:after="0"/>
              <w:rPr>
                <w:sz w:val="18"/>
                <w:szCs w:val="18"/>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010101"/>
              </w:rPr>
              <w:t>Net loss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010101"/>
              </w:rPr>
              <w:t>(32,414)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010101"/>
              </w:rPr>
              <w:t>(32,414)</w:t>
            </w:r>
          </w:p>
        </w:tc>
      </w:tr>
      <w:tr>
        <w:trPr>
          <w:trHeight w:val="202"/>
        </w:trPr>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010101"/>
                <w:w w:val="90"/>
              </w:rPr>
              <w:t>Common stock issued upon</w:t>
            </w:r>
          </w:p>
        </w:tc>
        <w:tc>
          <w:tcPr>
            <w:tcW w:w="3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w w:val="92"/>
              </w:rPr>
              <w:t>exercise of stock options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w w:val="95"/>
              </w:rPr>
              <w:t>and vesting of restricted</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010101"/>
              </w:rPr>
              <w:t>stock units</w:t>
            </w:r>
          </w:p>
        </w:tc>
        <w:tc>
          <w:tcPr>
            <w:tcW w:w="30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271,731</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23"/>
        </w:trPr>
        <w:tc>
          <w:tcPr>
            <w:tcW w:w="2020" w:type="dxa"/>
            <w:vAlign w:val="bottom"/>
            <w:gridSpan w:val="2"/>
          </w:tcPr>
          <w:p>
            <w:pPr>
              <w:spacing w:after="0"/>
              <w:rPr>
                <w:sz w:val="20"/>
                <w:szCs w:val="20"/>
                <w:color w:val="auto"/>
              </w:rPr>
            </w:pPr>
            <w:r>
              <w:rPr>
                <w:rFonts w:ascii="Arial" w:cs="Arial" w:eastAsia="Arial" w:hAnsi="Arial"/>
                <w:sz w:val="18"/>
                <w:szCs w:val="18"/>
                <w:color w:val="010101"/>
                <w:w w:val="92"/>
              </w:rPr>
              <w:t>Stock-based compensation</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10101"/>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010101"/>
              </w:rPr>
              <w:t>3,770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010101"/>
              </w:rPr>
              <w:t>3,770</w:t>
            </w:r>
          </w:p>
        </w:tc>
      </w:tr>
      <w:tr>
        <w:trPr>
          <w:trHeight w:val="237"/>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010101"/>
                <w:w w:val="98"/>
              </w:rPr>
              <w:t>Balance - June 30, 2022</w:t>
            </w:r>
          </w:p>
        </w:tc>
        <w:tc>
          <w:tcPr>
            <w:tcW w:w="300" w:type="dxa"/>
            <w:vAlign w:val="bottom"/>
            <w:shd w:val="clear" w:color="auto" w:fill="CCEEFF"/>
          </w:tcPr>
          <w:p>
            <w:pPr>
              <w:spacing w:after="0"/>
              <w:rPr>
                <w:sz w:val="20"/>
                <w:szCs w:val="20"/>
                <w:color w:val="auto"/>
              </w:rPr>
            </w:pP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119,244,128</w:t>
            </w:r>
          </w:p>
        </w:tc>
        <w:tc>
          <w:tcPr>
            <w:tcW w:w="20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434"/>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right w:val="single" w:sz="8" w:color="CCEEFF"/>
            </w:tcBorders>
            <w:shd w:val="clear" w:color="auto" w:fill="CCEEFF"/>
          </w:tcPr>
          <w:p>
            <w:pPr>
              <w:spacing w:after="0"/>
              <w:rPr>
                <w:sz w:val="20"/>
                <w:szCs w:val="20"/>
                <w:color w:val="auto"/>
              </w:rPr>
            </w:pPr>
          </w:p>
        </w:tc>
        <w:tc>
          <w:tcPr>
            <w:tcW w:w="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12</w:t>
            </w:r>
          </w:p>
        </w:tc>
        <w:tc>
          <w:tcPr>
            <w:tcW w:w="160" w:type="dxa"/>
            <w:vAlign w:val="bottom"/>
            <w:shd w:val="clear" w:color="auto" w:fill="CCEEFF"/>
          </w:tcPr>
          <w:p>
            <w:pPr>
              <w:spacing w:after="0"/>
              <w:rPr>
                <w:sz w:val="20"/>
                <w:szCs w:val="20"/>
                <w:color w:val="auto"/>
              </w:rPr>
            </w:pPr>
          </w:p>
        </w:tc>
        <w:tc>
          <w:tcPr>
            <w:tcW w:w="11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rPr>
              <w:t>19,937,500</w:t>
            </w:r>
          </w:p>
        </w:tc>
        <w:tc>
          <w:tcPr>
            <w:tcW w:w="200" w:type="dxa"/>
            <w:vAlign w:val="bottom"/>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w:t>
            </w:r>
          </w:p>
        </w:tc>
        <w:tc>
          <w:tcPr>
            <w:tcW w:w="200" w:type="dxa"/>
            <w:vAlign w:val="bottom"/>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b w:val="1"/>
                <w:bCs w:val="1"/>
                <w:color w:val="010101"/>
                <w:w w:val="71"/>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010101"/>
                <w:w w:val="92"/>
              </w:rPr>
              <w:t>748,302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(334,821)</w:t>
            </w:r>
          </w:p>
        </w:tc>
        <w:tc>
          <w:tcPr>
            <w:tcW w:w="2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413,495</w:t>
            </w:r>
          </w:p>
        </w:tc>
        <w:tc>
          <w:tcPr>
            <w:tcW w:w="100" w:type="dxa"/>
            <w:vAlign w:val="bottom"/>
            <w:shd w:val="clear" w:color="auto" w:fill="CCEEFF"/>
          </w:tcPr>
          <w:p>
            <w:pPr>
              <w:spacing w:after="0"/>
              <w:rPr>
                <w:sz w:val="20"/>
                <w:szCs w:val="20"/>
                <w:color w:val="auto"/>
              </w:rPr>
            </w:pPr>
          </w:p>
        </w:tc>
      </w:tr>
      <w:tr>
        <w:trPr>
          <w:trHeight w:val="20"/>
        </w:trPr>
        <w:tc>
          <w:tcPr>
            <w:tcW w:w="1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ind w:left="5180"/>
              <w:spacing w:after="0"/>
              <w:rPr>
                <w:sz w:val="20"/>
                <w:szCs w:val="20"/>
                <w:color w:val="auto"/>
              </w:rPr>
            </w:pPr>
            <w:r>
              <w:rPr>
                <w:rFonts w:ascii="Arial" w:cs="Arial" w:eastAsia="Arial" w:hAnsi="Arial"/>
                <w:sz w:val="18"/>
                <w:szCs w:val="18"/>
                <w:color w:val="auto"/>
              </w:rPr>
              <w:t>(Unaudited)</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7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7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(67,589)</w:t>
            </w: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marketable securities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340"/>
              <w:spacing w:after="0"/>
              <w:rPr>
                <w:sz w:val="20"/>
                <w:szCs w:val="20"/>
                <w:color w:val="auto"/>
              </w:rPr>
            </w:pPr>
            <w:r>
              <w:rPr>
                <w:rFonts w:ascii="Arial" w:cs="Arial" w:eastAsia="Arial" w:hAnsi="Arial"/>
                <w:sz w:val="18"/>
                <w:szCs w:val="18"/>
                <w:color w:val="auto"/>
              </w:rPr>
              <w:t>(Gain) loss on disposal of fixed assets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(4,984)</w:t>
            </w:r>
          </w:p>
        </w:tc>
      </w:tr>
      <w:tr>
        <w:trPr>
          <w:trHeight w:val="216"/>
        </w:trPr>
        <w:tc>
          <w:tcPr>
            <w:tcW w:w="736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net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500"/>
              <w:spacing w:after="0"/>
              <w:rPr>
                <w:sz w:val="20"/>
                <w:szCs w:val="20"/>
                <w:color w:val="auto"/>
              </w:rPr>
            </w:pPr>
            <w:r>
              <w:rPr>
                <w:rFonts w:ascii="Arial" w:cs="Arial" w:eastAsia="Arial" w:hAnsi="Arial"/>
                <w:sz w:val="18"/>
                <w:szCs w:val="18"/>
                <w:color w:val="auto"/>
              </w:rPr>
              <w:t>Inventory, net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(9,338)</w:t>
            </w:r>
          </w:p>
        </w:tc>
      </w:tr>
      <w:tr>
        <w:trPr>
          <w:trHeight w:val="216"/>
        </w:trPr>
        <w:tc>
          <w:tcPr>
            <w:tcW w:w="7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(1,952)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500"/>
              <w:spacing w:after="0"/>
              <w:rPr>
                <w:sz w:val="20"/>
                <w:szCs w:val="20"/>
                <w:color w:val="auto"/>
              </w:rPr>
            </w:pPr>
            <w:r>
              <w:rPr>
                <w:rFonts w:ascii="Arial" w:cs="Arial" w:eastAsia="Arial" w:hAnsi="Arial"/>
                <w:sz w:val="18"/>
                <w:szCs w:val="18"/>
                <w:color w:val="auto"/>
              </w:rPr>
              <w:t>Other long-term liabilities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liabilities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(1,235</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00" w:type="dxa"/>
            <w:vAlign w:val="bottom"/>
            <w:shd w:val="clear" w:color="auto" w:fill="CCEEFF"/>
          </w:tcPr>
          <w:p>
            <w:pPr>
              <w:spacing w:after="0"/>
              <w:rPr>
                <w:sz w:val="18"/>
                <w:szCs w:val="18"/>
                <w:color w:val="auto"/>
              </w:rPr>
            </w:pPr>
          </w:p>
        </w:tc>
      </w:tr>
      <w:tr>
        <w:trPr>
          <w:trHeight w:val="27"/>
        </w:trPr>
        <w:tc>
          <w:tcPr>
            <w:tcW w:w="7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60" w:type="dxa"/>
            <w:vAlign w:val="bottom"/>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(51,623)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(49,174)</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(3,543)</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(5,462)</w:t>
            </w: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Internally developed software - capitalized costs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23"/>
        </w:trPr>
        <w:tc>
          <w:tcPr>
            <w:tcW w:w="7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marketable securities</w:t>
            </w:r>
          </w:p>
        </w:tc>
        <w:tc>
          <w:tcPr>
            <w:tcW w:w="1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60" w:type="dxa"/>
            <w:vAlign w:val="bottom"/>
          </w:tcPr>
          <w:p>
            <w:pPr>
              <w:ind w:left="660"/>
              <w:spacing w:after="0"/>
              <w:rPr>
                <w:sz w:val="20"/>
                <w:szCs w:val="20"/>
                <w:color w:val="auto"/>
              </w:rPr>
            </w:pPr>
            <w:r>
              <w:rPr>
                <w:rFonts w:ascii="Arial" w:cs="Arial" w:eastAsia="Arial" w:hAnsi="Arial"/>
                <w:sz w:val="18"/>
                <w:szCs w:val="18"/>
                <w:b w:val="1"/>
                <w:bCs w:val="1"/>
                <w:color w:val="auto"/>
              </w:rPr>
              <w:t>Net cash provided by investing activities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55,238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94,515</w:t>
            </w: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 business acquisition</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r>
      <w:tr>
        <w:trPr>
          <w:trHeight w:val="223"/>
        </w:trPr>
        <w:tc>
          <w:tcPr>
            <w:tcW w:w="7360" w:type="dxa"/>
            <w:vAlign w:val="bottom"/>
          </w:tcPr>
          <w:p>
            <w:pPr>
              <w:ind w:left="180"/>
              <w:spacing w:after="0"/>
              <w:rPr>
                <w:sz w:val="20"/>
                <w:szCs w:val="20"/>
                <w:color w:val="auto"/>
              </w:rPr>
            </w:pPr>
            <w:r>
              <w:rPr>
                <w:rFonts w:ascii="Arial" w:cs="Arial" w:eastAsia="Arial" w:hAnsi="Arial"/>
                <w:sz w:val="18"/>
                <w:szCs w:val="18"/>
                <w:color w:val="auto"/>
              </w:rPr>
              <w:t>Payment of deferred consideration - business acquisition</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7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financing activities</w:t>
            </w:r>
          </w:p>
        </w:tc>
        <w:tc>
          <w:tcPr>
            <w:tcW w:w="1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45,487</w:t>
            </w:r>
          </w:p>
        </w:tc>
        <w:tc>
          <w:tcPr>
            <w:tcW w:w="100" w:type="dxa"/>
            <w:vAlign w:val="bottom"/>
          </w:tcPr>
          <w:p>
            <w:pPr>
              <w:spacing w:after="0"/>
              <w:rPr>
                <w:sz w:val="18"/>
                <w:szCs w:val="18"/>
                <w:color w:val="auto"/>
              </w:rPr>
            </w:pPr>
          </w:p>
        </w:tc>
      </w:tr>
      <w:tr>
        <w:trPr>
          <w:trHeight w:val="223"/>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87,934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81,272</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Property and equipment purchased but not paid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Quantum-Si Incorporated (including its subsidiaries, the “Company” or “Quantum-Si”) (formerly HighCape Capital Acquisition Corp. (“HighCape”)) was incorporated in Delaware on June 10, 2020. The Company’s legal name became Quantum-Si Incorporated following a business combination between the Company and Q-SI Operations Inc. (formerly Quantum-Si Incorporated) on June 10, 2021 (the “Business Combination”).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the Company is first applying to proteomics to enable Next-Generation Protein Sequencing (“NGPS”), the ability to sequence proteins in a massively parallel fashion (rather than sequentially, one at a time), and can be used for the study of nucleic acids. The Company’s platform is comprised of the Carbon™ automated sample preparation instrument, the Platinum™ NGPS instrument, the Quantum-Si Cloud™ software service, and reagent kits and chips for use with its instruments.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has incurred recurring losses each year since its inception, the Company expects its cash and cash equivalents, and marketable securities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All intercompany transactions are eliminated. Certain information and note disclosures normally included in financial statements prepared in accordance with U.S. GAAP have been condensed or omitted pursuant to such rules and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2022. The condensed consolidated balance sheet as of December 31, 2022 included herein was derived from the audited consolidated financial statements as of that date, but does not include all disclosures, including certain notes required by U.S. GAAP, on an annual reporting basis.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and six months ended June 30, 2023 are not necessarily indicative of the results to be expected for any subsequent quarter, the year ending December 31, 2023, or any other period.</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Except for revenue, inventory and capitalized software development costs discussed elsewhere in this note, there have been no material changes to the Company’s significant accounting policies as described in the Company’s Annual Report on Form 10-K for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the Company’s operating results, financial condition and cash flows. On May 11, 2023, the federal public health emergency for COVID-19, declared under Section 319 of the Public Health Service Act, expired.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condensed consolidated financial statements. The Company will continue to evaluate the impact of the COVID-19 pandemic on its industry and the Company and has concluded that while it is possible that the virus could have a future negative effect on the Company’s financial position, results of operations and cash flows in its condensed consolidated financial statements, the specific future impact is not readily determinable as of the date of the filing of this Quarterly Report on Form 10-Q. The Company’s financial statements do not include any adjustments that might result from the outcome of this uncertainty.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Global Developments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2022, various central banks around the world (including the Federal Reserve in the United States) raised interest rates. These rate increases have caused an overall decline in the fair value of the Company’s fixed income mutual funds to date. The impact of such rate changes on the overall financial markets and the economy may continue to impact the Company in the future, including by making capital more difficult and costly to obtain on reasonable terms and when needed.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although the Company has no operations in or direct exposure to Russia or Ukraine, the Company has experienced some constraints in product and material availability and increasing costs required to obtain some materials and supplies as a result of the impact of the Russia-Ukraine military conflict on the global economy, which has contributed to the global supply chain disruptions. To date, the Company’s business has not been materially impacted by the conflict. However, as the conflict continues or worsens, it may adversely impact the Company’s business,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and marketable securities. As of June 30, 2023 and December 31, 2022, substantially all of the Company’s marketable securities were invested in fixed income mutual funds at one financial institution. See Note 5 “Investments in Marketable Securities” in our condensed consolidated financial statements included elsewhere in this Quarterly Report on Form 10-Q for further information regarding our realized losses on such accounts. The Company also maintains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 Maker, its Chief Executive Officer, reviews the Company’s financial information on a consolidated basis for purposes of allocating resources and evaluating its financial performance. Accordingly, the Company has determined that it operates as a single reportable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for consistency with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allowance with respect to deferred tax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used for leases;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warrant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associated with revenue recognition;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67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is stated at the lower of cost or net realizable value with cost determined using the first-in, first-out method. Inventory primarily consists of raw materials and finished goods of $1,134 and $834, respectively, as of June 30, 2023.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Materials that may be utilized for either research and development or, alternatively, for commercial purposes, are classified as inventory. Amounts in inventory that are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performs an assessment of the recoverability of capitalized inventory during each reporting period and, if needed, writes down any excess and obsolete inventory to its estimated net realizable value in the period it is identified. As of June 30, 2023, there were no write-downs recorded against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capitalizes certain internal use software development costs related to its SaaS platform incurred during the application development stage when management with the relevant authority authorizes and commits to the funding of the project, it is probable that the project will be completed, and the software will be used as intended. The Company also capitalizes costs related to specific upgrades and enhancements when it is probable that the expenditure will result in additional functionality. Costs related to preliminary project activities and to post-implementation activities are expensed as incurred. Internal use software is amortized on a straight-line basis over its estimated useful life, which is generally two years. Management evaluates the useful lives of these assets on an annual basis and tests for impairment whenever events or changes in circumstances occur that could impact the recoverability of the assets. Capitalized costs are recorded as Internally developed software in the condensed consolidated balance sheets. Amortization expense related to Internally developed software was $46 for the three and six months ended June 30, 2023. As of June 30, 2023 amortization expense is expected to be $180 for the remainder of the year ending December 31, 2023 and $360 and $133 for the years ending December 31, 2024 and 2025,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cloud access, proof of concept services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allocates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considers performance obligation for sales of products is satisfied upon shipment of the goods to the customer in accordance with the shipping terms (either upon shipment or delivery), which is when control of the product is deemed to be transferred; this would include instruments and consumables. Customers generally do not have a right of return,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warranty coverage at the customer’s option, are recognized ratably over the contract service period as these services are performed evenly over time. Revenues for proof of concept services and advanced training is recognized upon satisfaction of the underlying performance obligation. The Company typically provides a standard one-year warranty which covers defects in materials and workmanship and manufacturing or performance conditions under normal use and service for the first year. The first year of the warranty of the products is considered an assurance-type warranty. The Company has determined that this standard first-year warranty is not a distinct performance obligation.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disaggregates revenue from contracts with customers by type of revenue – products and services. The Company believes that product revenue and service revenue aggregate the payor types by nature, amount, timing and uncertainty of its revenue streams. Total revenue generated from domestic sales for the three and six months ended June 30, 2023 was $102 and $356, respectively. Total revenue generated from international sales for the three and six months ended June 30, 2023 was $103.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is a contract liability that consists of customer payments received in advance of performance or billings in excess of revenue recognized, net of revenue recognized from the balance at the beginning of the period.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Deferred revenue primarily consists of billings and payments received in advance of revenue recognition from service maintenance contracts including software subscription, proof of concept services and advanced training, and is reduced as the revenue recognition criteria are met. Deferred revenue also includes proof of concept services and advanced training provided to customers until the service has been performed. Deferred revenue is classified as current or non-current based on expected revenue recognition timing. Specifically, deferred revenue that will be recognized as revenue within the succeeding 12-month period is recorded as current and is included within Accrued expenses and other current liabilities, and the portion of deferred revenue where revenue is expected to be recognized beyond 12 months from the reporting date is recorded as non-current deferred revenue and is included in Other long-term liabilities in the Company’s condensed consolidated balance sheets.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Company had remaining performance obligations amounting to $176, $144 of which is included within Accrued expenses and other current liabilities and $32 is included within Other long-term liabilities in the Company’s condensed consolidated balance sheets. The Company expects to recognize approximately 78% of its remaining performance obligations as revenue for the remainder of the year ending December 31, 2023, and an additional 22% for the year ending December 31, 2024 and thereafter.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revenue recognized during the three and six months ended June 30, 2023 that was included in the deferred revenue balance of $73 at December 31, 2022 was $1 and $70,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provides a free 12-month assurance-type warranty to customers with the initial purchase of a PlatinumTM instrument. The cost of the warranty is accrued upon the initial sale of an instrument in Accrued expenses and other current liabilities on the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Shipping and handling costs associated with outbound freight after control of a product has transferred to a customer are accounted for as fulfillment costs and are included in Cost of revenue in the condensed consolidated statements of operations and comprehensive loss. Shipping and handling costs billed to customers are considered part of the transaction price and are recognized as revenue with the underlying product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new accounting pronouncements issued or effective during the three and six months ended June 30, 2023 had, or are expected to have, a material impact on the Company’s condensed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ind w:right="9180" w:firstLine="8"/>
        <w:spacing w:after="0" w:line="491" w:lineRule="auto"/>
        <w:tabs>
          <w:tab w:leader="none" w:pos="1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Majelac Technologies LLC</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and conditions of an Asset Purchase Agreement by and among the Company, Majelac Technologies LLC (“Majelac”), and certain other parties, on November 5, 2021 (the “Majelac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valued at $471 were issued to Majelac 12 months after the Majelac Closing Date on November 7, 2022. The Company also assumed the legal fees of Majelac of $50. Additional purchase price consideration of $500 in cash was to be paid six months after the Majelac Closing Date less any amount that could be required by the buyer indemnitees to satisfy any unresolved claims for indemnification, if any. The Company agreed to pay additional milestone-based consideration of up to $800, which was fair valued at $531 on the Majelac Closing Date. On May 4, 2022, the Company paid Majelac $900 in cash, which consisted of $500 for the additional purchase price consideration and $400 (fair value of $348 at the Majelac Closing Date) for the first of two milestones that was met. As of June 30, 2023, the Company determined that the estimated fair value of the contingent consideration was de minimis as the probability of the second milestone being met by November 1, 2023 was remote. As a result, the Company recorded a gain of $400 during the three and six months ended June 30, 2023 in Other income (expense), net in the condensed consolidated statements of operations and comprehensive loss.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brought semiconductor chip assembly and packaging capabilities in-house and secured the Company’s supply chain to support its commercialization efforts. Prior to the acquisition, Majelac was a vendor of the Company.</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final purchase price allocation at the Majelac Closing Date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11"/>
        <w:spacing w:after="0"/>
        <w:rPr>
          <w:sz w:val="20"/>
          <w:szCs w:val="20"/>
          <w:color w:val="auto"/>
        </w:rPr>
      </w:pPr>
      <w:r>
        <w:rPr>
          <w:rFonts w:ascii="Arial" w:cs="Arial" w:eastAsia="Arial" w:hAnsi="Arial"/>
          <w:sz w:val="15"/>
          <w:szCs w:val="15"/>
          <w:b w:val="1"/>
          <w:bCs w:val="1"/>
          <w:color w:val="auto"/>
        </w:rPr>
        <w:t>Purchase Price</w:t>
      </w:r>
    </w:p>
    <w:p>
      <w:pPr>
        <w:spacing w:after="0" w:line="62"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 w:lineRule="exact"/>
        <w:rPr>
          <w:sz w:val="20"/>
          <w:szCs w:val="20"/>
          <w:color w:val="auto"/>
        </w:rPr>
      </w:pPr>
    </w:p>
    <w:p>
      <w:pPr>
        <w:ind w:left="969" w:hanging="969"/>
        <w:spacing w:after="0"/>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27</w:t>
      </w:r>
    </w:p>
    <w:p>
      <w:pPr>
        <w:spacing w:after="0" w:line="46" w:lineRule="exact"/>
        <w:rPr>
          <w:rFonts w:ascii="Arial" w:cs="Arial" w:eastAsia="Arial" w:hAnsi="Arial"/>
          <w:sz w:val="16"/>
          <w:szCs w:val="16"/>
          <w:color w:val="auto"/>
        </w:rPr>
      </w:pPr>
    </w:p>
    <w:p>
      <w:pPr>
        <w:ind w:left="889"/>
        <w:spacing w:after="0"/>
        <w:rPr>
          <w:rFonts w:ascii="Arial" w:cs="Arial" w:eastAsia="Arial" w:hAnsi="Arial"/>
          <w:sz w:val="16"/>
          <w:szCs w:val="16"/>
          <w:color w:val="auto"/>
        </w:rPr>
      </w:pPr>
      <w:r>
        <w:rPr>
          <w:rFonts w:ascii="Arial" w:cs="Arial" w:eastAsia="Arial" w:hAnsi="Arial"/>
          <w:sz w:val="15"/>
          <w:szCs w:val="15"/>
          <w:color w:val="auto"/>
        </w:rPr>
        <w:t>906</w:t>
      </w:r>
    </w:p>
    <w:p>
      <w:pPr>
        <w:spacing w:after="0" w:line="44" w:lineRule="exact"/>
        <w:rPr>
          <w:sz w:val="20"/>
          <w:szCs w:val="20"/>
          <w:color w:val="auto"/>
        </w:rPr>
      </w:pPr>
    </w:p>
    <w:p>
      <w:pPr>
        <w:ind w:left="749"/>
        <w:spacing w:after="0"/>
        <w:rPr>
          <w:sz w:val="20"/>
          <w:szCs w:val="20"/>
          <w:color w:val="auto"/>
        </w:rPr>
      </w:pPr>
      <w:r>
        <w:rPr>
          <w:rFonts w:ascii="Arial" w:cs="Arial" w:eastAsia="Arial" w:hAnsi="Arial"/>
          <w:sz w:val="15"/>
          <w:szCs w:val="15"/>
          <w:color w:val="auto"/>
        </w:rPr>
        <w:t>9,483</w:t>
      </w:r>
    </w:p>
    <w:p>
      <w:pPr>
        <w:spacing w:after="0" w:line="52" w:lineRule="exact"/>
        <w:rPr>
          <w:sz w:val="20"/>
          <w:szCs w:val="20"/>
          <w:color w:val="auto"/>
        </w:rPr>
      </w:pPr>
    </w:p>
    <w:p>
      <w:pPr>
        <w:ind w:left="669" w:hanging="669"/>
        <w:spacing w:after="0"/>
        <w:tabs>
          <w:tab w:leader="none" w:pos="669"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372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64770</wp:posOffset>
            </wp:positionV>
            <wp:extent cx="737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9251" w:space="720"/>
            <w:col w:w="1269"/>
          </w:cols>
          <w:pgMar w:left="320" w:top="122" w:right="339" w:bottom="1440" w:gutter="0" w:footer="0" w:header="0"/>
          <w:type w:val="continuous"/>
        </w:sectPr>
      </w:pP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 During the fourth quarter ended December 31, 2022, the Company concluded the goodwill from the Majelac acquisition was fully impaired and recorded a charge of $9,483 on the consolidated statements of operations and comprehensive loss.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Acquisition-related costs recognized during the three and six months ended June 30, 2022 including transaction costs such as legal, accounting, valuation and other professional services, were $1 and $26, respectively, and are included in Selling, general and administrative on the condensed consolidated statements of operations and comprehensive loss. There were no acquisition-related costs recognized during the three and six months ended June 30,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based on inputs that are supported by little or no market activity and that are significant to the fair value of the assets or liabilities.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jc w:val="both"/>
        <w:spacing w:after="0" w:line="276" w:lineRule="auto"/>
        <w:rPr>
          <w:sz w:val="20"/>
          <w:szCs w:val="20"/>
          <w:color w:val="auto"/>
        </w:rPr>
      </w:pPr>
      <w:r>
        <w:rPr>
          <w:rFonts w:ascii="Arial" w:cs="Arial" w:eastAsia="Arial" w:hAnsi="Arial"/>
          <w:sz w:val="17"/>
          <w:szCs w:val="17"/>
          <w:color w:val="auto"/>
        </w:rPr>
        <w:t>The carrying value of cash and cash equivalents, accounts payable and accrued expenses and other current liabilities approximates their fair values due to the short-term or on demand nature of these instruments. Fixed income mutual funds were valued using quoted market prices and accordingly were classified as Level 1. There were no transfers between fair value measurement levels during the three and six months ended June 30, 2023.</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outstanding warrants include publicly 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Company accounted for the warrants as liabilities in accordance with ASC 815-40 and are presented as Warrant liabilities on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Public Warrants and Private Warrants were carried at fair value as of June 30, 2023 and December 31, 2022.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June 30, 2023, the significant assumptions used in preparing the binomial lattice model for valuing the Private Warrants liability include (i) volatility of 80.7%, (ii) risk-free interest rate of 4.50%, (iii) strike price of $11.50, (iv) fair value of common stock of $1.79, and (v) expected life of 2.9 years. As of December 31, 2022, the significant assumptions used in preparing the binomial lattice model for valuing the Private Warrants liability include (i) volatility of 75.1%, (ii) risk-free interest rate of 4.10%, (iii) strike price of $11.50, (iv) fair value of common stock of $1.83, and (v) expected life of 3.4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2"/>
              </w:rPr>
              <w:t>Fair Value Measurement Level</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960" w:type="dxa"/>
            <w:vAlign w:val="bottom"/>
          </w:tcPr>
          <w:p>
            <w:pPr>
              <w:jc w:val="center"/>
              <w:ind w:left="78"/>
              <w:spacing w:after="0"/>
              <w:rPr>
                <w:sz w:val="20"/>
                <w:szCs w:val="20"/>
                <w:color w:val="auto"/>
              </w:rPr>
            </w:pPr>
            <w:r>
              <w:rPr>
                <w:rFonts w:ascii="Arial" w:cs="Arial" w:eastAsia="Arial" w:hAnsi="Arial"/>
                <w:sz w:val="18"/>
                <w:szCs w:val="18"/>
                <w:b w:val="1"/>
                <w:bCs w:val="1"/>
                <w:color w:val="auto"/>
                <w:w w:val="91"/>
              </w:rPr>
              <w:t>Level 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June 30, 2023:</w:t>
            </w: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Assets: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 Money Market</w:t>
            </w:r>
          </w:p>
        </w:tc>
        <w:tc>
          <w:tcPr>
            <w:tcW w:w="1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82,781</w:t>
            </w:r>
          </w:p>
        </w:tc>
        <w:tc>
          <w:tcPr>
            <w:tcW w:w="1080" w:type="dxa"/>
            <w:vAlign w:val="bottom"/>
            <w:gridSpan w:val="2"/>
            <w:shd w:val="clear" w:color="auto" w:fill="CCEEFF"/>
          </w:tcPr>
          <w:p>
            <w:pPr>
              <w:jc w:val="right"/>
              <w:ind w:right="79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209,251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209,251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292,032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292,032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1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080" w:type="dxa"/>
            <w:vAlign w:val="bottom"/>
            <w:gridSpan w:val="2"/>
          </w:tcPr>
          <w:p>
            <w:pPr>
              <w:jc w:val="right"/>
              <w:ind w:right="798"/>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124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881</w:t>
            </w:r>
          </w:p>
        </w:tc>
        <w:tc>
          <w:tcPr>
            <w:tcW w:w="1080" w:type="dxa"/>
            <w:vAlign w:val="bottom"/>
            <w:gridSpan w:val="2"/>
          </w:tcPr>
          <w:p>
            <w:pPr>
              <w:jc w:val="right"/>
              <w:ind w:right="798"/>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738"/>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2"/>
              </w:rPr>
              <w:t>Fair Value Measurement Level</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960" w:type="dxa"/>
            <w:vAlign w:val="bottom"/>
          </w:tcPr>
          <w:p>
            <w:pPr>
              <w:jc w:val="center"/>
              <w:ind w:left="78"/>
              <w:spacing w:after="0"/>
              <w:rPr>
                <w:sz w:val="20"/>
                <w:szCs w:val="20"/>
                <w:color w:val="auto"/>
              </w:rPr>
            </w:pPr>
            <w:r>
              <w:rPr>
                <w:rFonts w:ascii="Arial" w:cs="Arial" w:eastAsia="Arial" w:hAnsi="Arial"/>
                <w:sz w:val="18"/>
                <w:szCs w:val="18"/>
                <w:b w:val="1"/>
                <w:bCs w:val="1"/>
                <w:color w:val="auto"/>
                <w:w w:val="91"/>
              </w:rPr>
              <w:t>Level 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2022:</w:t>
            </w: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Assets: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 Money Market</w:t>
            </w:r>
          </w:p>
        </w:tc>
        <w:tc>
          <w:tcPr>
            <w:tcW w:w="1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83,079</w:t>
            </w:r>
          </w:p>
        </w:tc>
        <w:tc>
          <w:tcPr>
            <w:tcW w:w="1080" w:type="dxa"/>
            <w:vAlign w:val="bottom"/>
            <w:gridSpan w:val="2"/>
            <w:shd w:val="clear" w:color="auto" w:fill="CCEEFF"/>
          </w:tcPr>
          <w:p>
            <w:pPr>
              <w:jc w:val="right"/>
              <w:ind w:right="79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266,990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266,990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4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350,069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1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c>
          <w:tcPr>
            <w:tcW w:w="1080" w:type="dxa"/>
            <w:vAlign w:val="bottom"/>
            <w:gridSpan w:val="2"/>
          </w:tcPr>
          <w:p>
            <w:pPr>
              <w:jc w:val="right"/>
              <w:ind w:right="798"/>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3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124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996</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958</w:t>
            </w:r>
          </w:p>
        </w:tc>
        <w:tc>
          <w:tcPr>
            <w:tcW w:w="1080" w:type="dxa"/>
            <w:vAlign w:val="bottom"/>
            <w:gridSpan w:val="2"/>
          </w:tcPr>
          <w:p>
            <w:pPr>
              <w:jc w:val="right"/>
              <w:ind w:right="798"/>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738"/>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vMerge w:val="restart"/>
          </w:tcPr>
          <w:p>
            <w:pPr>
              <w:jc w:val="right"/>
              <w:ind w:right="34"/>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47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INVESTMENTS IN MARKETABLE SECURITIES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and six months ended June 30, 2023, the Company reported unrealized gains of $1,239 and $6,349, respectively, related to securities held as of June 30, 2023. Realized losses related to securities that were sold during the three and six months ended June 30, 2023 were $2,420 and $4,588, respectively. For the three and six months ended June 30, 2023, the Company recognized $2,483 and $4,702, respectively, in dividend income from marketable securities. For the three and six months ended June 30, 2022, the Company reported unrealized losses of $4,633 and $16,144, respectively, related to securities held as of June 30, 2022. Realized losses related to securities that were sold during the three and six months ended June 30, 2022 were $1,001 and $1,051, respectively. For the three and six months ended June 30, 2022, the Company recognized $1,052 and $1,907, respectively, in dividend income from marketable securities.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Arial" w:cs="Arial" w:eastAsia="Arial" w:hAnsi="Arial"/>
                <w:sz w:val="18"/>
                <w:szCs w:val="18"/>
                <w:b w:val="1"/>
                <w:bCs w:val="1"/>
                <w:color w:val="auto"/>
              </w:rPr>
              <w:t>6. PROPERTY AND EQUIPMENT, NET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color w:val="auto"/>
              </w:rPr>
              <w:t>Property and equipment, net, are recorded at historical cost and consist of the following: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June 30,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8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production equipment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w:t>
            </w:r>
          </w:p>
        </w:tc>
        <w:tc>
          <w:tcPr>
            <w:tcW w:w="100" w:type="dxa"/>
            <w:vAlign w:val="bottom"/>
            <w:shd w:val="clear" w:color="auto" w:fill="CCEEFF"/>
          </w:tcPr>
          <w:p>
            <w:pPr>
              <w:spacing w:after="0"/>
              <w:rPr>
                <w:sz w:val="18"/>
                <w:szCs w:val="18"/>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(8,072)</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(6,203)</w:t>
            </w:r>
          </w:p>
        </w:tc>
      </w:tr>
      <w:tr>
        <w:trPr>
          <w:trHeight w:val="257"/>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associated with Property and equipment amounted to $1,044 and $608 for the three months ended June 30, 2023 and 2022, respectively, and $1,847 and $1,060 for the six months ended June 30, 2023 and 2022, respectively. No impairments were recorded for the three and six months ended June 30, 2023 or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24"/>
                <w:szCs w:val="24"/>
                <w:color w:val="auto"/>
              </w:rPr>
            </w:pPr>
          </w:p>
        </w:tc>
      </w:tr>
      <w:tr>
        <w:trPr>
          <w:trHeight w:val="241"/>
        </w:trPr>
        <w:tc>
          <w:tcPr>
            <w:tcW w:w="8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Contracted services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costs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Legal fees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r>
      <w:tr>
        <w:trPr>
          <w:trHeight w:val="223"/>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7,882</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10,434</w:t>
            </w:r>
          </w:p>
        </w:tc>
        <w:tc>
          <w:tcPr>
            <w:tcW w:w="100" w:type="dxa"/>
            <w:vAlign w:val="bottom"/>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commitments under lease arrangements for office and manufacturing space and office equipment. The Company’s leases have initial lease terms ranging from one year to 10 years. These leases include options to extend or renew the leases for an additional period of one to 10 years.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leases are accounted for on the condensed consolidated balance sheets with right-of-use (“ROU”) assets being recognized in “Operating lease right-of-use assets” and lease liabilities recognized in “Short-term operating lease liabilities” and “Operating lease liabilities”.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Table of Contents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5000" w:type="dxa"/>
            <w:vAlign w:val="bottom"/>
            <w:gridSpan w:val="2"/>
          </w:tcPr>
          <w:p>
            <w:pPr>
              <w:spacing w:after="0"/>
              <w:rPr>
                <w:sz w:val="20"/>
                <w:szCs w:val="20"/>
                <w:color w:val="auto"/>
              </w:rPr>
            </w:pPr>
            <w:r>
              <w:rPr>
                <w:rFonts w:ascii="Arial" w:cs="Arial" w:eastAsia="Arial" w:hAnsi="Arial"/>
                <w:sz w:val="18"/>
                <w:szCs w:val="18"/>
                <w:color w:val="auto"/>
                <w:w w:val="89"/>
              </w:rPr>
              <w:t>Lease-related costs for the three and six months ended June 30, 2023</w:t>
            </w:r>
          </w:p>
        </w:tc>
        <w:tc>
          <w:tcPr>
            <w:tcW w:w="2020" w:type="dxa"/>
            <w:vAlign w:val="bottom"/>
            <w:gridSpan w:val="4"/>
          </w:tcPr>
          <w:p>
            <w:pPr>
              <w:jc w:val="center"/>
              <w:ind w:right="50"/>
              <w:spacing w:after="0"/>
              <w:rPr>
                <w:sz w:val="20"/>
                <w:szCs w:val="20"/>
                <w:color w:val="auto"/>
              </w:rPr>
            </w:pPr>
            <w:r>
              <w:rPr>
                <w:rFonts w:ascii="Arial" w:cs="Arial" w:eastAsia="Arial" w:hAnsi="Arial"/>
                <w:sz w:val="18"/>
                <w:szCs w:val="18"/>
                <w:color w:val="auto"/>
                <w:w w:val="90"/>
              </w:rPr>
              <w:t>and 2022 are as follows: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8"/>
              </w:rPr>
              <w:t>Three months ended June 30,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10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r>
      <w:tr>
        <w:trPr>
          <w:trHeight w:val="223"/>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8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Total lease cost</w:t>
            </w:r>
          </w:p>
        </w:tc>
        <w:tc>
          <w:tcPr>
            <w:tcW w:w="98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1,293</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1,235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2,669</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2,346</w:t>
            </w:r>
          </w:p>
        </w:tc>
        <w:tc>
          <w:tcPr>
            <w:tcW w:w="1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540" w:type="dxa"/>
            <w:vAlign w:val="bottom"/>
            <w:gridSpan w:val="8"/>
          </w:tcPr>
          <w:p>
            <w:pPr>
              <w:spacing w:after="0"/>
              <w:rPr>
                <w:sz w:val="20"/>
                <w:szCs w:val="20"/>
                <w:color w:val="auto"/>
              </w:rPr>
            </w:pPr>
            <w:r>
              <w:rPr>
                <w:rFonts w:ascii="Arial" w:cs="Arial" w:eastAsia="Arial" w:hAnsi="Arial"/>
                <w:sz w:val="18"/>
                <w:szCs w:val="18"/>
                <w:color w:val="auto"/>
                <w:w w:val="91"/>
              </w:rPr>
              <w:t>Other information related to operating leases as of June 30, 2023 and December 31, 2022 is as follows: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1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6.8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7"/>
              </w:rPr>
              <w:t>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72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0"/>
                <w:szCs w:val="20"/>
                <w:color w:val="auto"/>
              </w:rPr>
            </w:pP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w w:val="87"/>
              </w:rPr>
              <w:t>7.9%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cash flow and supplemental cash flow information related to the Company’s lease liabilities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20"/>
                <w:szCs w:val="20"/>
                <w:color w:val="auto"/>
              </w:rPr>
            </w:pPr>
          </w:p>
        </w:tc>
      </w:tr>
      <w:tr>
        <w:trPr>
          <w:trHeight w:val="223"/>
        </w:trPr>
        <w:tc>
          <w:tcPr>
            <w:tcW w:w="7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paid to settle operating lease liabilities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00" w:type="dxa"/>
            <w:vAlign w:val="bottom"/>
            <w:shd w:val="clear" w:color="auto" w:fill="CCEEFF"/>
          </w:tcPr>
          <w:p>
            <w:pPr>
              <w:spacing w:after="0"/>
              <w:rPr>
                <w:sz w:val="18"/>
                <w:szCs w:val="18"/>
                <w:color w:val="auto"/>
              </w:rPr>
            </w:pPr>
          </w:p>
        </w:tc>
      </w:tr>
      <w:tr>
        <w:trPr>
          <w:trHeight w:val="432"/>
        </w:trPr>
        <w:tc>
          <w:tcPr>
            <w:tcW w:w="7840" w:type="dxa"/>
            <w:vAlign w:val="bottom"/>
          </w:tcPr>
          <w:p>
            <w:pPr>
              <w:spacing w:after="0"/>
              <w:rPr>
                <w:sz w:val="20"/>
                <w:szCs w:val="20"/>
                <w:color w:val="auto"/>
              </w:rPr>
            </w:pPr>
            <w:r>
              <w:rPr>
                <w:rFonts w:ascii="Arial" w:cs="Arial" w:eastAsia="Arial" w:hAnsi="Arial"/>
                <w:sz w:val="18"/>
                <w:szCs w:val="18"/>
                <w:color w:val="auto"/>
                <w:w w:val="99"/>
              </w:rPr>
              <w:t>Future minimum lease payments under non-cancellable leases as of June 30, 2023 are as follows: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Operating Leases</w:t>
            </w:r>
          </w:p>
        </w:tc>
        <w:tc>
          <w:tcPr>
            <w:tcW w:w="100" w:type="dxa"/>
            <w:vAlign w:val="bottom"/>
          </w:tcPr>
          <w:p>
            <w:pPr>
              <w:spacing w:after="0"/>
              <w:rPr>
                <w:sz w:val="24"/>
                <w:szCs w:val="24"/>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2024</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2026</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shd w:val="clear" w:color="auto" w:fill="CCEEFF"/>
          </w:tcPr>
          <w:p>
            <w:pPr>
              <w:spacing w:after="0"/>
              <w:rPr>
                <w:sz w:val="18"/>
                <w:szCs w:val="18"/>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100" w:type="dxa"/>
            <w:vAlign w:val="bottom"/>
          </w:tcPr>
          <w:p>
            <w:pPr>
              <w:spacing w:after="0"/>
              <w:rPr>
                <w:sz w:val="19"/>
                <w:szCs w:val="19"/>
                <w:color w:val="auto"/>
              </w:rPr>
            </w:pPr>
          </w:p>
        </w:tc>
      </w:tr>
      <w:tr>
        <w:trPr>
          <w:trHeight w:val="223"/>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18"/>
                <w:szCs w:val="18"/>
                <w:color w:val="auto"/>
              </w:rPr>
            </w:pPr>
          </w:p>
        </w:tc>
      </w:tr>
      <w:tr>
        <w:trPr>
          <w:trHeight w:val="277"/>
        </w:trPr>
        <w:tc>
          <w:tcPr>
            <w:tcW w:w="784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 xml:space="preserve">Less: Lease incentives </w:t>
            </w:r>
            <w:r>
              <w:rPr>
                <w:rFonts w:ascii="Arial" w:cs="Arial" w:eastAsia="Arial" w:hAnsi="Arial"/>
                <w:sz w:val="29"/>
                <w:szCs w:val="29"/>
                <w:color w:val="auto"/>
                <w:vertAlign w:val="superscript"/>
              </w:rPr>
              <w:t>(1)</w:t>
            </w:r>
          </w:p>
        </w:tc>
        <w:tc>
          <w:tcPr>
            <w:tcW w:w="8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16,211</w:t>
            </w:r>
          </w:p>
        </w:tc>
        <w:tc>
          <w:tcPr>
            <w:tcW w:w="10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lease incentives that may be realized in 2023 for the costs of leasehold improvements.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2021, the Company signed a 10-year lease for approximately 67,000 square feet of space located at 115 Munson Street in New Haven, Connecticut. The lease commenced on January 8, 2022 with rent payments beginning on July 7, 2022. Under the lease, the landlord contractually agreed to reimburse the Company for up to $9,104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accounted for the $9,104 of lease incentives as an offset to the lease liability recorded at the inception of the lease. From the total lease incentives, the Company has incurred and recognized leasehold improvements of approximately $1,100 related to reimbursable construction costs included in construction in progress within Property and equipment, net on the condensed consolidated balance sheets as of June 30, 2023 and December 31, 2022. Although the Company believes it is contractually entitled to the $9,104 of lease incentives, based on the current status of the litigation, the Company cannot determine the likely outcome or estimate the impact on such carrying values.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9. EQUITY INCENTIVE PLAN</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no longer makes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June 30, 2023 and December 31, 2022, there were 8,886,743 and 9,133,702 shares, respectively, available for issuance under the 2021 Plan.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9, 2022, the Company granted inducement awards consisting of 2,780,000 performance-based stock options to purchase Class A common stock pursuant to Nasdaq Rule 5635(c)(4). These awards were not granted pursuant to the 2013 Plan or the 2021 Plan.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8, 2023, the Company adopted the 2023 Inducement Equity Incentive Plan (the “2023 Inducement Plan”) to reserve 3,000,000 shares of its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The terms and conditions of the 2023 Inducement Plan are substantially similar to those of the 2021 Plan. On May 15, 2023, the Company granted inducement awards under the 2023 Inducement Plan consisting of 1,000,000 time-based stock options and 1,000,000 performance-based stock options. As of June 30, 2023, there were 1,000,000 shares available for issuance under the 2023 Inducement Equity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2023, the Company granted an aggregate of 9,131,580 stock option awards to participants, with vesting subject to the participant’s continued employment with the Company through the applicable vesting dates. Stock-based compensation related to stock options for the three months ended June 30, 2023 and 2022 was $2,316 and $1,807, respectively. Stock-based compensation related to stock options for the six months ended June 30, 2023 and 2022 was $4,595 and $3,301,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w w:val="99"/>
              </w:rPr>
              <w:t>A summary of the stock option activity is presented in the table below:</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 Average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Weighted Average</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Contractual Term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55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19,427,755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9,131,580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(1,364,750)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27,194,585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w:t>
            </w: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Options exercisable at June 30, 2023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6,388,245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37"/>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June 30, 2023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23,661,933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six months ended June 30, 2023, the Company granted 256,128 restricted stock unit (“RSU”) awards. Stock-based compensation related to RSU awards for the three months ended June 30, 2023 and 2022 was $(451) and $1,963, respectively. Stock-based compensation related to RSU awards for the six months ended June 30, 2023 and 2022 was $1,178 and $(245), respectively. The $(451) for the three months ended June 30, 2023 included a reversal of stock-based compensation for the Company’s former Chief Financial Officer and members of the Board of Directors as the service condition of certain awards previously granted were not met. The $(245) for the six months ended June 30, 2022 included a reversal of stock-based compensation for the Company’s former Chief Executive Officer as the service condition of certain awards previously granted were not met.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 summary of the RSU activity is presented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Underlying</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2"/>
              </w:rPr>
              <w:t>Average Grant-</w:t>
            </w:r>
          </w:p>
        </w:tc>
        <w:tc>
          <w:tcPr>
            <w:tcW w:w="100" w:type="dxa"/>
            <w:vAlign w:val="bottom"/>
          </w:tcPr>
          <w:p>
            <w:pPr>
              <w:spacing w:after="0"/>
              <w:rPr>
                <w:sz w:val="18"/>
                <w:szCs w:val="18"/>
                <w:color w:val="auto"/>
              </w:rPr>
            </w:pPr>
          </w:p>
        </w:tc>
      </w:tr>
      <w:tr>
        <w:trPr>
          <w:trHeight w:val="241"/>
        </w:trPr>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RSUs</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2"/>
              </w:rPr>
              <w:t>Date Fair Value</w:t>
            </w:r>
          </w:p>
        </w:tc>
        <w:tc>
          <w:tcPr>
            <w:tcW w:w="100" w:type="dxa"/>
            <w:vAlign w:val="bottom"/>
          </w:tcPr>
          <w:p>
            <w:pPr>
              <w:spacing w:after="0"/>
              <w:rPr>
                <w:sz w:val="20"/>
                <w:szCs w:val="20"/>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2022</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2,018,449</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256,128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(1,626,856)</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(178,229)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r>
      <w:tr>
        <w:trPr>
          <w:trHeight w:val="257"/>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RSUs at June 30, 2023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469,492</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8620" w:type="dxa"/>
            <w:vAlign w:val="bottom"/>
            <w:gridSpan w:val="7"/>
          </w:tcPr>
          <w:p>
            <w:pPr>
              <w:spacing w:after="0"/>
              <w:rPr>
                <w:sz w:val="20"/>
                <w:szCs w:val="20"/>
                <w:color w:val="auto"/>
              </w:rPr>
            </w:pPr>
            <w:r>
              <w:rPr>
                <w:rFonts w:ascii="Arial" w:cs="Arial" w:eastAsia="Arial" w:hAnsi="Arial"/>
                <w:sz w:val="18"/>
                <w:szCs w:val="18"/>
                <w:color w:val="auto"/>
                <w:w w:val="95"/>
              </w:rPr>
              <w:t>The Company’s stock-based compensation is allocated to the following operating expense categories as follows: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00" w:type="dxa"/>
            <w:vAlign w:val="bottom"/>
          </w:tcPr>
          <w:p>
            <w:pPr>
              <w:spacing w:after="0"/>
              <w:rPr>
                <w:sz w:val="24"/>
                <w:szCs w:val="24"/>
                <w:color w:val="auto"/>
              </w:rPr>
            </w:pPr>
          </w:p>
        </w:tc>
        <w:tc>
          <w:tcPr>
            <w:tcW w:w="24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3"/>
              </w:rPr>
              <w:t>Six months ended June 30,</w:t>
            </w:r>
          </w:p>
        </w:tc>
        <w:tc>
          <w:tcPr>
            <w:tcW w:w="100" w:type="dxa"/>
            <w:vAlign w:val="bottom"/>
          </w:tcPr>
          <w:p>
            <w:pPr>
              <w:spacing w:after="0"/>
              <w:rPr>
                <w:sz w:val="24"/>
                <w:szCs w:val="24"/>
                <w:color w:val="auto"/>
              </w:rPr>
            </w:pPr>
          </w:p>
        </w:tc>
      </w:tr>
      <w:tr>
        <w:trPr>
          <w:trHeight w:val="223"/>
        </w:trPr>
        <w:tc>
          <w:tcPr>
            <w:tcW w:w="58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r>
      <w:tr>
        <w:trPr>
          <w:trHeight w:val="237"/>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1,865</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3,770</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5,773</w:t>
            </w:r>
          </w:p>
        </w:tc>
        <w:tc>
          <w:tcPr>
            <w:tcW w:w="160" w:type="dxa"/>
            <w:vAlign w:val="bottom"/>
            <w:shd w:val="clear" w:color="auto" w:fill="CCEEFF"/>
          </w:tcPr>
          <w:p>
            <w:pPr>
              <w:spacing w:after="0"/>
              <w:rPr>
                <w:sz w:val="20"/>
                <w:szCs w:val="20"/>
                <w:color w:val="auto"/>
              </w:rPr>
            </w:pPr>
          </w:p>
        </w:tc>
        <w:tc>
          <w:tcPr>
            <w:tcW w:w="20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3,056</w:t>
            </w:r>
          </w:p>
        </w:tc>
        <w:tc>
          <w:tcPr>
            <w:tcW w:w="100" w:type="dxa"/>
            <w:vAlign w:val="bottom"/>
            <w:shd w:val="clear" w:color="auto" w:fill="CCEEFF"/>
          </w:tcPr>
          <w:p>
            <w:pPr>
              <w:spacing w:after="0"/>
              <w:rPr>
                <w:sz w:val="20"/>
                <w:szCs w:val="20"/>
                <w:color w:val="auto"/>
              </w:rPr>
            </w:pP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those presented in the table below, to the extent dilutive. Basic and diluted net loss per share was the same for each period presented as the inclusion of all common share equivalents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8"/>
              </w:rPr>
              <w:t>Three months ended 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(32,414)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(67,589)</w:t>
            </w:r>
          </w:p>
        </w:tc>
      </w:tr>
      <w:tr>
        <w:trPr>
          <w:trHeight w:val="198"/>
        </w:trPr>
        <w:tc>
          <w:tcPr>
            <w:tcW w:w="5960" w:type="dxa"/>
            <w:vAlign w:val="bottom"/>
            <w:tcBorders>
              <w:top w:val="single" w:sz="8" w:color="CCEEFF"/>
            </w:tcBorders>
          </w:tcPr>
          <w:p>
            <w:pPr>
              <w:ind w:left="180"/>
              <w:spacing w:after="0" w:line="198" w:lineRule="exact"/>
              <w:rPr>
                <w:sz w:val="20"/>
                <w:szCs w:val="20"/>
                <w:color w:val="auto"/>
              </w:rPr>
            </w:pPr>
            <w:r>
              <w:rPr>
                <w:rFonts w:ascii="Arial" w:cs="Arial" w:eastAsia="Arial" w:hAnsi="Arial"/>
                <w:sz w:val="18"/>
                <w:szCs w:val="18"/>
                <w:b w:val="1"/>
                <w:bCs w:val="1"/>
                <w:color w:val="auto"/>
              </w:rPr>
              <w:t>Numerator for basic and diluted EPS - loss attributable to common</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5960" w:type="dxa"/>
            <w:vAlign w:val="bottom"/>
          </w:tcPr>
          <w:p>
            <w:pPr>
              <w:ind w:left="340"/>
              <w:spacing w:after="0"/>
              <w:rPr>
                <w:sz w:val="20"/>
                <w:szCs w:val="20"/>
                <w:color w:val="auto"/>
              </w:rPr>
            </w:pPr>
            <w:r>
              <w:rPr>
                <w:rFonts w:ascii="Arial" w:cs="Arial" w:eastAsia="Arial" w:hAnsi="Arial"/>
                <w:sz w:val="18"/>
                <w:szCs w:val="18"/>
                <w:b w:val="1"/>
                <w:bCs w:val="1"/>
                <w:color w:val="auto"/>
              </w:rPr>
              <w:t>stockholders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(25,573)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(32,414)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(49,184)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(67,589)</w:t>
            </w: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141,506,818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139,000,261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140,896,963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138,811,146</w:t>
            </w:r>
          </w:p>
        </w:tc>
        <w:tc>
          <w:tcPr>
            <w:tcW w:w="100" w:type="dxa"/>
            <w:vAlign w:val="bottom"/>
          </w:tcPr>
          <w:p>
            <w:pPr>
              <w:spacing w:after="0"/>
              <w:rPr>
                <w:sz w:val="19"/>
                <w:szCs w:val="19"/>
                <w:color w:val="auto"/>
              </w:rPr>
            </w:pPr>
          </w:p>
        </w:tc>
      </w:tr>
      <w:tr>
        <w:trPr>
          <w:trHeight w:val="223"/>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0"/>
              </w:rPr>
              <w:t>Denominator for basic and diluted EPS - weighted-average common stock</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141,506,818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139,000,261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140,896,963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138,811,146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(0.35)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(0.49)</w:t>
            </w: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1"/>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4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27,194,585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12,881,414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469,492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4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5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31,632,396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18,987,029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160" w:type="dxa"/>
            <w:vAlign w:val="bottom"/>
            <w:vMerge w:val="restart"/>
          </w:tcPr>
          <w:p>
            <w:pPr>
              <w:jc w:val="right"/>
              <w:ind w:right="2876"/>
              <w:spacing w:after="0"/>
              <w:rPr>
                <w:sz w:val="20"/>
                <w:szCs w:val="20"/>
                <w:color w:val="auto"/>
              </w:rPr>
            </w:pPr>
            <w:r>
              <w:rPr>
                <w:rFonts w:ascii="Arial" w:cs="Arial" w:eastAsia="Arial" w:hAnsi="Arial"/>
                <w:sz w:val="14"/>
                <w:szCs w:val="14"/>
                <w:color w:val="auto"/>
              </w:rPr>
              <w:t>17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45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11. WARRANT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and December 31, 2022,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held Public Warrants prior to the scheduled redemption date.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2023 and December 31, 2022,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jc w:val="both"/>
        <w:spacing w:after="0" w:line="291" w:lineRule="auto"/>
        <w:rPr>
          <w:sz w:val="20"/>
          <w:szCs w:val="20"/>
          <w:color w:val="auto"/>
        </w:rPr>
      </w:pPr>
      <w:r>
        <w:rPr>
          <w:rFonts w:ascii="Arial" w:cs="Arial" w:eastAsia="Arial" w:hAnsi="Arial"/>
          <w:sz w:val="16"/>
          <w:szCs w:val="16"/>
          <w:color w:val="auto"/>
        </w:rPr>
        <w:t>The fair value of warrant liabilities was $915 and $996 as of June 30, 2023 and December 31, 2022, respectively. The Company recognized losses of $310 and gains of $81 as a Change in fair value of warrant liabilities in the condensed consolidated statements of operations and comprehensive loss for the three and six months ended June 30, 2023, respectively. The Company recognized gains of $2,337 and $4,984 as a Change in fair value of warrant liabilities in the condensed consolidated statements of operations and comprehensive loss for the three and six months ended June 30, 2022, respectively. There were no exercises or redemptions of the Public Warrants or Private Warrants during the three and six months ended June 30, 2023 or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Income taxes for the three and six months ended June 30, 2023 and 2022 are recorded at the Company’s estimated annual effective income tax rate, subject to adjustments for discrete events, if they occur. The Company’s estimated annual effective tax rate was 0.0% for the three and six months ended June 30, 2023 and 2022. The primary reconciling items between the federal statutory rate of 21.0% for these periods and the Company’s overall effective tax rate of 0.0% were related to the effects of deferred state income taxes, nondeductible stock-based compensation, changes in the fair value of warrant liabilities, research and development credits, and the valuation allowance recorded against the full amount of its net deferred tax assets.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June 30, 2023 and December 31, 2022 since management believes that based on the earnings history of the Company, it is more likely than not that the benefits of these assets will not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utilized and subleased office and laboratory space in a building owned by a related party. The Company paid $76 and $81 under month-to-month lease arrangements for this space for the three months ended June 30, 2023 and 2022, respectively, and $156 and $161 for the six months ended June 30, 2023 and 2022, respectively. The Company no longer subleases this space as of June 30, 2023.</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was a party to an Amended and Restated Technology Services Agreement (the “ARTSA”), most recently amended on November 11, 2020, by and among 4Catalyzer Corporation (“4C”), the Company and other participant companies controlled by Dr. Jonathan Rothberg, the Chairman of the Company’s Board of Directors.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$132 and $158, which included $21 and $47 under month-to-month sublease arrangements for office and laboratory spaces from 4C, during the three months ended June 30, 2023 and 2022, respectively. The Company incurred expenses of $258 and $368, which included $48 and $97 under month-to-month sublease arrangements for office and laboratory spaces from 4C, during the six months ended June 30, 2023 and 2022, respectively. The amounts advanced and due to 4C at June 30, 2023 and December 31, 2022 related to operating expenses were $36 and $70, respectively, which are included in Accrued expenses and other current liabilities on the condensed consolidated balance sheets. The amounts advanced and due from 4C at June 30, 2023 and December 31, 2022, related to operating expenses were $0 and $37, respectively, and are included in Prepaid expenses and other current assets on the condensed consolidated balance sheets.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ARTSA also provided for the participant companies to provide other services to each other. The Company also had transactions with other entities under common ownership, which included payments made to third parties on behalf of the Company and payments made by the Company to third parties on behalf of the other entities. There were no amounts remaining payable to the Company or from the Company at June 30, 2023 and December 31, 2022.</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Effective March 31, 2022, the Collaboration with PEI was terminated, and the Company paid a final payment of $1,135 under the Collaboration for all services rendered.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jc w:val="both"/>
        <w:spacing w:after="0" w:line="288" w:lineRule="auto"/>
        <w:rPr>
          <w:sz w:val="20"/>
          <w:szCs w:val="20"/>
          <w:color w:val="auto"/>
        </w:rPr>
      </w:pPr>
      <w:r>
        <w:rPr>
          <w:rFonts w:ascii="Arial" w:cs="Arial" w:eastAsia="Arial" w:hAnsi="Arial"/>
          <w:sz w:val="16"/>
          <w:szCs w:val="16"/>
          <w:color w:val="auto"/>
        </w:rPr>
        <w:t>Effective October 1, 2022, the Company entered into a Protein Engineering Collaboration (the “New Collaboration”) with PEI to develop technology and methods in the field of nanobodies and potentially other binders to produce novel biological reagents and related data. The New Collaboration was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The Company incurred expenses of $52 and $125 during the three and six months ended June 30, 2023, respectively, related to the New Collaboration. The amounts advanced and due from PEI at June 30, 2023 and December 31, 2022 related to operating expenses were $170 and $45, respectively, and are included in Prepaid expenses and other current assets on the condensed consolidated balance sheets.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November 1, 2022, the Company entered into an Advisory Agreement with Dr. Rothberg (the “Advisory Agreement”), pursuant to which Dr. Rothberg serves as Chairman of the Board, advises the Chief Executive Officer and the Board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the Company granted Dr. Rothberg an option to purchase 250,000 shares of Class A common stock pursuant to the 2021 Plan. In connection with the Advisory Agreement, Dr. Rothberg’s title was changed from Executive Chairman to Chairman of the Board.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Rothberg also receives fees as the Chairman of the Company’s Board of Directors and a member of the Board and Nominating and Corporate Governance Committee. The Company paid $28 and $114 to Dr. Rothberg for the three months ended June 30, 2023 and 2022, respectively, and $60 and $228 for the six months ended June 30, 2023 and 2022, respectively, for all services provided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quarter ended March 31, 2023, the Company committed to an organizational restructuring designed to decrease its costs and create a more streamlined organization to support its business. During the three and six months ended June 30, 2023, the Company recognized $1,067 and $1,880 of restructuring costs, respectively, primarily for cash severance costs and other severance benefits. For the three months ended June 30, 2023, $500 and $567 were recognized in Research and development and in Selling, general and administrative, respectively, and for the six months ended June 30, 2023, $1,136 and $744 were recognized in Research and development and in Selling, general and administrative, respectively, in the condensed consolidated statements of operations and comprehensive loss. As of June 30, 2023, the Company has recorded a $1,044 restructuring liability, which is included in Accrued expenses and other current liabilities in the condensed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certain intellectual property, some of which may be utilized in its current or future product offerings. To preserve the right to use such intellectual property, the Company is required to make annual minimum fixed payments totaling $213 as well as royalties based on net sales if the royalties exceed annual minimum fixed payments. As of June 30, 2023, the Company recorded $112 in Accrued expenses and other current liabilities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three and six months ended June 30, 2023 and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results of operations, or cash flows. The Company accrues contingent liabilities to the extent that the liability is probable and estimable.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condensed consolidated statements of operations and comprehensive loss in connection with the indemnification provisions have not been material.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2022 contained in our Annual Report on Form 10-K for the year ended December 31, 2022, filed with the Securities and Exchange Commission (the “SEC”) on March 17, 2023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2022, and this Quarterly Report on Form 10-Q.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six months ended June 30, 2023 and 2022, respectively, present the financial position and results of operations of Quantum-Si Incorporated and its consolidated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 (“NGPS”), the ability to sequence proteins in a massively parallel fashion (rather than sequentially, one at a time), that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continue to successfully launch our platform, for research use only (“RUO”). We believe we are the first company to successfully enable NGPS on a semiconductor chip, thus digitizing a massive proteomics opportunity, which allows for a massively parallel solution at the ultimate level of sensitivity — single-molecule detection.</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offers a differentiated end-to-end workflow solution in a rapidly evolving proteomics tools market. Within our initial focus market of proteomics, our workflow is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2021, we introduced our Platinum early access program to sites with participation from leading academic centers and key industry partners. The early access program introduced the Platinum single-molecule sequencing system to key opinion leaders across the globe, for both expansion and development</w:t>
      </w:r>
    </w:p>
    <w:p>
      <w:pPr>
        <w:jc w:val="both"/>
        <w:spacing w:after="0" w:line="209" w:lineRule="auto"/>
        <w:rPr>
          <w:sz w:val="20"/>
          <w:szCs w:val="20"/>
          <w:color w:val="auto"/>
        </w:rPr>
      </w:pPr>
      <w:r>
        <w:rPr>
          <w:rFonts w:ascii="Arial" w:cs="Arial" w:eastAsia="Arial" w:hAnsi="Arial"/>
          <w:sz w:val="18"/>
          <w:szCs w:val="18"/>
          <w:color w:val="auto"/>
        </w:rPr>
        <w:t>of applications and workflows. We launched the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 and started to take orders in December 2022, and subsequently began commercial shipments of Platinum™ in January 2023.</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revenue for the three and six months ended June 30, 2023 was $0.2 million and $0.5 million, respectively. We define backlog as purchase orders or signed contracts from our customers for which we have not fulfilled and therefore have not yet recognized the associated revenue. We anticipate converting this backlog to revenue in the subsequent quarters; however, our ability to do so is subject to customers who may seek to cancel or delay their orders even if we are prepared to fulfill them. As of June 30, 2023, our backlog was approximately $0.1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outbreak of the novel coronavirus (“COVID-19”), which was declared a pandemic by the World Health Organization on March 11, 2020 and declared a National Emergency by the President of the United States on March 13, 2020, has led to adverse impacts on the United States and global economies and created uncertainty regarding potential impacts on our operating results, financial condition and cash flows. On May 11, 2023, the federal public health emergency for COVID-19, declared under Section 319 of the Public Health Service Act, expired.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incurred any impairment losses in the carrying values of our assets as a result of the COVID-19 pandemic and are not aware of any specific related event or circumstance that would require us to revise our estimates reflected in our condensed consolidated financial statements. We will continue to evaluate the impact of the COVID-19 pandemic on our industry and have concluded that while it is possible that the virus could have a future negative effect on our financial position, results of operations and cash flows in our condensed consolidated financial statements, the specific future impact is not readily determinable as of the date of the filing of this Quarterly Report on Form 10-Q. Our financial statements do not include any adjustments that might result from the outcome of this uncertainty.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Global Developments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2022, various central banks around the world (including the Federal Reserve in the United States) raised interest rates. These rate increases have caused a decline in the fair value of our fixed income mutual funds to date. The impact of such rate changes on the overall financial markets and the economy may continue to impact us in the future, including by making capital more difficult and costly to obtain on reasonable terms and when needed. In addition, the global economy has experienced and is continuing to experience high levels of inflation and global supply chain disruptions. We continue to monitor these supply chain, inflation and interest rate factors, as well as the uncertainty resulting from the overall economic environment.</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although we have no operations in or direct exposure to Russia or Ukraine, we have experienced some constraints in product and material availability and increasing costs required to obtain some materials and supplies as a result of the impact of the Russia-Ukraine military conflict on the global economy, which has contributed to the global supply chain disruptions. To date, our business has not been materially impacted by the conflict. However, as the conflict continues or worsens, it may adversely impact our business, financial condition,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we informed the contract manufacturer who manufactures our Platinum and Carbon instruments that we intend to wind down the relationship and transition to a different contract manufacturer. We intend to complete the process of winding down this relationship by the end of the fourth quarter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is derived from sales of products and services. Product revenue is generated from the following sources: (i) instrument sales of our Platinum instrument and (ii) consumables, which consist of sales of our sequencing reagents, chips, and library reagents. Service revenue is generated from service maintenance contracts including cloud access, proof of concept services and advanced training for instrument use. Freight revenue is recognized as Product revenue in the condensed consolidated statements of operations and comprehensive loss upon product shipment.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in our condensed consolidated financial statements included elsewhere in this Quarterly Report on Form 10-Q for further information regarding our revenue recognition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obsolescence and write-offs.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expenses primarily consist of personnel costs and benefits, stock-based compensation, lab supplies, consulting and professional services, fabrication services, facilities costs, depreciation and amortization expense, software, and other outsourced expenses. Research and development expenses are expensed as incurred. All of our research and development expenses are related to developing new products and services.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primarily consists of dividends earned on fixed income mutual funds classified as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primarily consists of the change in the fair value of our publicly traded warrants (the “Public Warrants”) and our warrants sold in a private placement (the “Private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primarily consists of realized and unrealized losses on fixed income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June 30, 2023 and 2022. Based on the available evidence, we believe that it is more likely than not that we will be unable to utilize all of our deferred tax assets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our results of operations for the three and six months ended June 30, 2023 and 2022 and our accounting policies are described in Note 2 “Summary of Significant Accounting Policies” in our condensed consolidated financial statements included elsewhere in this Quarterly Report on Form 10-Q.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gridSpan w:val="7"/>
          </w:tcPr>
          <w:p>
            <w:pPr>
              <w:jc w:val="right"/>
              <w:ind w:right="106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3720" w:type="dxa"/>
            <w:vAlign w:val="bottom"/>
            <w:gridSpan w:val="7"/>
          </w:tcPr>
          <w:p>
            <w:pPr>
              <w:jc w:val="right"/>
              <w:ind w:right="10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23"/>
        </w:trPr>
        <w:tc>
          <w:tcPr>
            <w:tcW w:w="3240" w:type="dxa"/>
            <w:vAlign w:val="bottom"/>
          </w:tcPr>
          <w:p>
            <w:pPr>
              <w:ind w:left="180"/>
              <w:spacing w:after="0"/>
              <w:rPr>
                <w:sz w:val="20"/>
                <w:szCs w:val="20"/>
                <w:color w:val="auto"/>
              </w:rPr>
            </w:pPr>
            <w:r>
              <w:rPr>
                <w:rFonts w:ascii="Arial" w:cs="Arial" w:eastAsia="Arial" w:hAnsi="Arial"/>
                <w:sz w:val="18"/>
                <w:szCs w:val="18"/>
                <w:color w:val="auto"/>
              </w:rPr>
              <w:t>Service</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23"/>
        </w:trPr>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23"/>
        </w:trPr>
        <w:tc>
          <w:tcPr>
            <w:tcW w:w="3240" w:type="dxa"/>
            <w:vAlign w:val="bottom"/>
          </w:tcPr>
          <w:p>
            <w:pPr>
              <w:ind w:left="340"/>
              <w:spacing w:after="0"/>
              <w:rPr>
                <w:sz w:val="20"/>
                <w:szCs w:val="20"/>
                <w:color w:val="auto"/>
              </w:rPr>
            </w:pPr>
            <w:r>
              <w:rPr>
                <w:rFonts w:ascii="Arial" w:cs="Arial" w:eastAsia="Arial" w:hAnsi="Arial"/>
                <w:sz w:val="18"/>
                <w:szCs w:val="18"/>
                <w:b w:val="1"/>
                <w:bCs w:val="1"/>
                <w:color w:val="auto"/>
              </w:rPr>
              <w:t>Cost of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32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11,136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11,741</w:t>
            </w:r>
          </w:p>
        </w:tc>
        <w:tc>
          <w:tcPr>
            <w:tcW w:w="2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22,314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20,110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23"/>
        </w:trPr>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30,200</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56,315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57,340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(26,892)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(30,200)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(56,113)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(57,340)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146.6%</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2,337</w:t>
            </w: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4,984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(98.4)%</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7"/>
        </w:trPr>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b w:val="1"/>
                <w:bCs w:val="1"/>
                <w:color w:val="auto"/>
                <w:w w:val="95"/>
              </w:rPr>
              <w:t>Loss before provision for income taxes</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(25,573)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(32,414)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(49,184)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(67,589)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nm</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(25,573)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(32,414)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(49,184)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(67,589)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0"/>
        </w:trPr>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62"/>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23</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3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Table of Contents</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85"/>
        </w:trPr>
        <w:tc>
          <w:tcPr>
            <w:tcW w:w="6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Revenue, Cost of revenue and Gross profit</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41"/>
        </w:trPr>
        <w:tc>
          <w:tcPr>
            <w:tcW w:w="10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20"/>
                <w:szCs w:val="20"/>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nm</w:t>
            </w: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w w:val="79"/>
              </w:rPr>
              <w:t>nm</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nm</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Gross profit margin</w:t>
            </w:r>
          </w:p>
        </w:tc>
        <w:tc>
          <w:tcPr>
            <w:tcW w:w="7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38.0%</w:t>
            </w:r>
          </w:p>
        </w:tc>
        <w:tc>
          <w:tcPr>
            <w:tcW w:w="900" w:type="dxa"/>
            <w:vAlign w:val="bottom"/>
          </w:tcPr>
          <w:p>
            <w:pPr>
              <w:spacing w:after="0"/>
              <w:rPr>
                <w:sz w:val="20"/>
                <w:szCs w:val="20"/>
                <w:color w:val="auto"/>
              </w:rPr>
            </w:pPr>
          </w:p>
        </w:tc>
        <w:tc>
          <w:tcPr>
            <w:tcW w:w="660" w:type="dxa"/>
            <w:vAlign w:val="bottom"/>
            <w:gridSpan w:val="3"/>
          </w:tcPr>
          <w:p>
            <w:pPr>
              <w:jc w:val="right"/>
              <w:ind w:right="310"/>
              <w:spacing w:after="0"/>
              <w:rPr>
                <w:sz w:val="20"/>
                <w:szCs w:val="20"/>
                <w:color w:val="auto"/>
              </w:rPr>
            </w:pPr>
            <w:r>
              <w:rPr>
                <w:rFonts w:ascii="Arial" w:cs="Arial" w:eastAsia="Arial" w:hAnsi="Arial"/>
                <w:sz w:val="18"/>
                <w:szCs w:val="18"/>
                <w:color w:val="auto"/>
                <w:w w:val="95"/>
              </w:rPr>
              <w:t>nm</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launched the Platinum</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instrument and started to take orders in December 2022, and subsequently began commercial shipments of Platinum™ in</w:t>
      </w:r>
    </w:p>
    <w:p>
      <w:pPr>
        <w:jc w:val="both"/>
        <w:spacing w:after="0" w:line="209" w:lineRule="auto"/>
        <w:rPr>
          <w:sz w:val="20"/>
          <w:szCs w:val="20"/>
          <w:color w:val="auto"/>
        </w:rPr>
      </w:pPr>
      <w:r>
        <w:rPr>
          <w:rFonts w:ascii="Arial" w:cs="Arial" w:eastAsia="Arial" w:hAnsi="Arial"/>
          <w:sz w:val="18"/>
          <w:szCs w:val="18"/>
          <w:color w:val="auto"/>
        </w:rPr>
        <w:t>January 2023. Total revenue recognized in the three months ended June 30, 2023 was $0.2 million for the sale of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instruments and kits. No revenue was recognized in 2022. Gross profit was $0.1 million for the three months ended June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Three months ended June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decreased by $2.6 million, or 14.2%, for the three months ended June 30, 2023 compared to the three months ended June 30, 2022. The decrease was primarily due to refined research and development activities coupled with restructuring activities initiated in the first quarter of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8"/>
              </w:rPr>
              <w:t>Three months ended June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4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by $0.6 million, or 5.2%, for the three months ended June 30, 2023 compared to the three months ended June 30, 2022. The decrease was primarily due to a decrease of $1.8 million of stock-based compensation, partially offset by an increase of $0.9 million in personnel costs primarily due to increased headcount for the ramp up of commercial sales.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Three months ended June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1"/>
        </w:trPr>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8"/>
                <w:szCs w:val="18"/>
                <w:b w:val="1"/>
                <w:bCs w:val="1"/>
                <w:color w:val="auto"/>
                <w:w w:val="79"/>
              </w:rPr>
              <w:t>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$1.4 million, or 136.0%, for the three months ended June 30, 2023 compared to the three months ended June 30, 2022 as a result of higher dividends earned on invested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4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Three months ended June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4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warrant liabilities decreased by $2.6 million, or 113.3%, for the three months ended June 30, 2023 compared to the three months ended June 30, 2022 primarily due to a decline in the Company’s underlying common stock price.</w:t>
      </w:r>
    </w:p>
    <w:p>
      <w:pPr>
        <w:sectPr>
          <w:pgSz w:w="11900" w:h="16838" w:orient="portrait"/>
          <w:cols w:equalWidth="0" w:num="1">
            <w:col w:w="11240"/>
          </w:cols>
          <w:pgMar w:left="320" w:top="113"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Table of Contents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5"/>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Three months ended June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10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1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(expense), net decreased by $4.7 million, or 84.8%, for the three months ended June 30, 2023 compared to the three months ended June 30, 2022 primarily as a result of a decrease in unrealized losses of $5.9 million as a result of the market adjustments of investments in marketable securities, which consist of fixed income mutual funds, partially offset by an increase in realized losses of $1.4 million from sales of marketable securities.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6200" w:type="dxa"/>
            <w:vAlign w:val="bottom"/>
          </w:tcPr>
          <w:p>
            <w:pPr>
              <w:spacing w:after="0"/>
              <w:rPr>
                <w:sz w:val="20"/>
                <w:szCs w:val="20"/>
                <w:color w:val="auto"/>
              </w:rPr>
            </w:pPr>
            <w:r>
              <w:rPr>
                <w:rFonts w:ascii="Arial" w:cs="Arial" w:eastAsia="Arial" w:hAnsi="Arial"/>
                <w:sz w:val="18"/>
                <w:szCs w:val="18"/>
                <w:b w:val="1"/>
                <w:bCs w:val="1"/>
                <w:color w:val="auto"/>
              </w:rPr>
              <w:t>Revenue, Cost of revenue and Gross profit</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9"/>
        </w:trPr>
        <w:tc>
          <w:tcPr>
            <w:tcW w:w="6200" w:type="dxa"/>
            <w:vAlign w:val="bottom"/>
          </w:tcPr>
          <w:p>
            <w:pPr>
              <w:spacing w:after="0"/>
              <w:rPr>
                <w:sz w:val="24"/>
                <w:szCs w:val="24"/>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Six months ended June 30,</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7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nm</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Cost of revenue</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w w:val="79"/>
              </w:rPr>
              <w:t>nm</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nm</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Gross profit margin</w:t>
            </w:r>
          </w:p>
        </w:tc>
        <w:tc>
          <w:tcPr>
            <w:tcW w:w="7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44.0%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3"/>
          </w:tcPr>
          <w:p>
            <w:pPr>
              <w:jc w:val="right"/>
              <w:ind w:right="310"/>
              <w:spacing w:after="0"/>
              <w:rPr>
                <w:sz w:val="20"/>
                <w:szCs w:val="20"/>
                <w:color w:val="auto"/>
              </w:rPr>
            </w:pPr>
            <w:r>
              <w:rPr>
                <w:rFonts w:ascii="Arial" w:cs="Arial" w:eastAsia="Arial" w:hAnsi="Arial"/>
                <w:sz w:val="18"/>
                <w:szCs w:val="18"/>
                <w:color w:val="auto"/>
                <w:w w:val="87"/>
              </w:rPr>
              <w:t>nm</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78" w:lineRule="exact"/>
        <w:rPr>
          <w:sz w:val="20"/>
          <w:szCs w:val="20"/>
          <w:color w:val="auto"/>
        </w:rPr>
      </w:pPr>
    </w:p>
    <w:p>
      <w:pPr>
        <w:jc w:val="both"/>
        <w:spacing w:after="0" w:line="202" w:lineRule="auto"/>
        <w:rPr>
          <w:sz w:val="20"/>
          <w:szCs w:val="20"/>
          <w:color w:val="auto"/>
        </w:rPr>
      </w:pPr>
      <w:r>
        <w:rPr>
          <w:rFonts w:ascii="Arial" w:cs="Arial" w:eastAsia="Arial" w:hAnsi="Arial"/>
          <w:sz w:val="18"/>
          <w:szCs w:val="18"/>
          <w:color w:val="auto"/>
        </w:rPr>
        <w:t>Total revenue recognized in the six months ended June 30, 2023 was $0.5 million for the sale of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instruments and kits. No revenue was recognized in 2022. Gross profit was $0.2 million for the six months ended June 30,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decreased by $3.2 million, or 8.7%, for the six months ended June 30, 2023 compared to the six months ended June 30, 2022. The decrease was primarily due to refined research and development activities coupled with restructuring activities initiated in the first quarter of 2023 and collaboration fees, which includes $1.1 million paid to Protein Evolution, Inc. in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9"/>
        </w:trPr>
        <w:tc>
          <w:tcPr>
            <w:tcW w:w="5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9"/>
              </w:rPr>
              <w:t>Six months ended June 30,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$2.2 million, or 11.0%, for the six months ended June 30, 2023 compared to the six months ended June 30, 2022. The increase was primarily due to an increase of $3.0 million of stock-based compensation and $0.7 million in personnel costs primarily due to increased headcount for the ramp up of commercial sales, partially offset by a reduction of $1.5 million of expenses primarily for consulting, professional fees and insurances.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9"/>
        </w:trPr>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9"/>
              </w:rPr>
              <w:t>Six months ended June 30,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$2.8 million, or 146.6%, for the six months ended June 30, 2023 compared to the six months ended June 30, 2022 as a result of higher dividends earned on invested marketable securities.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Table of Contents</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5"/>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1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740" w:type="dxa"/>
            <w:vAlign w:val="bottom"/>
            <w:gridSpan w:val="6"/>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warrant liabilities decreased by $4.9 million, or 98.4%, for the six months ended June 30, 2023 compared to the six months ended June 30, 2022 primarily due to a decline in the Company’s underlying common stock price.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(expense), net increased by $19.3 million, or 112.5%, for the six months ended June 30, 2023 compared to the six months ended June 30, 2022 primarily as a result of a decrease in unrealized losses of $22.5 million as a result of the market adjustments of investments in marketable securities, which consist of fixed income mutual funds, partially offset by an increase in realized losses of $3.5 million from sales of marketable securities.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we have funded our operations primarily with proceeds from the issuance of equity to private investors, as well as on June 10, 2021, we completed the Business Combination, and as a result we received proceeds of approximately $511.2 million on the day of the closing of the Business Combination. Additionally, we began to generate revenue during 2023. Our primary uses of liquidity have been operating expenses, capital expenditures and our acquisition of certain assets of Majelac. Cash flows from operations have been historically negative as we continue to invest in the development of our technology in NGPS. We expect to incur negative operating cash flows on an annual basis for the foreseeable future until such time that we can scale our revenue growth.</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2023, we had cash and cash equivalents and investments in marketable securities totaling $297.2 million. Our future capital requirements may vary from those currently planned and will depend on various factors including the pace and success of product commercialization.</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launched the Platinum</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instrument and started to take orders in December 2022, and subsequently began commercial shipments of Platinum™ in January 2023. In addition, we are continuing further research and development efforts to enhance our Platinum™ instrument as well as completing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business case evaluation surrounding our Carbon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sample preparation solution. Based on these initiatives and activities,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the impact of the COVID-19 pandemic; (v) costs of running a public company; (vi) other items affecting our forecasted level of expenditures and use of cash resources, including potential acquisitions; and (vii) increased product and service costs.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8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Table of Contents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Cash flows</w:t>
            </w:r>
          </w:p>
        </w:tc>
        <w:tc>
          <w:tcPr>
            <w:tcW w:w="7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(49,174)</w:t>
            </w:r>
          </w:p>
        </w:tc>
      </w:tr>
      <w:tr>
        <w:trPr>
          <w:trHeight w:val="216"/>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94,515</w:t>
            </w:r>
          </w:p>
        </w:tc>
        <w:tc>
          <w:tcPr>
            <w:tcW w:w="100" w:type="dxa"/>
            <w:vAlign w:val="bottom"/>
          </w:tcPr>
          <w:p>
            <w:pPr>
              <w:spacing w:after="0"/>
              <w:rPr>
                <w:sz w:val="18"/>
                <w:szCs w:val="18"/>
                <w:color w:val="auto"/>
              </w:rPr>
            </w:pPr>
          </w:p>
        </w:tc>
      </w:tr>
      <w:tr>
        <w:trPr>
          <w:trHeight w:val="223"/>
        </w:trPr>
        <w:tc>
          <w:tcPr>
            <w:tcW w:w="8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45,487</w:t>
            </w:r>
          </w:p>
        </w:tc>
        <w:tc>
          <w:tcPr>
            <w:tcW w:w="10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$51.6 million for the six months ended June 30, 2023 was due primarily to a net loss of $49.2 million resulting from continued spend on research and development efforts and commercialization ramp up and net cash outflows from changes in operating assets and liabilities of $8.8 million, partially offset by depreciation and amortization of $1.9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$49.2 million for the six months ended June 30, 2022 was due primarily to a net loss of $67.6 million resulting from continued spend on research and development efforts and commercialization ramp up and a change in fair value of warrant liabilities of $5.0 million, partially offset by unrealized losses of marketable securities of $16.1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net cash provided by investing activities of $55.2 million in the six months ended June 30, 2023 was due primarily to sales of marketable securities of $59.5 million, offset by purchases of property and equipment of $3.5 million and capitalized internally developed software costs of $0.7 million.</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cash provided by investing activities of $94.5 million in the six months ended June 30, 2022 was due primarily to sales of marketable securities of $100.1 million, partially offset by purchases of property and equipment of $5.5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activities in the six months ended June 30, 2023.</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provided by financing activities of $0.1 million in the six months ended June 30, 2022 was due primarily from $1.0 million from proceeds from exercise of stock options, offset by $0.5 million from payment of deferred consideration and $0.3 million from payment of contingent consideration related to the Majelac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lease certain facilities and equipment under non-cancellable lease agreements that expire at various dates through 2032. As of June 30, 2023, the future payments, before adjustments for tenant incentives, under leases was $33.3 million, which includes a lease we entered into in December 2021 for a facility in New Haven, Connecticut, which commenced in January 2022, and a lease that commenced in April 2022 for a facility in Branford, Connecticut.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we are required to make annual minimum fixed payments totaling approximately $0.2 million as well as royalties based on net sales if the royalties exceed annual minimum fixed payments.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derived from sales of products and services. Product revenue is primarily generated from the sales of instrument and consumables used in protein sequencing and analysis. Service revenue is primarily generated from service maintenance contracts including cloud access, proof of concept services and advanced training for instrument use. Freight revenue is recognized as Product revenue in the condensed consolidated statements of operations and comprehensive loss upon product shipment.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recognize revenue when control of our products and services is transferred to our customers in an amount that reflects the consideration we expect to receive from our customers in exchange for those products and services. This process involves identifying the contract with a customer, determining the distinct performance obligations in the contract, determining the transaction price, allocating the transaction price to the distinct performance obligations in the contract, and recognizing revenue when the performance obligations have been satisfied.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We allocate transaction price to the performance obligations in a contract with a customer, based on the relative standalone selling price of each performance obligation. We determine standalone selling price based on the price at which the performance obligation is sold separately. If the standalone selling price is not observable through past transactions, we estimate the standalone selling price taking into account available information and specific factors such as competitive positioning, internal costs, profit objectives, and internally approved pricing guidelines related to the performance obligation.</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performance obligation for sales of products is considered satisfied upon shipment of the goods to the customer in accordance with the shipping terms (either upon shipment or delivery), which is when control of the product is deemed to be transferred; this would include instruments and consumables. Customers generally do not have a right of return, except for defective or damaged products during the warranty period or unless prior written consent is provided. In instances where right of payment or transfer of title is contingent upon the customer’s acceptance of the product, revenue is deferred until all acceptance criteria have been met. Shipping and handling costs associated with outbound freight after control of a product has transferred to a customer are accounted for as fulfillment costs and are included in Cost of revenue in the condensed consolidated statements of operations and comprehensive loss. Shipping and handling costs billed to customers are considered part of the transaction price and are recognized as revenue with the underlying product sales. Revenues for service maintenance contracts, which start after the first year of purchase and are considered as service type warranties that effectively extend the standard first-year warranty coverage at the customer’s option, are recognized ratably over the contract service period as these services are performed evenly over time. Revenues for proof of concept services and advanced training is recognized upon satisfaction of the underlying performance obligation. We typically provide a standard one-year warranty which covers defects in materials and workmanship and manufacturing or performance conditions including bug fixes under normal use and service for the first year. The first year of the warranty of our products is considered an assurance-type warranty and we have determined that this standard first-year warranty is not a distinct performance obligation. Deferred revenue primarily consists of billings and payments received in advance of revenue recognition from service maintenance contracts including cloud access, proof of concept services and advanced training, and is reduced as the revenue recognition criteria are met.</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additional material changes to our critical accounting policies and estimates as compared to the critical accounting policies and estimates disclosed in our Annual Report on Form 10-K for the year ended December 31, 2022, filed with the SEC on March 17, 2023.</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in our condensed consolidated financial statements included elsewhere in this Quarterly Report on Form 10-Q for further information regarding our significant accounting policies and estimates.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included elsewhere in this Quarterly Report on Form 10-Q.</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0000EE"/>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results of operations or cash flows, other than its impact on the general economy. Nonetheless,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marketable securities are comprised primarily of investments in fixed income mutual funds. The primary objective of our investments is the preservation of capital to fulfill liquidity needs. We do not enter into investments for trading or speculative purposes. Interest rate increases have resulted in changes in the fair value of our fixed income mutual funds to date. As of June 30, 2023, this cumulative impact is a net unrealized loss of $14.8 million. The impact of such rate changes on the overall financial markets and the economy may continue to impact us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we operate our business primarily within the United States and currently execute the majority of our transactions in U.S. dollars. This limited foreign currency translation risk is not expected to have a material impact on our condensed consolidated financial statements. To date, we have not entered into any hedging arrangements with respect to foreign currency risk. As our international operations grow, we will continue to reassess our approach to managing our risk relating to fluctuations in currency rates.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0000EE"/>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June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commercial shipments of the Platinum™ protein sequencing instrument in the first quarter of 2023. We are in the process of evaluating and implementing additional controls over the processes that are associated with the commercial launch of Platinum including but not limited to revenue recognition and inventory. There were no additional changes in our internal control over financial reporting during the quarter that have materially affected, or are reasonably likely to materially affect, our internal control over financial reporting.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results of operations and financial condition are subject to various risks and uncertainties including the risk factors described under the caption “Risk Factors” in our Annual Report on Form 10-K for the year ended December 31, 2022, filed with the SEC on March 17, 2023, in our Quarterly Report on Form 10-Q for the quarter ended March 31, 2023 filed, with the SEC on May 11, 2023, and the risk factor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orders included in our backlog may be cancelled or delayed and may not be indicative of future 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define backlog as purchase orders or signed contracts from our customers for which we have not fulfilled and therefore have not yet recognized the associated revenue. We anticipate converting this backlog to revenue in the subsequent quarters; however, our ability to do so is subject to customers who may seek to cancel or delay their orders even if we are prepared to fulfill them. No assurance can be given that these amounts will be recovered after cancellation. Any cancellation or delay of orders may result in revenues that are lower than expected. As a result, we cannot provide assurances as to the portion of backlog orders to be filled in a given quarter or year, and our order backlog as of any particular date may not be representative of actual revenues for any subsequent period. As of June 30, 2023, our backlog was approximately $0.1 million.</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Incorporated by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Reference Herein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1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4"/>
              </w:rPr>
              <w:t>from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SEC File/​</w:t>
            </w:r>
          </w:p>
        </w:tc>
      </w:tr>
      <w:tr>
        <w:trPr>
          <w:trHeight w:val="241"/>
        </w:trPr>
        <w:tc>
          <w:tcPr>
            <w:tcW w:w="11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w:t>
            </w:r>
          </w:p>
        </w:tc>
        <w:tc>
          <w:tcPr>
            <w:tcW w:w="28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Filed Herewith</w:t>
            </w:r>
          </w:p>
        </w:tc>
        <w:tc>
          <w:tcPr>
            <w:tcW w:w="12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Form or Schedule</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14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 Number</w:t>
            </w:r>
          </w:p>
        </w:tc>
      </w:tr>
      <w:tr>
        <w:trPr>
          <w:trHeight w:val="176"/>
        </w:trPr>
        <w:tc>
          <w:tcPr>
            <w:tcW w:w="2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Second Amended and Restated</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222"/>
        </w:trPr>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Incorporation of</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89"/>
              </w:rPr>
              <w:t>Quantum-Si Incorporated, as amended.</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10.1+</w:t>
              </w:r>
            </w:hyperlink>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Offer Letter of Employment, dated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Form 8-K</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5/2/2023</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27, 2023, by and between the</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(Exhibit 10.1)</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Registrant and Jeffry Keyes.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10.2+</w:t>
              </w:r>
            </w:hyperlink>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Separation Agreement, dated as of</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Form 8-K</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6/7/2023</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1, 2023, by and between the</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(Exhibit 10.1)</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Registrant and Claudia Drayton.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 Inducement Equity Incentive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Form S-8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7/20/2023</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333-273350</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Plan.</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(Exhibit 99.1)</w:t>
            </w: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CCEEFF"/>
            </w:tcBorders>
            <w:shd w:val="clear" w:color="auto" w:fill="CCEEFF"/>
          </w:tcPr>
          <w:p>
            <w:pPr>
              <w:spacing w:after="0"/>
              <w:rPr>
                <w:sz w:val="20"/>
                <w:szCs w:val="20"/>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10.4+</w:t>
              </w:r>
            </w:hyperlink>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Form of Stock Option Agreement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Form S-8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7/20/2023</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333-273350</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 the 2023 Inducement Equity</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(Exhibit 99.2)</w:t>
            </w: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Incentive Plan.</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5"/>
        </w:trPr>
        <w:tc>
          <w:tcPr>
            <w:tcW w:w="3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of the Principal Executive</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222"/>
        </w:trPr>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4"/>
              </w:rPr>
              <w:t>Officer pursuant to Section 302 of the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3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5"/>
              </w:rPr>
              <w:t>Certification of the Principal Financial</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r>
      <w:tr>
        <w:trPr>
          <w:trHeight w:val="222"/>
        </w:trPr>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4"/>
              </w:rPr>
              <w:t>Officer pursuant to Section 302 of the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5"/>
        </w:trPr>
        <w:tc>
          <w:tcPr>
            <w:tcW w:w="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Certifications of the Chief Executive</w:t>
            </w:r>
          </w:p>
        </w:tc>
        <w:tc>
          <w:tcPr>
            <w:tcW w:w="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center"/>
              <w:ind w:left="30"/>
              <w:spacing w:after="0" w:line="17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Officer and Chief Financial Officer</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CCEEFF"/>
            </w:tcBorders>
            <w:shd w:val="clear" w:color="auto" w:fill="CCEEFF"/>
          </w:tcPr>
          <w:p>
            <w:pPr>
              <w:spacing w:after="0"/>
              <w:rPr>
                <w:sz w:val="19"/>
                <w:szCs w:val="19"/>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906 of the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 Inline XBRL Instance Document (the</w:t>
            </w:r>
          </w:p>
        </w:tc>
        <w:tc>
          <w:tcPr>
            <w:tcW w:w="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7"/>
                <w:szCs w:val="17"/>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2"/>
              </w:rPr>
              <w:t>instance document does not appear 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8"/>
              </w:rPr>
              <w:t>the Interactive Data File because 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7"/>
              </w:rPr>
              <w:t>XBRL tags are embedded within the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Inline XBRL document)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Inline XBRL Taxonomy Extension</w:t>
            </w:r>
          </w:p>
        </w:tc>
        <w:tc>
          <w:tcPr>
            <w:tcW w:w="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7"/>
                <w:szCs w:val="17"/>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Schema Document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Inline XBRL Taxonomy Extension</w:t>
            </w:r>
          </w:p>
        </w:tc>
        <w:tc>
          <w:tcPr>
            <w:tcW w:w="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spacing w:after="0"/>
              <w:rPr>
                <w:sz w:val="17"/>
                <w:szCs w:val="17"/>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Calculation Linkbase Document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Definition Linkbase Document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Label Linkbase Document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11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Presentation Linkbase Document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2"/>
        </w:trPr>
        <w:tc>
          <w:tcPr>
            <w:tcW w:w="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Cover Page Interactive Data File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6"/>
        </w:trPr>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(embedded within the Inline XBRL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document)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firstLine="8"/>
        <w:spacing w:after="0" w:line="342" w:lineRule="auto"/>
        <w:tabs>
          <w:tab w:leader="none" w:pos="1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certifications attached as Exhibit 32 that accompany this Quarterly Report on Form 10-Q are not deemed filed with the Securities and Exchange Commission and are not to be incorporated by reference into any filing of Quantum-Si Incorporated under the Securities Act of 1933, as amended, or the</w:t>
      </w:r>
    </w:p>
    <w:p>
      <w:pPr>
        <w:sectPr>
          <w:pgSz w:w="11900" w:h="16838" w:orient="portrait"/>
          <w:cols w:equalWidth="0" w:num="1">
            <w:col w:w="11240"/>
          </w:cols>
          <w:pgMar w:left="320" w:top="121" w:right="339" w:bottom="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Securities Exchange Act of 1934, as amended (whether made before or after the date of such Form 10-Q), irrespective of any general incorporation language contained in such filing.</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1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61670"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QUANTUM-SI INCORPORATED</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7"/>
          <w:szCs w:val="17"/>
          <w:color w:val="auto"/>
        </w:rPr>
        <w:t>By: /s/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8516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7, 2023</w:t>
      </w:r>
      <w:r>
        <w:rPr>
          <w:sz w:val="20"/>
          <w:szCs w:val="20"/>
          <w:color w:val="auto"/>
        </w:rPr>
        <w:tab/>
      </w:r>
      <w:r>
        <w:rPr>
          <w:rFonts w:ascii="Arial" w:cs="Arial" w:eastAsia="Arial" w:hAnsi="Arial"/>
          <w:sz w:val="17"/>
          <w:szCs w:val="17"/>
          <w:color w:val="auto"/>
        </w:rPr>
        <w:t>By: /s/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8516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Jeffry Keyes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HIGHCAPE CAPITAL ACQUISITION CORP.</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HighCape Capital Acquisition Corp.,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hereby certifies as follows:</w:t>
      </w:r>
    </w:p>
    <w:p>
      <w:pPr>
        <w:spacing w:after="0" w:line="224" w:lineRule="exact"/>
        <w:rPr>
          <w:sz w:val="20"/>
          <w:szCs w:val="20"/>
          <w:color w:val="auto"/>
        </w:rPr>
      </w:pPr>
    </w:p>
    <w:p>
      <w:pPr>
        <w:ind w:firstLine="656"/>
        <w:spacing w:after="0" w:line="277" w:lineRule="auto"/>
        <w:tabs>
          <w:tab w:leader="none" w:pos="1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this corporation is HighCape Capital Acquisition Corp. The date of the filing of its original certificate of incorporation with the Secretary of State of the State of Delaware was June 10, 2020.</w:t>
      </w:r>
    </w:p>
    <w:p>
      <w:pPr>
        <w:spacing w:after="0" w:line="224" w:lineRule="exact"/>
        <w:rPr>
          <w:rFonts w:ascii="Arial" w:cs="Arial" w:eastAsia="Arial" w:hAnsi="Arial"/>
          <w:sz w:val="18"/>
          <w:szCs w:val="18"/>
          <w:color w:val="auto"/>
        </w:rPr>
      </w:pPr>
    </w:p>
    <w:p>
      <w:pPr>
        <w:jc w:val="both"/>
        <w:ind w:firstLine="656"/>
        <w:spacing w:after="0" w:line="263" w:lineRule="auto"/>
        <w:tabs>
          <w:tab w:leader="none" w:pos="14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which restates, integrates and further amends the certificate of incorporation of this corporation as heretofore amended and restated, has been duly adopted by the corporation in accordance with Sections 242 and 245 of the DGCL and shall be effective at 10:00 a.m. Eastern time on June 10, 2021.</w:t>
      </w:r>
    </w:p>
    <w:p>
      <w:pPr>
        <w:spacing w:after="0" w:line="237" w:lineRule="exact"/>
        <w:rPr>
          <w:rFonts w:ascii="Arial" w:cs="Arial" w:eastAsia="Arial" w:hAnsi="Arial"/>
          <w:sz w:val="18"/>
          <w:szCs w:val="18"/>
          <w:color w:val="auto"/>
        </w:rPr>
      </w:pPr>
    </w:p>
    <w:p>
      <w:pPr>
        <w:ind w:left="1340" w:hanging="684"/>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certificate of incorporation of this corporation is hereby amended and restated in its entirety to read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“Quantum-Si Incorporated” (hereinafter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AND AGENT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c/o Corporation Service Company, 251 Little Falls Drive, Wilmington New Castle County, Delaware 19808. The name of its registered agent at such address is Corporation Service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the State of Delaware or any applicable successor act thereto, as the same may be amended from time to time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total number of shares of all classes of capital stock which the Corporation shall have authority to issue is 628,000,000 shares, consisting of 600,000,000 shares of Class A Common Stock, par value $0.0001 per share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27,000,000 shares of Class B Common Stock, par value $0.0001 per share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The number of authorized shares of Class A Common Stock, Class B Common Stock or Preferred Stock may be increased or decreased (but not below (i) the number of shares thereof then outstanding and (ii) with respect to the Class A Common Stock, the number of shares of Class A Common Stock reserved pursuant to Section 8 of Part A of this </w:t>
      </w:r>
      <w:r>
        <w:rPr>
          <w:rFonts w:ascii="Arial" w:cs="Arial" w:eastAsia="Arial" w:hAnsi="Arial"/>
          <w:sz w:val="16"/>
          <w:szCs w:val="16"/>
          <w:u w:val="single" w:color="auto"/>
          <w:color w:val="auto"/>
        </w:rPr>
        <w:t>Article IV</w:t>
      </w:r>
      <w:r>
        <w:rPr>
          <w:rFonts w:ascii="Arial" w:cs="Arial" w:eastAsia="Arial" w:hAnsi="Arial"/>
          <w:sz w:val="16"/>
          <w:szCs w:val="16"/>
          <w:color w:val="auto"/>
        </w:rPr>
        <w:t>)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preferences, privileges and rights, and the qualifications, limitations or restrictions thereof in respect of each class of capital stock of the Corporation.</w:t>
      </w:r>
    </w:p>
    <w:p>
      <w:pPr>
        <w:spacing w:after="0" w:line="19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CLASS A COMMON STOCK AND CLASS B COMMON STOCK.</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Unless otherwise indicated, references to “Sections” or “Subsections” in this Part A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refer to sections and subsections of Part A of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4" w:lineRule="exact"/>
        <w:rPr>
          <w:sz w:val="20"/>
          <w:szCs w:val="20"/>
          <w:color w:val="auto"/>
        </w:rPr>
      </w:pPr>
    </w:p>
    <w:p>
      <w:pPr>
        <w:jc w:val="both"/>
        <w:ind w:firstLine="656"/>
        <w:spacing w:after="0" w:line="254" w:lineRule="auto"/>
        <w:tabs>
          <w:tab w:leader="none" w:pos="140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Equal Status; General</w:t>
      </w:r>
      <w:r>
        <w:rPr>
          <w:rFonts w:ascii="Arial" w:cs="Arial" w:eastAsia="Arial" w:hAnsi="Arial"/>
          <w:sz w:val="18"/>
          <w:szCs w:val="18"/>
          <w:color w:val="auto"/>
        </w:rPr>
        <w:t>. Except as otherwise provided in this Second Amended and Restated Certificate of Incorporation (as amended and/or restated from time to time, including pursuant to any Preferred Stock Designation (as defined below), this “Amended and Restated Certificate of Incorporation”) or required by applicable law, shares of Class A Common Stock and Class B Common Stock shall have the same rights, privileges and powers, rank equally (including as to dividends and distributions, and upon any liquidation, dissolution, distribution of assets or winding up of the Corporation), share ratably and be identical in all respects and as to all matters. The voting, dividend, liquidation and other rights, powers and preferences of the holders of Class A Common Stock and Class B Common Stock are subject to and qualified by the rights, powers and preferences of the holders of the Preferred Stock of any series as may be designated by the Board of Directors of the Corporation (the “Board”) upon any issuance of the Preferred Stock of any series.</w:t>
      </w:r>
    </w:p>
    <w:p>
      <w:pPr>
        <w:spacing w:after="0" w:line="245" w:lineRule="exact"/>
        <w:rPr>
          <w:rFonts w:ascii="Arial" w:cs="Arial" w:eastAsia="Arial" w:hAnsi="Arial"/>
          <w:sz w:val="18"/>
          <w:szCs w:val="18"/>
          <w:color w:val="auto"/>
        </w:rPr>
      </w:pPr>
    </w:p>
    <w:p>
      <w:pPr>
        <w:jc w:val="both"/>
        <w:ind w:firstLine="656"/>
        <w:spacing w:after="0" w:line="268" w:lineRule="auto"/>
        <w:tabs>
          <w:tab w:leader="none" w:pos="142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xml:space="preserve">. Except as otherwise required by applicable law, at all meetings of stockholders and on all matters submitted to a vote of stockholders of the Corporation generally, each holder of Class A Common Stock, as such, shall have the right to one (1) vote per share of Class A Common Stock held of record by such holder and each holder of Class B Common Stock, as such, shall have the right to twenty (20) votes per share of Class B Common Stock held of record by such holder. Except as otherwise required by applicable law or provided in this Amended and Restated Certificate of Incorporation,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“Bylaws”), and (c) be entitled to vote upon such matters and in such manner as may be provided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as otherwise required by applicable law, holders of Class A Common Stock and Class B Common Stock, as such, shall not be entitled to vote on any amendment to this Amended and Restated Certificate of Incorporation (including any Preferred Stock Designation) that relates solely to the terms of one or more outstanding series of Preferred Stock if the holders of such affected series of Preferred Stock are exclusively entitled, either separately or together with the holders of one or more other such series of Preferred Stock, to vote thereon pursuant to this Amended and Restated Certificate of Incorporation or applicable law. There shall be no cumulative voting.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656"/>
        <w:spacing w:after="0" w:line="268" w:lineRule="auto"/>
        <w:tabs>
          <w:tab w:leader="none" w:pos="132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Dividend and Distribution Rights</w:t>
      </w:r>
      <w:r>
        <w:rPr>
          <w:rFonts w:ascii="Arial" w:cs="Arial" w:eastAsia="Arial" w:hAnsi="Arial"/>
          <w:sz w:val="17"/>
          <w:szCs w:val="17"/>
          <w:color w:val="auto"/>
        </w:rPr>
        <w:t xml:space="preserve">.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a dividend is paid in the form of shares of Class A Common Stock or Class B Common Stock (or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and holders of Class B Common Stock shall be entitled to receive shares of Class B Common Stock (or rights to acquire, or securities convertible into or exchangeable for, such shares, as the case may be), with holders of shares of Class A Common Stock and Class B Common Stock receiving, on a per share basis, an identical number of shares of Class A Common Stock or Class B Common Stock (or rights to acquire, or securities convertible into or exchangeable for, such shares, as the case may be),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by the affirmative vote of the holders of a majority of the outstanding shares of Class A Common Stock and Class B Common Stock, each voting separately as a class.</w:t>
      </w:r>
    </w:p>
    <w:p>
      <w:pPr>
        <w:spacing w:after="0" w:line="240" w:lineRule="exact"/>
        <w:rPr>
          <w:rFonts w:ascii="Arial" w:cs="Arial" w:eastAsia="Arial" w:hAnsi="Arial"/>
          <w:sz w:val="17"/>
          <w:szCs w:val="17"/>
          <w:color w:val="auto"/>
        </w:rPr>
      </w:pPr>
    </w:p>
    <w:p>
      <w:pPr>
        <w:jc w:val="both"/>
        <w:ind w:firstLine="656"/>
        <w:spacing w:after="0" w:line="293" w:lineRule="auto"/>
        <w:tabs>
          <w:tab w:leader="none" w:pos="137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Subdivisions, Combinations or Reclassifications</w:t>
      </w:r>
      <w:r>
        <w:rPr>
          <w:rFonts w:ascii="Arial" w:cs="Arial" w:eastAsia="Arial" w:hAnsi="Arial"/>
          <w:sz w:val="16"/>
          <w:szCs w:val="16"/>
          <w:color w:val="auto"/>
        </w:rPr>
        <w:t xml:space="preserve">. Shares of Class A Common Stock or Class B Common Stock may not be subdivided, combined or reclassified unless the shares of the other class is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and Class B Common Stock, each voting separately as a class.</w:t>
      </w:r>
    </w:p>
    <w:p>
      <w:pPr>
        <w:spacing w:after="0" w:line="218" w:lineRule="exact"/>
        <w:rPr>
          <w:rFonts w:ascii="Arial" w:cs="Arial" w:eastAsia="Arial" w:hAnsi="Arial"/>
          <w:sz w:val="16"/>
          <w:szCs w:val="16"/>
          <w:color w:val="auto"/>
        </w:rPr>
      </w:pPr>
    </w:p>
    <w:p>
      <w:pPr>
        <w:jc w:val="both"/>
        <w:ind w:firstLine="656"/>
        <w:spacing w:after="0" w:line="255" w:lineRule="auto"/>
        <w:tabs>
          <w:tab w:leader="none" w:pos="140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w:t>
      </w:r>
      <w:r>
        <w:rPr>
          <w:rFonts w:ascii="Arial" w:cs="Arial" w:eastAsia="Arial" w:hAnsi="Arial"/>
          <w:sz w:val="18"/>
          <w:szCs w:val="18"/>
          <w:color w:val="auto"/>
        </w:rPr>
        <w:t>. Subject to the preferential or other rights of any holders of Preferred Stock then outstanding, upon the dissolution, distribution of assets, liquidation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and Class B Common Stock, each voting separately as a class.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6" w:name="page37"/>
    <w:bookmarkEnd w:id="36"/>
    <w:p>
      <w:pPr>
        <w:ind w:left="1380" w:hanging="724"/>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Certain Transactions</w:t>
      </w:r>
      <w:r>
        <w:rPr>
          <w:rFonts w:ascii="Arial" w:cs="Arial" w:eastAsia="Arial" w:hAnsi="Arial"/>
          <w:sz w:val="18"/>
          <w:szCs w:val="18"/>
          <w:color w:val="auto"/>
        </w:rPr>
        <w:t>.</w:t>
      </w:r>
    </w:p>
    <w:p>
      <w:pPr>
        <w:spacing w:after="0" w:line="27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Merger or Consolidation</w:t>
      </w:r>
      <w:r>
        <w:rPr>
          <w:rFonts w:ascii="Arial" w:cs="Arial" w:eastAsia="Arial" w:hAnsi="Arial"/>
          <w:sz w:val="16"/>
          <w:szCs w:val="16"/>
          <w:color w:val="auto"/>
        </w:rPr>
        <w:t xml:space="preserve">. In the case of any distribution or payment in respect of the shares of Class A Common Stock or Class B Common Stock, or any consideration into which such shares are converted, upon the consolidation or merger of the Corporation with or into any other entity, such distribution, payment or consideration that the holders of shares of Class A Common Stock or Class B Common Stock have the right to receive, or the right to elect to receive, shall be made ratably on a per share basis among the holders of the Class A Common Stock and Class B Common Stock as a single class; </w:t>
      </w:r>
      <w:r>
        <w:rPr>
          <w:rFonts w:ascii="Arial" w:cs="Arial" w:eastAsia="Arial" w:hAnsi="Arial"/>
          <w:sz w:val="16"/>
          <w:szCs w:val="16"/>
          <w:i w:val="1"/>
          <w:iCs w:val="1"/>
          <w:color w:val="auto"/>
        </w:rPr>
        <w:t>provided, however</w:t>
      </w:r>
      <w:r>
        <w:rPr>
          <w:rFonts w:ascii="Arial" w:cs="Arial" w:eastAsia="Arial" w:hAnsi="Arial"/>
          <w:sz w:val="16"/>
          <w:szCs w:val="16"/>
          <w:color w:val="auto"/>
        </w:rPr>
        <w:t>, that shares of such classes may receive, or have the right to elect to receive, different or disproportionate distribution, payment or consideration in connection with such consolidation, merger or other transaction in order to reflect the special rights, powers and privileges of holders of shares of Class B Common Stock under this Amended and Restated Certificate of Incorporation (which may include, without limitation, securities distributable to the holders of, or issuable upon the conversion of, each share of Class B Common Stock outstanding immediately prior to such transaction having not more than twenty (20) times the voting power of any securities distributable to the holders of, or issuable upon the conversion of, each share of Class A Common Stock outstanding immediately prior to such transaction or any other share of stock then outstanding) or such other rights, powers, privileges or other terms that are no more favorable, in the aggregate, to the holders of the Class B Common Stock relative to the holders of the Class A Common Stock than those contained in this Amended and Restated Certificate of Incorporation.</w:t>
      </w:r>
    </w:p>
    <w:p>
      <w:pPr>
        <w:spacing w:after="0" w:line="22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Third-Party Tender or Exchange Offers</w:t>
      </w:r>
      <w:r>
        <w:rPr>
          <w:rFonts w:ascii="Arial" w:cs="Arial" w:eastAsia="Arial" w:hAnsi="Arial"/>
          <w:sz w:val="17"/>
          <w:szCs w:val="17"/>
          <w:color w:val="auto"/>
        </w:rPr>
        <w:t xml:space="preserve">. The Corporation may not enter into any agreement pursuant to which a third party may by tender or exchange offer acquire any shares of Class A Common Stock or Class B Common Stock unless the holders of (a) the Class A Common Stock shall have the right to receive, or the right to elect to receive, the same form of consideration and the same amount of consideration on a per share basis as the holders of the Class B Common Stock would receive, or have the right to elect to receive, and (b) the Class B Common Stock shall have the right to receive, or the right to elect to receive, the same form of consideration and the same amount of consideration on a per share basis as the holders of the Class A Common Stock would receive, or have the right to elect to receive; </w:t>
      </w:r>
      <w:r>
        <w:rPr>
          <w:rFonts w:ascii="Arial" w:cs="Arial" w:eastAsia="Arial" w:hAnsi="Arial"/>
          <w:sz w:val="17"/>
          <w:szCs w:val="17"/>
          <w:i w:val="1"/>
          <w:iCs w:val="1"/>
          <w:color w:val="auto"/>
        </w:rPr>
        <w:t>provided, however</w:t>
      </w:r>
      <w:r>
        <w:rPr>
          <w:rFonts w:ascii="Arial" w:cs="Arial" w:eastAsia="Arial" w:hAnsi="Arial"/>
          <w:sz w:val="17"/>
          <w:szCs w:val="17"/>
          <w:color w:val="auto"/>
        </w:rPr>
        <w:t>, that shares of such classes may receive, or have the right to elect to receive, different or disproportionate consideration in connection with such tender or exchange offer in order to reflect the special rights, powers and privileges of the holders of shares of the Class B Common Stock under this Amended and Restated Certificate of Incorporation (which may include, without limitation, securities exchangeable for each share of Class B Common Stock having twenty (20) times the voting power of any securities exchangeable for each share of Class A Common Stock or any other share of stock then outstanding) or such other rights, powers, privileges or other terms that are no more favorable, in the aggregate, to the holders of the Class B Common Stock relative to the holders of the Class A Common Stock than those contained in this Amended and Restated Certificate of Incorporation.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7" w:name="page38"/>
    <w:bookmarkEnd w:id="37"/>
    <w:p>
      <w:pPr>
        <w:ind w:left="1380" w:hanging="72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7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Optional Conversion of Class B Common Stock</w:t>
      </w:r>
      <w:r>
        <w:rPr>
          <w:rFonts w:ascii="Arial" w:cs="Arial" w:eastAsia="Arial" w:hAnsi="Arial"/>
          <w:sz w:val="16"/>
          <w:szCs w:val="16"/>
          <w:color w:val="auto"/>
        </w:rPr>
        <w:t>. Each share of Class B Common Stock shall be convertible into one (1) fully paid and nonassessable share of Class A Common Stock at the option of the holder thereof at any time upon written notice to the Corporation (an “</w:t>
      </w: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 B Conversion Event</w:t>
      </w:r>
      <w:r>
        <w:rPr>
          <w:rFonts w:ascii="Arial" w:cs="Arial" w:eastAsia="Arial" w:hAnsi="Arial"/>
          <w:sz w:val="16"/>
          <w:szCs w:val="16"/>
          <w:color w:val="auto"/>
        </w:rPr>
        <w:t>”). Before any holder of Class B Common Stock shall be entitled to convert any shares of Class B Common Stock into shares of Class A Common Stock,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on the date of such surrender of the shares of Class B Common Stock to be converted following or contemporaneously with the provision of written notice of such conversion election as required by this Subsection 7.1,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 Notwithstanding anything herein to the contrary, shares of Class B Common Stock represented by a lost, stolen or destroyed stock certificate may be converted pursuant to an Optional Class B Conversion Event if the holder thereof notifies the Corporation or its transfer agent that such certificate has been lost, stolen or destroyed and makes an affidavit of that fact acceptable to the Corporation and executes an agreement acceptable to the Corporation to indemnify the Corporation from any loss incurred by it in connection with such certificate.</w:t>
      </w:r>
    </w:p>
    <w:p>
      <w:pPr>
        <w:spacing w:after="0" w:line="23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Automatic Conversion of Class B Common Stock</w:t>
      </w:r>
      <w:r>
        <w:rPr>
          <w:rFonts w:ascii="Arial" w:cs="Arial" w:eastAsia="Arial" w:hAnsi="Arial"/>
          <w:sz w:val="18"/>
          <w:szCs w:val="18"/>
          <w:color w:val="auto"/>
        </w:rPr>
        <w:t>. To the extent set forth below, each applicable share of Class B Common Stock shall automatically convert into one (1) fully paid and nonassessable share of Class A Common Stock upon the occurrence of an event described below (a “</w:t>
      </w:r>
      <w:r>
        <w:rPr>
          <w:rFonts w:ascii="Arial" w:cs="Arial" w:eastAsia="Arial" w:hAnsi="Arial"/>
          <w:sz w:val="18"/>
          <w:szCs w:val="18"/>
          <w:u w:val="single" w:color="auto"/>
          <w:color w:val="auto"/>
        </w:rPr>
        <w:t>Mandatory Class B Conversion Event</w:t>
      </w:r>
      <w:r>
        <w:rPr>
          <w:rFonts w:ascii="Arial" w:cs="Arial" w:eastAsia="Arial" w:hAnsi="Arial"/>
          <w:sz w:val="18"/>
          <w:szCs w:val="18"/>
          <w:color w:val="auto"/>
        </w:rPr>
        <w:t>”):</w:t>
      </w:r>
    </w:p>
    <w:p>
      <w:pPr>
        <w:spacing w:after="0" w:line="238" w:lineRule="exact"/>
        <w:rPr>
          <w:sz w:val="20"/>
          <w:szCs w:val="20"/>
          <w:color w:val="auto"/>
        </w:rPr>
      </w:pPr>
    </w:p>
    <w:p>
      <w:pPr>
        <w:jc w:val="both"/>
        <w:ind w:left="1300" w:firstLine="652"/>
        <w:spacing w:after="0" w:line="259" w:lineRule="auto"/>
        <w:tabs>
          <w:tab w:leader="none" w:pos="274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Each share of Class B Common Stock that is subject to a Transfer (as defined in Section 11), other than a Permitted Transfer (as defined in Section 11), shall automatically, without further action by the Corporation or the holder thereof, convert into one (1) fully paid and nonassessable share of Class A Common Stock upon the occurrence of such Transfer (other than a Permitted Transfer).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8" w:name="page39"/>
    <w:bookmarkEnd w:id="38"/>
    <w:p>
      <w:pPr>
        <w:jc w:val="both"/>
        <w:ind w:left="1300" w:firstLine="652"/>
        <w:spacing w:after="0" w:line="255" w:lineRule="auto"/>
        <w:tabs>
          <w:tab w:leader="none" w:pos="275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Reduction in Voting Power</w:t>
      </w:r>
      <w:r>
        <w:rPr>
          <w:rFonts w:ascii="Arial" w:cs="Arial" w:eastAsia="Arial" w:hAnsi="Arial"/>
          <w:sz w:val="18"/>
          <w:szCs w:val="18"/>
          <w:color w:val="auto"/>
        </w:rPr>
        <w:t>. Each outstanding share of Class B Common Stock shall automatically, without further action by the Corporation or the holder thereof, convert into one (1) fully paid and nonassessable share of Class A Common Stock upon the first date on which the Founder, together with all other Qualified Stockholders, collectively cease to beneficially own at least 20% of the number of shares of Class B Common Stock (as such number of shares is equitably adjusted in respect of any reclassification, stock dividend, subdivision, combination or recapitalization of the Class B Common Stock) collectively held by the Founder and his Permitted Transferees as of the Effective Date.</w:t>
      </w:r>
    </w:p>
    <w:p>
      <w:pPr>
        <w:spacing w:after="0" w:line="246" w:lineRule="exact"/>
        <w:rPr>
          <w:rFonts w:ascii="Arial" w:cs="Arial" w:eastAsia="Arial" w:hAnsi="Arial"/>
          <w:sz w:val="18"/>
          <w:szCs w:val="18"/>
          <w:color w:val="auto"/>
        </w:rPr>
      </w:pPr>
    </w:p>
    <w:p>
      <w:pPr>
        <w:jc w:val="both"/>
        <w:ind w:left="1300" w:firstLine="652"/>
        <w:spacing w:after="0" w:line="259" w:lineRule="auto"/>
        <w:tabs>
          <w:tab w:leader="none" w:pos="26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Affirmative Vote</w:t>
      </w:r>
      <w:r>
        <w:rPr>
          <w:rFonts w:ascii="Arial" w:cs="Arial" w:eastAsia="Arial" w:hAnsi="Arial"/>
          <w:sz w:val="18"/>
          <w:szCs w:val="18"/>
          <w:color w:val="auto"/>
        </w:rPr>
        <w:t>. Each outstanding share of Class B Common Stock shall automatically, without further action by the Corporation or the holder thereof, convert into one (1) fully paid and nonassessable share of Class A Common Stock upon the date specified by the affirmative vote of the holders of at least two-thirds (2/3) of the then outstanding shares of Class B Common Stock, voting as a separate class.</w:t>
      </w:r>
    </w:p>
    <w:p>
      <w:pPr>
        <w:spacing w:after="0" w:line="24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Certificates</w:t>
      </w:r>
      <w:r>
        <w:rPr>
          <w:rFonts w:ascii="Arial" w:cs="Arial" w:eastAsia="Arial" w:hAnsi="Arial"/>
          <w:sz w:val="16"/>
          <w:szCs w:val="16"/>
          <w:color w:val="auto"/>
        </w:rPr>
        <w:t>. Each outstanding stock certificate (if shares are in certificated form) that, immediately prior to the occurrence of a Mandatory Class B Conversion Event, represented one or more shares of Class B Common Stock subject to such Mandatory Class B Conversion Event shall, upon such Mandatory Class B Conversion Event, be deemed to represent an equal number of shares of Class A Common Stock, without the need for surrender or exchange thereof. The Corporation shall, upon the request of any holder whose shares of Class B Common Stock have been converted into shares of Class A Common Stock as a result of an Optional Class B Conversion Event or a Mandatory Class B Conversion Event (either of the foregoing, a “</w:t>
      </w:r>
      <w:r>
        <w:rPr>
          <w:rFonts w:ascii="Arial" w:cs="Arial" w:eastAsia="Arial" w:hAnsi="Arial"/>
          <w:sz w:val="16"/>
          <w:szCs w:val="16"/>
          <w:u w:val="single" w:color="auto"/>
          <w:color w:val="auto"/>
        </w:rPr>
        <w:t>Conversion Event</w:t>
      </w:r>
      <w:r>
        <w:rPr>
          <w:rFonts w:ascii="Arial" w:cs="Arial" w:eastAsia="Arial" w:hAnsi="Arial"/>
          <w:sz w:val="16"/>
          <w:szCs w:val="16"/>
          <w:color w:val="auto"/>
        </w:rPr>
        <w:t>”) and upon surrender by such holder to the Corporation of the outstanding certificate(s) formerly representing such holder’s shares of Class B Common Stock, if any (or, in the case of any lost, stolen or destroyed certificate, upon such holder providing an affidavit of that fact acceptable to the Corporation and executing an agreement acceptable to the Corporation to indemnify the Corporation from any loss incurred by it in connection with such certificate), issue and deliver to such holder (or such other Person specified pursuant to Subsection 7.1) certificate(s) representing the shares of Class A Common Stock into which such holder’s shares of Class B Common Stock were converted as a result of such Conversion Event (if such shares are certificated) or, if such shares are uncertificated, register such shares in book-entry form. Each share of Class B Common Stock that is converted pursuant to Subsection 7.1 or 7.2 shall thereupon automatically be retired and shall not be available for reissuance.</w:t>
      </w:r>
    </w:p>
    <w:p>
      <w:pPr>
        <w:spacing w:after="0" w:line="22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Policies and Procedures</w:t>
      </w:r>
      <w:r>
        <w:rPr>
          <w:rFonts w:ascii="Arial" w:cs="Arial" w:eastAsia="Arial" w:hAnsi="Arial"/>
          <w:sz w:val="18"/>
          <w:szCs w:val="18"/>
          <w:color w:val="auto"/>
        </w:rPr>
        <w:t>. The Corporation may, from time to time, establish such administrative policies and procedures, not in violation of applicable law or the other provisions of this Amended and Restated Certificate of Incorporation or Bylaws of the Corporation, relating to the conversion of the Class B Common Stock into Class A Common Stock, as it may deem necessary or advisable in connection therewith (it being understood, for the avoidance of doubt, that this sentence shall not authorize or empower the Corporation to expand upon the events that constitute a Mandatory Class B Conversion Event).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9" w:name="page40"/>
    <w:bookmarkEnd w:id="39"/>
    <w:p>
      <w:pPr>
        <w:jc w:val="both"/>
        <w:ind w:firstLine="656"/>
        <w:spacing w:after="0" w:line="259" w:lineRule="auto"/>
        <w:tabs>
          <w:tab w:leader="none" w:pos="141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Reservation of Stock</w:t>
      </w:r>
      <w:r>
        <w:rPr>
          <w:rFonts w:ascii="Arial" w:cs="Arial" w:eastAsia="Arial" w:hAnsi="Arial"/>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240" w:lineRule="exact"/>
        <w:rPr>
          <w:rFonts w:ascii="Arial" w:cs="Arial" w:eastAsia="Arial" w:hAnsi="Arial"/>
          <w:sz w:val="18"/>
          <w:szCs w:val="18"/>
          <w:color w:val="auto"/>
        </w:rPr>
      </w:pPr>
    </w:p>
    <w:p>
      <w:pPr>
        <w:jc w:val="both"/>
        <w:ind w:firstLine="656"/>
        <w:spacing w:after="0" w:line="234" w:lineRule="auto"/>
        <w:tabs>
          <w:tab w:leader="none" w:pos="149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Protective Provisions</w:t>
      </w:r>
      <w:r>
        <w:rPr>
          <w:rFonts w:ascii="Arial" w:cs="Arial" w:eastAsia="Arial" w:hAnsi="Arial"/>
          <w:sz w:val="18"/>
          <w:szCs w:val="18"/>
          <w:color w:val="auto"/>
        </w:rPr>
        <w:t>. Unless such action is first approved by the affirmative vote (or written consent) of the holders of two-thirds (2/3</w:t>
      </w:r>
      <w:r>
        <w:rPr>
          <w:rFonts w:ascii="Arial" w:cs="Arial" w:eastAsia="Arial" w:hAnsi="Arial"/>
          <w:sz w:val="29"/>
          <w:szCs w:val="29"/>
          <w:color w:val="auto"/>
          <w:vertAlign w:val="superscript"/>
        </w:rPr>
        <w:t>rd</w:t>
      </w:r>
      <w:r>
        <w:rPr>
          <w:rFonts w:ascii="Arial" w:cs="Arial" w:eastAsia="Arial" w:hAnsi="Arial"/>
          <w:sz w:val="18"/>
          <w:szCs w:val="18"/>
          <w:color w:val="auto"/>
        </w:rPr>
        <w:t>) of the then-outstanding shares of Class B Common Stock, voting as a separate class, in addition to any other vote required by applicable law, this Amended and Restated Certificate of Incorporation or the Bylaws, prior to the Final Conversion Date, the Corporation shall not, whether by merger, consolidation, certificate of designation or otherwise (i) amend, alter, repeal or waive any provision of Part A of this Article IV (or adopt any provision inconsistent therewith), or (ii) except for the shares of Class B Common Stock issued pursuant to the Merger and as provided in Section 10 below, authorize, or issue any shares of, any class or series of capital stock of the Corporation entitling the holder thereof to more than (1) vote for each share thereof or entitling any class or series of securities to designate or elect directors as a class or series separate from the Class A Common Stock and Class B Common Stock.</w:t>
      </w:r>
    </w:p>
    <w:p>
      <w:pPr>
        <w:spacing w:after="0" w:line="260" w:lineRule="exact"/>
        <w:rPr>
          <w:rFonts w:ascii="Arial" w:cs="Arial" w:eastAsia="Arial" w:hAnsi="Arial"/>
          <w:sz w:val="18"/>
          <w:szCs w:val="18"/>
          <w:color w:val="auto"/>
        </w:rPr>
      </w:pPr>
    </w:p>
    <w:p>
      <w:pPr>
        <w:ind w:firstLine="656"/>
        <w:spacing w:after="0" w:line="277" w:lineRule="auto"/>
        <w:tabs>
          <w:tab w:leader="none" w:pos="140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Issuance of Additional Shares</w:t>
      </w:r>
      <w:r>
        <w:rPr>
          <w:rFonts w:ascii="Arial" w:cs="Arial" w:eastAsia="Arial" w:hAnsi="Arial"/>
          <w:sz w:val="18"/>
          <w:szCs w:val="18"/>
          <w:color w:val="auto"/>
        </w:rPr>
        <w:t>. From and after the Effective Date, additional shares of Class B Common Stock may be issued only to a Qualified Stockholder.</w:t>
      </w:r>
    </w:p>
    <w:p>
      <w:pPr>
        <w:spacing w:after="0" w:line="224" w:lineRule="exact"/>
        <w:rPr>
          <w:rFonts w:ascii="Arial" w:cs="Arial" w:eastAsia="Arial" w:hAnsi="Arial"/>
          <w:sz w:val="18"/>
          <w:szCs w:val="18"/>
          <w:color w:val="auto"/>
        </w:rPr>
      </w:pPr>
    </w:p>
    <w:p>
      <w:pPr>
        <w:ind w:left="1420" w:hanging="764"/>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Amended and Restated Certificate of Incorporation:</w:t>
      </w:r>
    </w:p>
    <w:p>
      <w:pPr>
        <w:spacing w:after="0" w:line="252" w:lineRule="exact"/>
        <w:rPr>
          <w:sz w:val="20"/>
          <w:szCs w:val="20"/>
          <w:color w:val="auto"/>
        </w:rPr>
      </w:pPr>
    </w:p>
    <w:p>
      <w:pPr>
        <w:jc w:val="both"/>
        <w:ind w:left="660"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xml:space="preserve">” means (i) the sale, lease,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sale, lease, exchange or other disposition of property or assets exclusively between or among the Corporation and any direct or indirect subsidiary or subsidiaries of the Corporation shall not be deemed a “</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fifty percent (50%) of the total voting power represented by the voting securities of the Corporation and more than fifty percent (50%) of the total number of outstanding shares of the Corporation’s capital stock, in each case as outstanding immediately after such merger, consolidation, business combination, or other similar transaction, and the stockholders of the Corporation immediately prior to the merger, consolidation, business combination, or other similar transaction continuing to own voting securities of the Corporation, the surviving entity or its parent immediately following the merger, consolidation, business combination, or other similar transaction in substantially the same proportions (vis a vis each other) as such stockholders owned of the voting securities of the Corporation immediately prior to the transaction; and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fifty percent (50%) of the total voting power represented by the voting securities of the Corporation and more than fifty percent (50%) of the total number of outstanding shares of the Corporation’s capital stock, in each case as outstanding immediately after such recapitalization, liquidation, dissolution or other similar transaction, and the stockholders of the Corporation immediately prior to the recapitalization, liquidation, dissolution or other similar transaction continuing to own voting securities of the Corporation, the surviving entity or its parent immediately following the recapitalization, liquidation, dissolution or other similar transaction in substantially the same proportions (vis a vis each other) as such stockholders owned of the voting securities of the Corporation immediately prior to the transaction.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0" w:name="page41"/>
    <w:bookmarkEnd w:id="40"/>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this Amended and Restated Certificate of Incorporation is first effective.</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means with respect to any natural person who is a Qualified Stockholder (a) the spouse of such Qualified Stockholder,</w:t>
      </w:r>
    </w:p>
    <w:p>
      <w:pPr>
        <w:spacing w:after="0" w:line="46" w:lineRule="exact"/>
        <w:rPr>
          <w:sz w:val="20"/>
          <w:szCs w:val="20"/>
          <w:color w:val="auto"/>
        </w:rPr>
      </w:pPr>
    </w:p>
    <w:p>
      <w:pPr>
        <w:jc w:val="both"/>
        <w:ind w:left="4" w:hanging="4"/>
        <w:spacing w:after="0" w:line="255" w:lineRule="auto"/>
        <w:tabs>
          <w:tab w:leader="none" w:pos="2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parents, grandparents, lineal descendants, siblings or lineal descendants of siblings of such Qualified Stockholder or (c) the parents, grandparents, lineal descendants, siblings or lineal descendants of siblings of the spouse of such Qualified Stockholder. Lineal descendants shall include adopted persons, but only so long as they are adopted during minority.</w:t>
      </w:r>
    </w:p>
    <w:p>
      <w:pPr>
        <w:spacing w:after="0" w:line="217"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Fiduciary</w:t>
      </w:r>
      <w:r>
        <w:rPr>
          <w:rFonts w:ascii="Arial" w:cs="Arial" w:eastAsia="Arial" w:hAnsi="Arial"/>
          <w:sz w:val="17"/>
          <w:szCs w:val="17"/>
          <w:color w:val="auto"/>
        </w:rPr>
        <w:t>” means a Person who (a) is an executor, personal representative, administrator, trustee, manager, managing member, general partner, director, officer or any other agent of a Person and (b) manages, controls or otherwise has decision-making authority with respect to such Person, but, in each case, only to the extent that such Person may be removed, directly or indirectly, by one or more Qualified Stockholders and replaced with another Fiduciary selected, directly or indirectly, by one or more Qualified Stockholders.</w:t>
      </w:r>
    </w:p>
    <w:p>
      <w:pPr>
        <w:spacing w:after="0" w:line="198"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Conversion Date</w:t>
      </w:r>
      <w:r>
        <w:rPr>
          <w:rFonts w:ascii="Arial" w:cs="Arial" w:eastAsia="Arial" w:hAnsi="Arial"/>
          <w:sz w:val="18"/>
          <w:szCs w:val="18"/>
          <w:color w:val="auto"/>
        </w:rPr>
        <w:t>” means the date on which no shares of Class B Common Stock shall remain outstanding.</w:t>
      </w:r>
    </w:p>
    <w:p>
      <w:pPr>
        <w:spacing w:after="0" w:line="252"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w:t>
      </w:r>
      <w:r>
        <w:rPr>
          <w:rFonts w:ascii="Arial" w:cs="Arial" w:eastAsia="Arial" w:hAnsi="Arial"/>
          <w:sz w:val="18"/>
          <w:szCs w:val="18"/>
          <w:color w:val="auto"/>
        </w:rPr>
        <w:t>” means Dr. Jonathan M. Rothberg.</w:t>
      </w:r>
    </w:p>
    <w:p>
      <w:pPr>
        <w:spacing w:after="0" w:line="252"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Event</w:t>
      </w:r>
      <w:r>
        <w:rPr>
          <w:rFonts w:ascii="Arial" w:cs="Arial" w:eastAsia="Arial" w:hAnsi="Arial"/>
          <w:sz w:val="18"/>
          <w:szCs w:val="18"/>
          <w:color w:val="auto"/>
        </w:rPr>
        <w:t>” means any liquidation, dissolution, or winding up of the Corporation, whether voluntary or involuntary, or any Change of Control Transaction.</w:t>
      </w:r>
    </w:p>
    <w:p>
      <w:pPr>
        <w:spacing w:after="0" w:line="197"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means the merger of Tenet Merger Sub, Inc. with and into Quantum-Si Incorporated pursuant to that certain Business Combination Agreement, dated as of February 18, 2021, by and among the Corporation, Tenet Merger Sub, Inc., a Delaware corporation, and Quantum-Si Incorporated.</w:t>
      </w:r>
    </w:p>
    <w:p>
      <w:pPr>
        <w:spacing w:after="0" w:line="382"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41" w:name="page42"/>
    <w:bookmarkEnd w:id="41"/>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of an entity means any entity that directly or indirectly owns or controls a majority of the voting power of the voting securities of such entity.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Entity</w:t>
      </w:r>
      <w:r>
        <w:rPr>
          <w:rFonts w:ascii="Arial" w:cs="Arial" w:eastAsia="Arial" w:hAnsi="Arial"/>
          <w:sz w:val="18"/>
          <w:szCs w:val="18"/>
          <w:color w:val="auto"/>
        </w:rPr>
        <w:t>” means:</w:t>
      </w:r>
    </w:p>
    <w:p>
      <w:pPr>
        <w:spacing w:after="0" w:line="279" w:lineRule="exact"/>
        <w:rPr>
          <w:sz w:val="20"/>
          <w:szCs w:val="20"/>
          <w:color w:val="auto"/>
        </w:rPr>
      </w:pPr>
    </w:p>
    <w:p>
      <w:pPr>
        <w:jc w:val="both"/>
        <w:ind w:left="640" w:firstLine="652"/>
        <w:spacing w:after="0" w:line="263"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Permitted Trust for so long as such Permitted Trust is solely for the current benefit of a Qualified Beneficiary (and, for the avoidance of doubt, notwithstanding that a remainder interest in such Permitted Trust is for the benefit of any Person other than a Qualified Beneficiary);</w:t>
      </w:r>
    </w:p>
    <w:p>
      <w:pPr>
        <w:spacing w:after="0" w:line="237" w:lineRule="exact"/>
        <w:rPr>
          <w:rFonts w:ascii="Arial" w:cs="Arial" w:eastAsia="Arial" w:hAnsi="Arial"/>
          <w:sz w:val="18"/>
          <w:szCs w:val="18"/>
          <w:color w:val="auto"/>
        </w:rPr>
      </w:pPr>
    </w:p>
    <w:p>
      <w:pPr>
        <w:jc w:val="both"/>
        <w:ind w:left="640" w:firstLine="652"/>
        <w:spacing w:after="0" w:line="286" w:lineRule="auto"/>
        <w:tabs>
          <w:tab w:leader="none" w:pos="2043"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general partnership, limited partnership, limited liability company, corporation, public benefit corporation or other entity, in each case, for so long as such entity is exclusively owned, by (1) one or more Qualified Stockholders, (2) one or more Family Members of such Qualified Stockholders and/or (3) any other Permitted Entity of such Qualified Stockholders;</w:t>
      </w:r>
    </w:p>
    <w:p>
      <w:pPr>
        <w:spacing w:after="0" w:line="219" w:lineRule="exact"/>
        <w:rPr>
          <w:rFonts w:ascii="Arial" w:cs="Arial" w:eastAsia="Arial" w:hAnsi="Arial"/>
          <w:sz w:val="17"/>
          <w:szCs w:val="17"/>
          <w:color w:val="auto"/>
        </w:rPr>
      </w:pPr>
    </w:p>
    <w:p>
      <w:pPr>
        <w:jc w:val="both"/>
        <w:ind w:left="640" w:firstLine="652"/>
        <w:spacing w:after="0" w:line="259" w:lineRule="auto"/>
        <w:tabs>
          <w:tab w:leader="none" w:pos="21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foundation or similar entity or any Qualified Charity for so long as (i) one or more Qualified Stockholders continues to, directly or indirectly, exercise Voting Control over any shares of Class B Common Stock from time to time Transferred to such foundation or similar entity or Qualified Charity, and/or (ii) a Fiduciary of such foundation or similar entity or Qualified Charity exercises Voting Control over such shares of Class B Common Stock;</w:t>
      </w:r>
    </w:p>
    <w:p>
      <w:pPr>
        <w:spacing w:after="0" w:line="240" w:lineRule="exact"/>
        <w:rPr>
          <w:rFonts w:ascii="Arial" w:cs="Arial" w:eastAsia="Arial" w:hAnsi="Arial"/>
          <w:sz w:val="18"/>
          <w:szCs w:val="18"/>
          <w:color w:val="auto"/>
        </w:rPr>
      </w:pPr>
    </w:p>
    <w:p>
      <w:pPr>
        <w:jc w:val="both"/>
        <w:ind w:left="640" w:firstLine="652"/>
        <w:spacing w:after="0" w:line="301" w:lineRule="auto"/>
        <w:tabs>
          <w:tab w:leader="none" w:pos="21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Individual Retirement Account, as defined in Section 408(a) of the Internal Revenue Code, or a pension, profit sharing, stock bonus or other type of plan or trust of which such Qualified Stockholder is a participant or beneficiary and which satisfies the requirements for qualification under Section 401 of the Internal Revenue Code for so long as such Qualified Stockholder has sole dispositive power and exclusive Voting Control with respect to the shares of Class B Common Stock held in such account, plan or trust;</w:t>
      </w:r>
    </w:p>
    <w:p>
      <w:pPr>
        <w:spacing w:after="0" w:line="211" w:lineRule="exact"/>
        <w:rPr>
          <w:rFonts w:ascii="Arial" w:cs="Arial" w:eastAsia="Arial" w:hAnsi="Arial"/>
          <w:sz w:val="16"/>
          <w:szCs w:val="16"/>
          <w:color w:val="auto"/>
        </w:rPr>
      </w:pPr>
    </w:p>
    <w:p>
      <w:pPr>
        <w:jc w:val="both"/>
        <w:ind w:left="640" w:firstLine="652"/>
        <w:spacing w:after="0" w:line="263" w:lineRule="auto"/>
        <w:tabs>
          <w:tab w:leader="none" w:pos="21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executor or personal representative of the estate of a Qualified Stockholder upon the death of such Qualified Stockholder solely to the extent the executor or personal representative is acting in the capacity of executor or personal representative of such estate;</w:t>
      </w:r>
    </w:p>
    <w:p>
      <w:pPr>
        <w:spacing w:after="0" w:line="237" w:lineRule="exact"/>
        <w:rPr>
          <w:rFonts w:ascii="Arial" w:cs="Arial" w:eastAsia="Arial" w:hAnsi="Arial"/>
          <w:sz w:val="18"/>
          <w:szCs w:val="18"/>
          <w:color w:val="auto"/>
        </w:rPr>
      </w:pPr>
    </w:p>
    <w:p>
      <w:pPr>
        <w:ind w:left="640" w:firstLine="652"/>
        <w:spacing w:after="0" w:line="277" w:lineRule="auto"/>
        <w:tabs>
          <w:tab w:leader="none" w:pos="21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revocable living trust, which revocable living trust is itself both a Permitted Trust and a Qualified Stockholder, during the lifetime of the natural person grantor of such trust; or</w:t>
      </w:r>
    </w:p>
    <w:p>
      <w:pPr>
        <w:spacing w:after="0" w:line="224" w:lineRule="exact"/>
        <w:rPr>
          <w:rFonts w:ascii="Arial" w:cs="Arial" w:eastAsia="Arial" w:hAnsi="Arial"/>
          <w:sz w:val="18"/>
          <w:szCs w:val="18"/>
          <w:color w:val="auto"/>
        </w:rPr>
      </w:pPr>
    </w:p>
    <w:p>
      <w:pPr>
        <w:jc w:val="both"/>
        <w:ind w:left="640" w:firstLine="652"/>
        <w:spacing w:after="0" w:line="259" w:lineRule="auto"/>
        <w:tabs>
          <w:tab w:leader="none" w:pos="20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revocable living trust (including any irrevocable administrative trust resulting from the death of the natural person grantor of such trust) which trust is itself both a Permitted Trust and a Qualified Stockholder, following the death of the natural person grantor of such trust, solely to the extent that such shares are held in such trust pending distribution to the beneficiaries designated in such trust.</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Except as explicitly provided for herein, a Permitted Entity of a Qualified Stockholder shall not cease to be a Permitted Entity solely by reason of the death of that Qualified Stockholder.</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means, and is restricted to, any Transfer of a share of Class B Common Stock:</w:t>
      </w:r>
    </w:p>
    <w:p>
      <w:pPr>
        <w:spacing w:after="0" w:line="279" w:lineRule="exact"/>
        <w:rPr>
          <w:sz w:val="20"/>
          <w:szCs w:val="20"/>
          <w:color w:val="auto"/>
        </w:rPr>
      </w:pPr>
    </w:p>
    <w:p>
      <w:pPr>
        <w:jc w:val="both"/>
        <w:ind w:left="640" w:firstLine="652"/>
        <w:spacing w:after="0" w:line="263" w:lineRule="auto"/>
        <w:tabs>
          <w:tab w:leader="none" w:pos="21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a Qualified Stockholder that is not a Permitted Entity to (i) one or more Family Members of such Qualified Stockholder, (ii) any Permitted Entity of such Qualified Stockholder, or (iii) any Permitted Entity of one or more Family Members of such Qualified Stockholder;</w:t>
      </w:r>
    </w:p>
    <w:p>
      <w:pPr>
        <w:spacing w:after="0" w:line="237" w:lineRule="exact"/>
        <w:rPr>
          <w:rFonts w:ascii="Arial" w:cs="Arial" w:eastAsia="Arial" w:hAnsi="Arial"/>
          <w:sz w:val="18"/>
          <w:szCs w:val="18"/>
          <w:color w:val="auto"/>
        </w:rPr>
      </w:pPr>
    </w:p>
    <w:p>
      <w:pPr>
        <w:jc w:val="both"/>
        <w:ind w:left="640" w:firstLine="652"/>
        <w:spacing w:after="0" w:line="263" w:lineRule="auto"/>
        <w:tabs>
          <w:tab w:leader="none" w:pos="20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a Permitted Entity of a Qualified Stockholder to (i) such Qualified Stockholder or one or more Family Members of such Qualified Stockholder, (ii) any other Permitted Entity of such Qualified Stockholder, or (iii) any Permitted Entity of one or more Family Members of such Qualified Stockholder; or</w:t>
      </w:r>
    </w:p>
    <w:p>
      <w:pPr>
        <w:spacing w:after="0" w:line="237" w:lineRule="exact"/>
        <w:rPr>
          <w:rFonts w:ascii="Arial" w:cs="Arial" w:eastAsia="Arial" w:hAnsi="Arial"/>
          <w:sz w:val="18"/>
          <w:szCs w:val="18"/>
          <w:color w:val="auto"/>
        </w:rPr>
      </w:pPr>
    </w:p>
    <w:p>
      <w:pPr>
        <w:ind w:left="640" w:firstLine="652"/>
        <w:spacing w:after="0" w:line="342" w:lineRule="auto"/>
        <w:tabs>
          <w:tab w:leader="none" w:pos="207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Transfer approved in advance by the Board, or a duly authorized committee of the Board, upon a determination that such Transfer is not inconsistent with the purposes of the foregoing provisions of this definition of “Permitted Transfer.”</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avoidance of doubt, the direct Transfer of any share or shares of Class B Common Stock by a holder thereof to any other Person shall qualify as a “Permitted Transfer” within the meaning of this Section, if such Transfer could have been completed indirectly through one or more transactions involving more than one Transfer, so long as each Transfer in such transaction or transactions would otherwise have qualified as a “Permitted Transfer” within the meaning of this Section. For the further avoidance of doubt, a Transfer may qualify as a “Permitted Transfer” within the meaning of this Section under any one or more than one of the clauses of this Section as may be applicable to such Transfer, without regard to any proviso in, or requirement of, any other clause(s) of this Section.</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as of any date of determination, a Person that is entitled to be a transferee of shares of Class B Common Stock in a Transfer that, as of such date, would constitute a Permitted Transfer.</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Trust</w:t>
      </w:r>
      <w:r>
        <w:rPr>
          <w:rFonts w:ascii="Arial" w:cs="Arial" w:eastAsia="Arial" w:hAnsi="Arial"/>
          <w:sz w:val="18"/>
          <w:szCs w:val="18"/>
          <w:color w:val="auto"/>
        </w:rPr>
        <w:t>” means a bona fide trust where each trustee is (a) a Qualified Stockholder; (b) a Family Member of a Qualified Stockholder; or (c) a professional in the business of providing trustee services, including private professional fiduciaries, trust companies, accounting, legal or financial advisor, or bank trust departments.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limited or general partnership, joint venture, association, joint-stock company, trust, unincorporated organization or other entity, whether domestic or foreign.</w:t>
      </w:r>
    </w:p>
    <w:p>
      <w:pPr>
        <w:spacing w:after="0" w:line="368"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Beneficiary</w:t>
      </w:r>
      <w:r>
        <w:rPr>
          <w:rFonts w:ascii="Arial" w:cs="Arial" w:eastAsia="Arial" w:hAnsi="Arial"/>
          <w:sz w:val="18"/>
          <w:szCs w:val="18"/>
          <w:color w:val="auto"/>
        </w:rPr>
        <w:t>” means (i) one or more Qualified Stockholders, (ii) one or more Family Members of a Qualified Stockholder and/or (iii) any other Permitted Entities of one or more Qualified Stockholders.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Charity</w:t>
      </w:r>
      <w:r>
        <w:rPr>
          <w:rFonts w:ascii="Arial" w:cs="Arial" w:eastAsia="Arial" w:hAnsi="Arial"/>
          <w:sz w:val="18"/>
          <w:szCs w:val="18"/>
          <w:color w:val="auto"/>
        </w:rPr>
        <w:t>” means a domestic U.S. charitable organization, contributions to which are deductible for federal income, estate, gift and generation skipping transfer tax purposes.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means (i) the Founder, (ii) any Person that receives Class B Common Stock in the Merger, and (iii) any Person that is a Permitted Transferee.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Stockholder Consent</w:t>
      </w:r>
      <w:r>
        <w:rPr>
          <w:rFonts w:ascii="Arial" w:cs="Arial" w:eastAsia="Arial" w:hAnsi="Arial"/>
          <w:sz w:val="18"/>
          <w:szCs w:val="18"/>
          <w:color w:val="auto"/>
        </w:rPr>
        <w:t>” means (i) prior to the Voting Threshold Date, the action at a meeting or by written consent (to the extent permitted under this Amended and Restated Certificate of Incorporation) of the holders of a majority in voting power of the shares of capital stock of the Corporation that would then be entitled to vote in the election of directors at an annual meeting of stockholders, and (ii) on and after the Voting Threshold Date, the action at a meeting or by written consent (to the extent permitted under this Amended and Restated Certificate of Incorporation) of the holders of two-thirds (2/3rds) of the voting power of the shares of capital stock of the Corporation that would then be entitled to vote in the election of directors at an annual meeting of stockholders.</w:t>
      </w:r>
    </w:p>
    <w:p>
      <w:pPr>
        <w:spacing w:after="0" w:line="21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of a share of Class B Common Stock means, directly or indirectly, any sale, assignment, transfer, conveyance, hypothecation or other transfer or disposition of such share or any legal or beneficial interest in such share, whether or not for value and whether voluntary or involuntary or by operation of law (including by merger, consolidation or otherwise), including, without limitation, the transfer of a share of Class B Common Stock to a broker or other nominee or the transfer of, or entering into a binding agreement with respect to, Voting Control over such share by proxy or otherwise. A Transfer shall also be deemed to have occurred with respect to a share of Class B Common Stock beneficially held by a Person that received shares in a Permitted Transfer if there occurs any act or circumstance that causes such Person to no longer be a Permitted Transferee. In addition, for the avoidance of doubt, a Transfer shall be deemed to have occurred if a holder that is a partnership, limited partnership, limited liability company or corporation distributes or otherwise transfers its shares of Class B Common Stock to its partners, stockholders, members or other equity owners. Notwithstanding the foregoing, the following shall not be considered a Transfer:</w:t>
      </w:r>
    </w:p>
    <w:p>
      <w:pPr>
        <w:spacing w:after="0" w:line="220" w:lineRule="exact"/>
        <w:rPr>
          <w:sz w:val="20"/>
          <w:szCs w:val="20"/>
          <w:color w:val="auto"/>
        </w:rPr>
      </w:pPr>
    </w:p>
    <w:p>
      <w:pPr>
        <w:jc w:val="both"/>
        <w:ind w:left="640" w:firstLine="652"/>
        <w:spacing w:after="0" w:line="263" w:lineRule="auto"/>
        <w:tabs>
          <w:tab w:leader="none" w:pos="20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at the request of the Board in connection with (i) actions to be taken at an annual or special meeting of stockholders, or (ii) any other action of the stockholders permitted by this Amended and Restated Certificate of Incorporation;</w:t>
      </w:r>
    </w:p>
    <w:p>
      <w:pPr>
        <w:spacing w:after="0" w:line="237" w:lineRule="exact"/>
        <w:rPr>
          <w:rFonts w:ascii="Arial" w:cs="Arial" w:eastAsia="Arial" w:hAnsi="Arial"/>
          <w:sz w:val="18"/>
          <w:szCs w:val="18"/>
          <w:color w:val="auto"/>
        </w:rPr>
      </w:pPr>
    </w:p>
    <w:p>
      <w:pPr>
        <w:jc w:val="both"/>
        <w:ind w:left="640" w:firstLine="652"/>
        <w:spacing w:after="0" w:line="257" w:lineRule="auto"/>
        <w:tabs>
          <w:tab w:leader="none" w:pos="21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solely with stockholders who are holders of Class B Common Stock, which voting trust, agreement or arrangement does not involve any payment of cash, securities or other property to the holder of the shares subject thereto other than the mutual promise to vote shares in a designated manner; for the avoidance of doubt, any voting trust, agreement or arrangement entered into prior to the Effective Date shall not constitute a Transfer;</w:t>
      </w:r>
    </w:p>
    <w:p>
      <w:pPr>
        <w:spacing w:after="0" w:line="386"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5" w:right="339" w:bottom="1440" w:gutter="0" w:footer="0" w:header="0"/>
        </w:sectPr>
      </w:pPr>
    </w:p>
    <w:bookmarkStart w:id="44" w:name="page45"/>
    <w:bookmarkEnd w:id="44"/>
    <w:p>
      <w:pPr>
        <w:jc w:val="both"/>
        <w:ind w:left="640" w:firstLine="652"/>
        <w:spacing w:after="0" w:line="259" w:lineRule="auto"/>
        <w:tabs>
          <w:tab w:leader="none" w:pos="2079"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foreclosure on such shares or other similar action by the pledgee shall constitute a Transfer unless such foreclosure or similar action qualifies as a Permitted Transfer at such time;</w:t>
      </w:r>
    </w:p>
    <w:p>
      <w:pPr>
        <w:spacing w:after="0" w:line="240" w:lineRule="exact"/>
        <w:rPr>
          <w:rFonts w:ascii="Arial" w:cs="Arial" w:eastAsia="Arial" w:hAnsi="Arial"/>
          <w:sz w:val="18"/>
          <w:szCs w:val="18"/>
          <w:color w:val="auto"/>
        </w:rPr>
      </w:pPr>
    </w:p>
    <w:p>
      <w:pPr>
        <w:jc w:val="both"/>
        <w:ind w:left="640" w:firstLine="652"/>
        <w:spacing w:after="0" w:line="263" w:lineRule="auto"/>
        <w:tabs>
          <w:tab w:leader="none" w:pos="21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any change in the trustee(s) or the Person(s) and/or entity(ies) having or exercising Voting Control over shares of Class B Common Stock held by a Permitted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such change such Permitted Entity continues to be a Permitted Entity;</w:t>
      </w:r>
    </w:p>
    <w:p>
      <w:pPr>
        <w:spacing w:after="0" w:line="237" w:lineRule="exact"/>
        <w:rPr>
          <w:rFonts w:ascii="Arial" w:cs="Arial" w:eastAsia="Arial" w:hAnsi="Arial"/>
          <w:sz w:val="18"/>
          <w:szCs w:val="18"/>
          <w:color w:val="auto"/>
        </w:rPr>
      </w:pPr>
    </w:p>
    <w:p>
      <w:pPr>
        <w:jc w:val="both"/>
        <w:ind w:left="640" w:firstLine="652"/>
        <w:spacing w:after="0" w:line="291" w:lineRule="auto"/>
        <w:tabs>
          <w:tab w:leader="none" w:pos="2068" w:val="left"/>
        </w:tabs>
        <w:numPr>
          <w:ilvl w:val="1"/>
          <w:numId w:val="24"/>
        </w:numPr>
        <w:rPr>
          <w:rFonts w:ascii="Arial" w:cs="Arial" w:eastAsia="Arial" w:hAnsi="Arial"/>
          <w:sz w:val="16"/>
          <w:szCs w:val="16"/>
          <w:color w:val="auto"/>
        </w:rPr>
      </w:pPr>
      <w:r>
        <w:rPr>
          <w:rFonts w:ascii="Arial" w:cs="Arial" w:eastAsia="Arial" w:hAnsi="Arial"/>
          <w:sz w:val="16"/>
          <w:szCs w:val="16"/>
          <w:color w:val="auto"/>
        </w:rPr>
        <w:t>(1) the assignment, transfer, conveyance, hypothecation or other transfer or disposition of shares of Class B Common Stock by a Qualified Stockholder to a grantor retained annuity trust (a “</w:t>
      </w:r>
      <w:r>
        <w:rPr>
          <w:rFonts w:ascii="Arial" w:cs="Arial" w:eastAsia="Arial" w:hAnsi="Arial"/>
          <w:sz w:val="16"/>
          <w:szCs w:val="16"/>
          <w:u w:val="single" w:color="auto"/>
          <w:color w:val="auto"/>
        </w:rPr>
        <w:t>GRAT</w:t>
      </w:r>
      <w:r>
        <w:rPr>
          <w:rFonts w:ascii="Arial" w:cs="Arial" w:eastAsia="Arial" w:hAnsi="Arial"/>
          <w:sz w:val="16"/>
          <w:szCs w:val="16"/>
          <w:color w:val="auto"/>
        </w:rPr>
        <w:t>”) for which the trustee is (A) such Qualified Stockholder,</w:t>
      </w:r>
    </w:p>
    <w:p>
      <w:pPr>
        <w:jc w:val="both"/>
        <w:ind w:left="640" w:firstLine="4"/>
        <w:spacing w:after="0" w:line="251" w:lineRule="auto"/>
        <w:tabs>
          <w:tab w:leader="none" w:pos="9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Family Member of such Qualified Stockholder, (C) a professional in the business of providing trustee services, including private professional fiduciaries, trust companies, accounting, legal or financial advisors, or bank trust departments, (D) an employee of the Corporation or a member of the Board or (E) solely in the case of any such trust established by a natural Person grantor, any other bona fide trustee; (2) the change in trustee for such a GRAT from one of the Persons identified in the foregoing subclauses (A) through (E) to another Person identified in the foregoing subclauses (A) through (E); and (3) the distribution of such shares of Class B Common Stock from such GRAT to such Qualified Stockholder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distribution of shares of Class B Common Stock to any beneficiary of such GRAT except such Qualified Stockholder shall constitute a Transfer unless such distribution qualifies as a Permitted Transfer at such time);</w:t>
      </w:r>
    </w:p>
    <w:p>
      <w:pPr>
        <w:spacing w:after="0" w:line="251" w:lineRule="exact"/>
        <w:rPr>
          <w:rFonts w:ascii="Arial" w:cs="Arial" w:eastAsia="Arial" w:hAnsi="Arial"/>
          <w:sz w:val="18"/>
          <w:szCs w:val="18"/>
          <w:color w:val="auto"/>
        </w:rPr>
      </w:pPr>
    </w:p>
    <w:p>
      <w:pPr>
        <w:jc w:val="both"/>
        <w:ind w:left="640" w:firstLine="652"/>
        <w:spacing w:after="0" w:line="286" w:lineRule="auto"/>
        <w:tabs>
          <w:tab w:leader="none" w:pos="2119"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Transfer of shares of Class B Common Stock, whether by a Qualified Stockholder or a Permitted Entity, to a broker or other nominee for so long as the transferor retains (i) Voting Control, (ii) sole dispositive power over such shares of Class B Common Stock, and (iii) the economic consequences of ownership of such shares of Class B Common Stock;</w:t>
      </w:r>
    </w:p>
    <w:p>
      <w:pPr>
        <w:spacing w:after="0" w:line="219" w:lineRule="exact"/>
        <w:rPr>
          <w:rFonts w:ascii="Arial" w:cs="Arial" w:eastAsia="Arial" w:hAnsi="Arial"/>
          <w:sz w:val="17"/>
          <w:szCs w:val="17"/>
          <w:color w:val="auto"/>
        </w:rPr>
      </w:pPr>
    </w:p>
    <w:p>
      <w:pPr>
        <w:ind w:left="640" w:firstLine="652"/>
        <w:spacing w:after="0" w:line="277" w:lineRule="auto"/>
        <w:tabs>
          <w:tab w:leader="none" w:pos="20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entering into a trading plan pursuant to Rule 10b5-1 under the Securities Exchange Act of 1934, as amended, with a broker or other nominee;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a sale of such shares of Class B Common Stock pursuant to such plan shall constitute a “Transfer” at the time of such sale;</w:t>
      </w:r>
    </w:p>
    <w:p>
      <w:pPr>
        <w:spacing w:after="0" w:line="302" w:lineRule="exact"/>
        <w:rPr>
          <w:sz w:val="20"/>
          <w:szCs w:val="20"/>
          <w:color w:val="auto"/>
        </w:rPr>
      </w:pPr>
    </w:p>
    <w:p>
      <w:pPr>
        <w:jc w:val="both"/>
        <w:ind w:left="640" w:firstLine="652"/>
        <w:spacing w:after="0" w:line="263" w:lineRule="auto"/>
        <w:tabs>
          <w:tab w:leader="none" w:pos="20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 Change of Control Transaction (1) the entering into a support, voting, tender or similar agreement or arrangement, (2) the granting of any proxy and/or (3) the tendering of any shares in any tender or exchange offer for all of the outstanding shares of Class A Common Stock and Class B Common Stock;</w:t>
      </w:r>
    </w:p>
    <w:p>
      <w:pPr>
        <w:spacing w:after="0" w:line="382"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52" w:right="339" w:bottom="1440" w:gutter="0" w:footer="0" w:header="0"/>
        </w:sectPr>
      </w:pPr>
    </w:p>
    <w:bookmarkStart w:id="45" w:name="page46"/>
    <w:bookmarkEnd w:id="45"/>
    <w:p>
      <w:pPr>
        <w:jc w:val="both"/>
        <w:ind w:left="1300" w:firstLine="652"/>
        <w:spacing w:after="0" w:line="289" w:lineRule="auto"/>
        <w:tabs>
          <w:tab w:leader="none" w:pos="27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due to the fact that the spouse of any holder of shares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(1) otherwise exempt from the definition of Transfer, or (2) in connection with such divorce proceeding, domestic relations order or similar legal requirement, a Qualified Stockholder is entitled to retain (and for so long as a Qualified Stockholder does actually retain) either (x) the exclusive right to exercise the power to vote or direct the voting of such shares of Class B Common Stock, or (y) sole dispositive power over such shares of Class B Common Stock; and</w:t>
      </w:r>
    </w:p>
    <w:p>
      <w:pPr>
        <w:spacing w:after="0" w:line="220" w:lineRule="exact"/>
        <w:rPr>
          <w:rFonts w:ascii="Arial" w:cs="Arial" w:eastAsia="Arial" w:hAnsi="Arial"/>
          <w:sz w:val="16"/>
          <w:szCs w:val="16"/>
          <w:color w:val="auto"/>
        </w:rPr>
      </w:pPr>
    </w:p>
    <w:p>
      <w:pPr>
        <w:jc w:val="both"/>
        <w:ind w:left="1300" w:firstLine="652"/>
        <w:spacing w:after="0" w:line="255" w:lineRule="auto"/>
        <w:tabs>
          <w:tab w:leader="none" w:pos="27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entering into a support, voting, tender or similar agreement, arrangement or understanding (with or without granting a proxy) in connection with a Liquidation Event or consummating the actions or transactions contemplated therein (including, without limitation, tendering shares of Class B Common Stock in connection with a Liquidation Event, the consummation of a Liquidation Event or the sale, assignment, transfer, conveyance, hypothecation or other transfer or disposition of shares of Class B Common Stock or any legal or beneficial interest in shares of Class B Common Stock in connection with a Liquidation Event),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Liquidation Event was approved by the Board.</w:t>
      </w:r>
    </w:p>
    <w:p>
      <w:pPr>
        <w:spacing w:after="0" w:line="219"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Control</w:t>
      </w:r>
      <w:r>
        <w:rPr>
          <w:rFonts w:ascii="Arial" w:cs="Arial" w:eastAsia="Arial" w:hAnsi="Arial"/>
          <w:sz w:val="18"/>
          <w:szCs w:val="18"/>
          <w:color w:val="auto"/>
        </w:rPr>
        <w:t>” means, with respect to a share of Class B Common Stock, the power (whether exclusive or shared) to vote or direct the voting of such share by proxy, voting agreement or otherwise.</w:t>
      </w:r>
    </w:p>
    <w:p>
      <w:pPr>
        <w:spacing w:after="0" w:line="197"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Threshold Date</w:t>
      </w:r>
      <w:r>
        <w:rPr>
          <w:rFonts w:ascii="Arial" w:cs="Arial" w:eastAsia="Arial" w:hAnsi="Arial"/>
          <w:sz w:val="18"/>
          <w:szCs w:val="18"/>
          <w:color w:val="auto"/>
        </w:rPr>
        <w:t>” means the first date on which the issued and outstanding shares of Class B Common Stock represents less than 50% of the total voting power of the then outstanding shares of capital stock of the Corporation that would then be entitled to vote in the election of directors at an annual meeting of stockholders.</w:t>
      </w:r>
    </w:p>
    <w:p>
      <w:pPr>
        <w:spacing w:after="0" w:line="21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Article IV</w:t>
      </w:r>
      <w:r>
        <w:rPr>
          <w:rFonts w:ascii="Arial" w:cs="Arial" w:eastAsia="Arial" w:hAnsi="Arial"/>
          <w:sz w:val="16"/>
          <w:szCs w:val="16"/>
          <w:color w:val="auto"/>
        </w:rPr>
        <w:t>, Part A Section 9, Preferred Stock may be issued from time to time in one or more series, each of such series to have such terms as stated or expressed herein and in the resolution or resolutions providing for the issue of such series adopted by the Board as hereinafter provided. Any shares of Preferred Stock which may be redeemed, purchased or acquired by the Corporation may be reissued except as otherwise provided by law.</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6" w:name="page47"/>
    <w:bookmarkEnd w:id="46"/>
    <w:p>
      <w:pPr>
        <w:jc w:val="both"/>
        <w:ind w:firstLine="648"/>
        <w:spacing w:after="0" w:line="290"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Article IV</w:t>
      </w:r>
      <w:r>
        <w:rPr>
          <w:rFonts w:ascii="Arial" w:cs="Arial" w:eastAsia="Arial" w:hAnsi="Arial"/>
          <w:sz w:val="16"/>
          <w:szCs w:val="16"/>
          <w:color w:val="auto"/>
        </w:rPr>
        <w:t>, Part A Section 9, 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(a “</w:t>
      </w:r>
      <w:r>
        <w:rPr>
          <w:rFonts w:ascii="Arial" w:cs="Arial" w:eastAsia="Arial" w:hAnsi="Arial"/>
          <w:sz w:val="16"/>
          <w:szCs w:val="16"/>
          <w:u w:val="single" w:color="auto"/>
          <w:color w:val="auto"/>
        </w:rPr>
        <w:t>Preferred Stock Designation</w:t>
      </w:r>
      <w:r>
        <w:rPr>
          <w:rFonts w:ascii="Arial" w:cs="Arial" w:eastAsia="Arial" w:hAnsi="Arial"/>
          <w:sz w:val="16"/>
          <w:szCs w:val="16"/>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THE CERTIFICATE OF INCORPORATION</w:t>
      </w:r>
    </w:p>
    <w:p>
      <w:pPr>
        <w:spacing w:after="0" w:line="25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The Corporation reserves the right to amend, alter, change, adopt or repeal any provision contained in this Amended and Restated Certificate of Incorporation, in the manner now or hereafter prescribed by statute, and all rights conferred upon stockholders herein are granted subject to this reservation;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 other provision of this Amended and Restated Certificate of Incorporation or any provision of law that might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permit a lesser vote or no vote, but in addition to any vote of the holders of shares of any class or series of capital stock of the Corporation required by law or by this Amended and Restated Certificate of Incorporation, the affirmative vote of the holders of a majority of the voting power of the then-outstanding shares of capital stock of the Corporation entitled to vote generally in the election of directors, voting together as a single class, shall be required to amend or repeal any provision of this Amended and Restated Certificate of Incorporation, or adopt any provision of this Amended and Restated Certificate of Incorporation inconsistent therewith; </w:t>
      </w:r>
      <w:r>
        <w:rPr>
          <w:rFonts w:ascii="Arial" w:cs="Arial" w:eastAsia="Arial" w:hAnsi="Arial"/>
          <w:sz w:val="16"/>
          <w:szCs w:val="16"/>
          <w:i w:val="1"/>
          <w:iCs w:val="1"/>
          <w:color w:val="auto"/>
        </w:rPr>
        <w:t>provided further</w:t>
      </w:r>
      <w:r>
        <w:rPr>
          <w:rFonts w:ascii="Arial" w:cs="Arial" w:eastAsia="Arial" w:hAnsi="Arial"/>
          <w:sz w:val="16"/>
          <w:szCs w:val="16"/>
          <w:color w:val="auto"/>
        </w:rPr>
        <w:t>, so long as any shares of Class B Common Stock remain outstanding, the Corporation shall not, without the prior affirmative vote of the holders of two-thirds (2/3rds) of the outstanding shares of Class B Common Stock, voting as a separate class, in addition to any other vote required by applicable law or this Amended and Restated Certificate of Incorporation, directly or indirectly, whether by amendment, or through merger, recapitalization, consolidation or otherwise amend, alter, change, repeal or adopt any provision of this Amended and Restated Certificate of Incorporation (1) in a manner that is inconsistent with, or that otherwise alters or changes, any of the voting, conversion, dividend or liquidation provisions of the shares of Class B Common Stock or other rights, powers, preferences or privileges of the shares of Class B Common Stock;</w:t>
      </w:r>
    </w:p>
    <w:p>
      <w:pPr>
        <w:spacing w:after="0" w:line="2" w:lineRule="exact"/>
        <w:rPr>
          <w:sz w:val="20"/>
          <w:szCs w:val="20"/>
          <w:color w:val="auto"/>
        </w:rPr>
      </w:pPr>
    </w:p>
    <w:p>
      <w:pPr>
        <w:jc w:val="both"/>
        <w:ind w:firstLine="8"/>
        <w:spacing w:after="0" w:line="284" w:lineRule="auto"/>
        <w:tabs>
          <w:tab w:leader="none" w:pos="257"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to provide for each share of Class A Common Stock or Preferred Stock to have more than one (1) vote per share or any rights to a separate class vote of the holders of shares of Class A Common Stock other than as provided by this Amended and Restated Certificate of Incorporation or required by the DGCL; or (3) to otherwise adversely impact or affect the rights, powers, preferences or privileges of the shares of Class B Common Stock in a manner that is disparate from the manner in which it affects the rights, powers, preferences or privileges of the shares of Class A Common Stock;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Amended and Restated Certificate of Incorporation, directly or indirectly, whether by amendment, or through merger, recapitalization, consolidation or otherwise amend, alter, change, repeal or adopt any provision of this Amended and Restated Certificate of Incorporation (1) in a manner that is inconsistent with, or that otherwise alters or changes the powers, preferences, or special rights of the shares of Class A Common Stock so as to affect them adversely; or (2) to provide for each share of Class B Common Stock to have more than twenty (20) votes per share or any rights to a separate class vote of the holders of shares of Class B Common Stock other than as provided by this Amended and Restated Certificate of Incorporation or required by the DGCL. For the avoidance of doubt, (i) nothing in the immediately preceding provisos shall limit the rights of the Board as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Part B (as qualified by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Part A, Section 9) or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Amended and Restated Certificate of Incorporation, and (ii) notwithstanding anything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to the contrary, any amendment to a provision that contemplates a specific approval requirement by the stockholders (or any class of capital stock of the Corporation) in this Amended and Restated Certificate of Incorporation (including the definition of Requisite Stockholder Consent and Voting Threshold Date) shall require the greater of (x) the specific approval requirement by the stockholders (or any class of capital stock of the Corporation) contemplated in such provision, and (y) the approval requirements contemplated by this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THE BYLAWS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furtherance and not in limitation of the powers conferred upon it by the DGCL, and subject to the terms of any series of Preferred Stock, the Board shall have the power to adopt, amend, alter or repeal the Bylaws of the Corporation by the affirmative vote of a majority of the directors present at any regular or special meeting of the Board at which a quorum is present in any manner not inconsistent with the laws of the State of Delaware or this Amended and Restated Certificate of Incorporation. The stockholders may not adopt, amend, alter or repeal the Bylaws of the Corporation, or adopt any provision inconsistent therewith, unless such action is approved, in addition to any other vote required by this Amended and Restated Certificate of Incorporation, by the Requisite Stockholder Consent.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OPPORTUNITIES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Corporation renounces any interest or expectancy of the Corporation in, or in being offered an opportunity to participate in, any Excluded Opportunity. An “</w:t>
      </w:r>
      <w:r>
        <w:rPr>
          <w:rFonts w:ascii="Arial" w:cs="Arial" w:eastAsia="Arial" w:hAnsi="Arial"/>
          <w:sz w:val="17"/>
          <w:szCs w:val="17"/>
          <w:u w:val="single" w:color="auto"/>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any director of the Corporation who is not an employee of the Corporation or any of its subsidiaries (a “</w:t>
      </w:r>
      <w:r>
        <w:rPr>
          <w:rFonts w:ascii="Arial" w:cs="Arial" w:eastAsia="Arial" w:hAnsi="Arial"/>
          <w:sz w:val="17"/>
          <w:szCs w:val="17"/>
          <w:u w:val="single" w:color="auto"/>
          <w:color w:val="auto"/>
        </w:rPr>
        <w:t>Covered Person</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inserted for the management of the business and for the conduct of the affairs of the Corporation, and for further definition, limitation and regulation of the powers of the Corporation and of its directors and stockholders.</w:t>
      </w:r>
    </w:p>
    <w:p>
      <w:pPr>
        <w:spacing w:after="0" w:line="224" w:lineRule="exact"/>
        <w:rPr>
          <w:sz w:val="20"/>
          <w:szCs w:val="20"/>
          <w:color w:val="auto"/>
        </w:rPr>
      </w:pPr>
    </w:p>
    <w:p>
      <w:pPr>
        <w:ind w:left="660" w:firstLine="644"/>
        <w:spacing w:after="0" w:line="277" w:lineRule="auto"/>
        <w:tabs>
          <w:tab w:leader="none" w:pos="200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except as otherwise provided by law.</w:t>
      </w:r>
    </w:p>
    <w:p>
      <w:pPr>
        <w:spacing w:after="0" w:line="224" w:lineRule="exact"/>
        <w:rPr>
          <w:rFonts w:ascii="Arial" w:cs="Arial" w:eastAsia="Arial" w:hAnsi="Arial"/>
          <w:sz w:val="18"/>
          <w:szCs w:val="18"/>
          <w:color w:val="auto"/>
        </w:rPr>
      </w:pPr>
    </w:p>
    <w:p>
      <w:pPr>
        <w:jc w:val="both"/>
        <w:ind w:left="660" w:firstLine="644"/>
        <w:spacing w:after="0" w:line="279" w:lineRule="auto"/>
        <w:tabs>
          <w:tab w:leader="none" w:pos="2057"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Number of Directors</w:t>
      </w:r>
      <w:r>
        <w:rPr>
          <w:rFonts w:ascii="Arial" w:cs="Arial" w:eastAsia="Arial" w:hAnsi="Arial"/>
          <w:sz w:val="17"/>
          <w:szCs w:val="17"/>
          <w:color w:val="auto"/>
        </w:rPr>
        <w:t xml:space="preserve">. Subject to the rights of holders of any series of Preferred Stock to elect directors, the number of the directors of the Corporation shall be fixed from time to time solely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the Voting Threshold Date, unless otherwise approved by the Requisite Stockholder Consent, the number of the directors shall not exceed nine (9). For the avoidance of doubt, no decrease in the number of directors constituting the Board shall shorten the term of any incumbent director.</w:t>
      </w:r>
    </w:p>
    <w:p>
      <w:pPr>
        <w:spacing w:after="0" w:line="225" w:lineRule="exact"/>
        <w:rPr>
          <w:rFonts w:ascii="Arial" w:cs="Arial" w:eastAsia="Arial" w:hAnsi="Arial"/>
          <w:sz w:val="17"/>
          <w:szCs w:val="17"/>
          <w:color w:val="auto"/>
        </w:rPr>
      </w:pPr>
    </w:p>
    <w:p>
      <w:pPr>
        <w:jc w:val="both"/>
        <w:ind w:left="660" w:firstLine="644"/>
        <w:spacing w:after="0" w:line="279" w:lineRule="auto"/>
        <w:tabs>
          <w:tab w:leader="none" w:pos="203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Tenure</w:t>
      </w:r>
      <w:r>
        <w:rPr>
          <w:rFonts w:ascii="Arial" w:cs="Arial" w:eastAsia="Arial" w:hAnsi="Arial"/>
          <w:sz w:val="17"/>
          <w:szCs w:val="17"/>
          <w:color w:val="auto"/>
        </w:rPr>
        <w:t>. The directors shall be elected or appointed for a term of office continuing until the next annual meeting of stockholders of the Corporation. Each director shall hold office until such director’s successor is elected and qualified, or until such director’s earlier death, resignation, disqualification or removal from office. Any director may resign at any time upon notice to the Corporation given in writing by any electronic transmission permitted in the Corporation’s Bylaws or in accordance with applicable law.</w:t>
      </w:r>
    </w:p>
    <w:p>
      <w:pPr>
        <w:spacing w:after="0" w:line="225" w:lineRule="exact"/>
        <w:rPr>
          <w:rFonts w:ascii="Arial" w:cs="Arial" w:eastAsia="Arial" w:hAnsi="Arial"/>
          <w:sz w:val="17"/>
          <w:szCs w:val="17"/>
          <w:color w:val="auto"/>
        </w:rPr>
      </w:pPr>
    </w:p>
    <w:p>
      <w:pPr>
        <w:jc w:val="both"/>
        <w:ind w:left="660" w:firstLine="644"/>
        <w:spacing w:after="0" w:line="290" w:lineRule="auto"/>
        <w:tabs>
          <w:tab w:leader="none" w:pos="202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Vacancies; Newly Created Directorships</w:t>
      </w:r>
      <w:r>
        <w:rPr>
          <w:rFonts w:ascii="Arial" w:cs="Arial" w:eastAsia="Arial" w:hAnsi="Arial"/>
          <w:sz w:val="16"/>
          <w:szCs w:val="16"/>
          <w:color w:val="auto"/>
        </w:rPr>
        <w:t xml:space="preserve">. Subject to the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(i) prior to the Voting Threshold Date, (x) if the number of directors fixed pursuant to Section B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does not exceed nine (9), by the affirmative vote of a majority of the total number of directors then in office, even if less than a quorum, or by a sole remaining director, or by the stockholders of the Corporation with the Requisite Stockholder Consent, and (y) if the number of directors fixed pursuant to Section B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exceeds nine (9), solely by the stockholders of the Corporation with the Requisite Stockholder Consent; or (ii) on or after the Voting Threshold Date solely by the affirmative vote of a majority of the total number of directors then in office, even if less than a quorum, or by a sole remaining director.</w:t>
      </w:r>
    </w:p>
    <w:p>
      <w:pPr>
        <w:spacing w:after="0" w:line="219" w:lineRule="exact"/>
        <w:rPr>
          <w:rFonts w:ascii="Arial" w:cs="Arial" w:eastAsia="Arial" w:hAnsi="Arial"/>
          <w:sz w:val="16"/>
          <w:szCs w:val="16"/>
          <w:color w:val="auto"/>
        </w:rPr>
      </w:pPr>
    </w:p>
    <w:p>
      <w:pPr>
        <w:jc w:val="both"/>
        <w:ind w:left="660" w:firstLine="644"/>
        <w:spacing w:after="0" w:line="259" w:lineRule="auto"/>
        <w:tabs>
          <w:tab w:leader="none" w:pos="214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the holders of any series of Preferred Stock expressly set forth in a Preferred Stock Designation adopted in compliance with this Amended and Restated Certification of Incorporation, any director or the entire Board may be removed from office at any time with or without cause and for any or no reason only with and immediately upon the Requisite Stockholder Consent.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660" w:firstLine="644"/>
        <w:spacing w:after="0" w:line="277" w:lineRule="auto"/>
        <w:tabs>
          <w:tab w:leader="none" w:pos="207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Pursuant to the Bylaws of the Corporation, the Board may establish one or more committees to which may be delegated any or all of the powers and duties of the Board to the full extent permitted by law.</w:t>
      </w:r>
    </w:p>
    <w:p>
      <w:pPr>
        <w:spacing w:after="0" w:line="224" w:lineRule="exact"/>
        <w:rPr>
          <w:rFonts w:ascii="Arial" w:cs="Arial" w:eastAsia="Arial" w:hAnsi="Arial"/>
          <w:sz w:val="18"/>
          <w:szCs w:val="18"/>
          <w:color w:val="auto"/>
        </w:rPr>
      </w:pPr>
    </w:p>
    <w:p>
      <w:pPr>
        <w:ind w:left="660" w:firstLine="644"/>
        <w:spacing w:after="0" w:line="342" w:lineRule="auto"/>
        <w:tabs>
          <w:tab w:leader="none" w:pos="209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Stockholder Nominations and Introduction of Business</w:t>
      </w:r>
      <w:r>
        <w:rPr>
          <w:rFonts w:ascii="Arial" w:cs="Arial" w:eastAsia="Arial" w:hAnsi="Arial"/>
          <w:sz w:val="16"/>
          <w:szCs w:val="16"/>
          <w:color w:val="auto"/>
        </w:rPr>
        <w:t>. Advance notice of stockholder nominations for election of directors and other business to be brought by stockholders before a meeting of stockholders shall be given in the manner provided by the Bylaws.</w:t>
      </w:r>
    </w:p>
    <w:p>
      <w:pPr>
        <w:spacing w:after="0" w:line="177" w:lineRule="exact"/>
        <w:rPr>
          <w:rFonts w:ascii="Arial" w:cs="Arial" w:eastAsia="Arial" w:hAnsi="Arial"/>
          <w:sz w:val="16"/>
          <w:szCs w:val="16"/>
          <w:color w:val="auto"/>
        </w:rPr>
      </w:pPr>
    </w:p>
    <w:p>
      <w:pPr>
        <w:jc w:val="both"/>
        <w:ind w:left="660" w:firstLine="644"/>
        <w:spacing w:after="0" w:line="287" w:lineRule="auto"/>
        <w:tabs>
          <w:tab w:leader="none" w:pos="199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xml:space="preserve">. During any period when the holders of any series of Preferred Stock have the right to elect additional directors as provided for or fixed pursuant to and in accordance with the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or any Preferred Stock Designation,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and in accordance with the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or any Preferred Stock Designation,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 terms of office of all such directors shall forthwith terminate and the total authorized number of directors of the Corporation shall be reduced accordingly.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Unless and except to the extent that the Bylaws shall so require, the election of directors of the Corporation need not be by written ballot. The vote required for election of a director by the stockholders at a meeting of stockholders shall, except in a contested election, be the affirmative vote of a majority of the votes cast in favor or against the election of a nominee at a meeting of stockholders. In a contested election, (i) the directors shall be elected by a plurality of the votes cast at a meeting of stockholders by the holders of stock entitled to vote in such election, and (ii) stockholders shall not be permitted to vote against a nominee. An election shall be considered contested if, as of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preceding the date the Corporation first mails its notice of meeting for such meeting to the stockholders of the Corporation, there are more nominees for election than directorships on the Board to be filled by election at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ARTICLE XI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DIRECTOR LIABILITY</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eliminate or limit the liability of a director (i) 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No repeal or modification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apply to or have any adverse effect on any right or protection of, or any limitation of the liability of, a director of the Corporation existing at the time of such repeal or modification with respect to acts or omissions occurring prior to such repeal or modification.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Corporation may indemnify, and advance expenses to, to the fullest extent permitted by law, any person who was or is a party to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STOCKHOLDERS IN LIEU OF MEETING</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Subject to the terms of any series of Preferred Stock, any action required or permitted to be taken by the stockholders of the Corporation must be effected at an annual or special meeting of the stockholders and may not be effected by written consent in lieu of a meeting; </w:t>
      </w:r>
      <w:r>
        <w:rPr>
          <w:rFonts w:ascii="Arial" w:cs="Arial" w:eastAsia="Arial" w:hAnsi="Arial"/>
          <w:sz w:val="18"/>
          <w:szCs w:val="18"/>
          <w:i w:val="1"/>
          <w:iCs w:val="1"/>
          <w:color w:val="auto"/>
        </w:rPr>
        <w:t>provided</w:t>
      </w:r>
      <w:r>
        <w:rPr>
          <w:rFonts w:ascii="Arial" w:cs="Arial" w:eastAsia="Arial" w:hAnsi="Arial"/>
          <w:sz w:val="18"/>
          <w:szCs w:val="18"/>
          <w:color w:val="auto"/>
        </w:rPr>
        <w:t>, that prior to the Voting Threshold Date, any action required or permitted to be taken at any annual or special meeting of stockholders of the Corporation may be taken without a meeting, without prior notice and without a vote, if a consent or consents in writing, setting forth the action so taken, shall be signed by the holders of the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ARTICLE XIV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STOCKHOLDERS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Special meetings of stockholders for any purpose or purposes may be called at any time by the Board, the Chairperson of the Board or the Chief Executive Officer of the Corporation, and may not be called by another other Person or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the Final Conversion Date, special meetings of stockholders for any purpose or purposes may also be called by or at the request of stockholders of the Corporation collectively holding shares of capital stock of the Corporation with voting power sufficient to provide the Requisite Stockholder Consent. Business transacted at any special meeting of stockholders shall be limited to matters relating to the purpose or purposes stated in the notice of meeting.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2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Unless the Corporation consents in writing to the selection of an alternative forum, (i) the Court of Chancery (the “</w:t>
      </w:r>
      <w:r>
        <w:rPr>
          <w:rFonts w:ascii="Arial" w:cs="Arial" w:eastAsia="Arial" w:hAnsi="Arial"/>
          <w:sz w:val="16"/>
          <w:szCs w:val="16"/>
          <w:u w:val="single" w:color="auto"/>
          <w:color w:val="auto"/>
        </w:rPr>
        <w:t>Chancery Court</w:t>
      </w:r>
      <w:r>
        <w:rPr>
          <w:rFonts w:ascii="Arial" w:cs="Arial" w:eastAsia="Arial" w:hAnsi="Arial"/>
          <w:sz w:val="16"/>
          <w:szCs w:val="16"/>
          <w:color w:val="auto"/>
        </w:rPr>
        <w:t xml:space="preserve">”)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the Corporation, (2) any action asserting a claim of breach of a fiduciary duty owed by, or any other wrongdoing by, any current or former director, officer, other employee or stockholder of the Corporation, (3) any action asserting a claim against the Corporation arising pursuant to any provision of the DGCL, this Amended and Restated Certificate of Incorporation or the Bylaws or as to which the DGCL confers jurisdiction on the Court of Chancery, (4) any action to interpret, apply, enforce or determine the validity of any provisions of this Amended and Restated Certificate of Incorporation or the Bylaws, or (5) any other action asserting a claim governed by the internal affairs doctrine and (ii) notwithstanding anything to the contrary herein, but subject to the foregoing provisions of this </w:t>
      </w:r>
      <w:r>
        <w:rPr>
          <w:rFonts w:ascii="Arial" w:cs="Arial" w:eastAsia="Arial" w:hAnsi="Arial"/>
          <w:sz w:val="16"/>
          <w:szCs w:val="16"/>
          <w:u w:val="single" w:color="auto"/>
          <w:color w:val="auto"/>
        </w:rPr>
        <w:t>Article XIV</w:t>
      </w:r>
      <w:r>
        <w:rPr>
          <w:rFonts w:ascii="Arial" w:cs="Arial" w:eastAsia="Arial" w:hAnsi="Arial"/>
          <w:sz w:val="16"/>
          <w:szCs w:val="16"/>
          <w:color w:val="auto"/>
        </w:rPr>
        <w:t>, the federal district courts of the United States shall be the exclusive forum for the resolution of any action, suit or proceeding asserting a cause of action arising under the Securities Act of 1933, as amended. If any action the subject matter of which is within the scope of the preceding sentence is filed in a court other than the applicable courts specified in the immediately preceding sentence (a “</w:t>
      </w:r>
      <w:r>
        <w:rPr>
          <w:rFonts w:ascii="Arial" w:cs="Arial" w:eastAsia="Arial" w:hAnsi="Arial"/>
          <w:sz w:val="16"/>
          <w:szCs w:val="16"/>
          <w:u w:val="single" w:color="auto"/>
          <w:color w:val="auto"/>
        </w:rPr>
        <w:t>Foreign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in the name of any stockholder, such stockholder shall, to the fullest extent permitted by applicable law,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 This provision will not apply to claims arising under the Securities Exchange Act of 1934, as amended, or other federal securities laws for which there is exclusive federal jurisdiction. Any Person or entity purchasing or otherwise acquiring or holding any interest in shares of capital stock of the Corporation shall be deemed to have notice of and consented to the provisions of this </w:t>
      </w:r>
      <w:r>
        <w:rPr>
          <w:rFonts w:ascii="Arial" w:cs="Arial" w:eastAsia="Arial" w:hAnsi="Arial"/>
          <w:sz w:val="16"/>
          <w:szCs w:val="16"/>
          <w:u w:val="single" w:color="auto"/>
          <w:color w:val="auto"/>
        </w:rPr>
        <w:t>Article XIV</w:t>
      </w:r>
      <w:r>
        <w:rPr>
          <w:rFonts w:ascii="Arial" w:cs="Arial" w:eastAsia="Arial" w:hAnsi="Arial"/>
          <w:sz w:val="16"/>
          <w:szCs w:val="16"/>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XVI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and without limiting any other provisions of this Amended and Restated Certificate of Incorporation (or any other provision of the Bylaws or any agreement entered into by the Corporation),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fullest extent permitted by law, each and every Person purchasing or otherwise acquiring any interest (of any nature whatsoever) in any shares of the capital stock of the Corporation shall be deemed, by reason of and from and after the time of such purchase or other acquisition, to have notice of and to have consented to all of the provisions of (a) this Amended and Restated Certificate of Incorporation, (b) the Bylaws and (c) any amendment to this Amended and Restated Certificate of Incorporation or the Bylaws enacted or adopted in accordance with this Amended and Restated Certificate of Incorporation, the Bylaws and applicable law.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IN WITNESS WHEREOF, the undersigned has executed this Second Amended and Restated Certificate of Incorporation on June 10, 2021.</w:t>
      </w:r>
    </w:p>
    <w:p>
      <w:pPr>
        <w:spacing w:after="0" w:line="2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HIGHCAPE CAPITAL ACQUISITION CORP.</w:t>
      </w:r>
    </w:p>
    <w:p>
      <w:pPr>
        <w:spacing w:after="0" w:line="229"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Kevin Rakin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125" w:right="87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 is hereby certified that:</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name of the corporation is Quantum-Si Incorporated (the “Corporation”).</w:t>
      </w:r>
    </w:p>
    <w:p>
      <w:pPr>
        <w:spacing w:after="0" w:line="252"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Second Amended and Restated Certificate of Incorporation of the Corporation (the “Certificate of Incorporation”), is hereby further amended by striking out Article X in its entirety and by substituting in lieu of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DIRECTOR AND OFFICER LIABILITY</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To the fullest extent permitted by the DGCL as the same exists or as may hereafter be amended, a director or officer of the Corporation shall not be personally liable to the Corporation or its stockholders for monetary damages for breach of fiduciary duty as a director or an officer;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eliminate or limit the liability of a director or an officer (i) for any breach of the director’s or officer’s duty of loyalty to the Corporation or its stockholders, (ii) for acts or omissions not in good faith or which involve intentional misconduct or a knowing violation of law, (iii) pursuant to the provisions of Section 174 of the DGCL, (iv) for any transaction from which the director or officer derived an improper personal benefit, or (v) with respect to an officer, in any action by or in the right of the Corporation. No repeal or modification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apply to or have any adverse effect on any right or protection of, or any limitation of the liability of, a director or officer of the Corporation existing at the time of such repeal or modification with respect to acts or omissions occurring prior to such repeal or modification. All references in this paragraph to an officer shall mean only a person who at the time of an act or omission as to which liability is asserted is deemed to have consented to service by the delivery of process to the registered agent of the Corporation pursuant to § 3114(b) of Title 10 (for purposes of this sentence only, treating residents of the State of Delaware as if they were nonresidents to apply of § 3114(b) of Title 10 to this sentence).</w:t>
      </w:r>
    </w:p>
    <w:p>
      <w:pPr>
        <w:spacing w:after="0" w:line="209"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amendment of the Certificate of Incorporation herein certified has been duly adopted in accordance with the provisions of Section 242 of the General Corporation Law of the State of Delaware.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EXECUTED, effective as of this 12th day of May, 2023.</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QUANTUM-SI INCORPORATED</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Jeffrey Hawkins, certify that:</w:t>
      </w:r>
    </w:p>
    <w:p>
      <w:pPr>
        <w:spacing w:after="0" w:line="24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8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774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Jeffry Keyes, certify that:</w:t>
      </w:r>
    </w:p>
    <w:p>
      <w:pPr>
        <w:spacing w:after="0" w:line="240"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Quantum-Si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8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7748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Jeffry Keyes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906</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Quarterly Report for the quarter ended June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7, 2023</w:t>
      </w:r>
      <w:r>
        <w:rPr>
          <w:sz w:val="20"/>
          <w:szCs w:val="20"/>
          <w:color w:val="auto"/>
        </w:rPr>
        <w:tab/>
      </w:r>
      <w:r>
        <w:rPr>
          <w:rFonts w:ascii="Arial" w:cs="Arial" w:eastAsia="Arial" w:hAnsi="Arial"/>
          <w:sz w:val="16"/>
          <w:szCs w:val="16"/>
          <w:color w:val="auto"/>
        </w:rPr>
        <w:t>/s/ 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186880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August 7, 2023</w:t>
      </w:r>
      <w:r>
        <w:rPr>
          <w:sz w:val="20"/>
          <w:szCs w:val="20"/>
          <w:color w:val="auto"/>
        </w:rPr>
        <w:tab/>
      </w:r>
      <w:r>
        <w:rPr>
          <w:rFonts w:ascii="Arial" w:cs="Arial" w:eastAsia="Arial" w:hAnsi="Arial"/>
          <w:sz w:val="16"/>
          <w:szCs w:val="16"/>
          <w:color w:val="auto"/>
        </w:rPr>
        <w:t>/s/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186880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186880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Jeffry Keyes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upperLetter"/>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3"/>
    </w:lvl>
  </w:abstractNum>
  <w:abstractNum w:abstractNumId="14">
    <w:nsid w:val="75A2A8D4"/>
    <w:multiLevelType w:val="hybridMultilevel"/>
    <w:lvl w:ilvl="0">
      <w:lvlJc w:val="left"/>
      <w:lvlText w:val="%1."/>
      <w:numFmt w:val="decimal"/>
      <w:start w:val="6"/>
    </w:lvl>
  </w:abstractNum>
  <w:abstractNum w:abstractNumId="15">
    <w:nsid w:val="8EDBDAB"/>
    <w:multiLevelType w:val="hybridMultilevel"/>
    <w:lvl w:ilvl="0">
      <w:lvlJc w:val="left"/>
      <w:lvlText w:val="%1."/>
      <w:numFmt w:val="decimal"/>
      <w:start w:val="7"/>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2"/>
    </w:lvl>
  </w:abstractNum>
  <w:abstractNum w:abstractNumId="18">
    <w:nsid w:val="B03E0C6"/>
    <w:multiLevelType w:val="hybridMultilevel"/>
    <w:lvl w:ilvl="0">
      <w:lvlJc w:val="left"/>
      <w:lvlText w:val="%1."/>
      <w:numFmt w:val="decimal"/>
      <w:start w:val="8"/>
    </w:lvl>
  </w:abstractNum>
  <w:abstractNum w:abstractNumId="19">
    <w:nsid w:val="189A769B"/>
    <w:multiLevelType w:val="hybridMultilevel"/>
    <w:lvl w:ilvl="0">
      <w:lvlJc w:val="left"/>
      <w:lvlText w:val="(%1)"/>
      <w:numFmt w:val="lowerLetter"/>
      <w:start w:val="2"/>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upperLetter"/>
      <w:start w:val="1"/>
    </w:lvl>
    <w:lvl w:ilvl="1">
      <w:lvlJc w:val="left"/>
      <w:lvlText w:val="(%2)"/>
      <w:numFmt w:val="lowerLetter"/>
      <w:start w:val="3"/>
    </w:lvl>
  </w:abstractNum>
  <w:abstractNum w:abstractNumId="24">
    <w:nsid w:val="2901D82"/>
    <w:multiLevelType w:val="hybridMultilevel"/>
    <w:lvl w:ilvl="0">
      <w:lvlJc w:val="left"/>
      <w:lvlText w:val="(%1)"/>
      <w:numFmt w:val="upperLetter"/>
      <w:start w:val="2"/>
    </w:lvl>
    <w:lvl w:ilvl="1">
      <w:lvlJc w:val="left"/>
      <w:lvlText w:val="(%2)"/>
      <w:numFmt w:val="lowerLetter"/>
      <w:start w:val="6"/>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2"/>
    </w:lvl>
  </w:abstractNum>
  <w:abstractNum w:abstractNumId="27">
    <w:nsid w:val="1E7FF521"/>
    <w:multiLevelType w:val="hybridMultilevel"/>
    <w:lvl w:ilvl="0">
      <w:lvlJc w:val="left"/>
      <w:lvlText w:val="%1."/>
      <w:numFmt w:val="upperLetter"/>
      <w:start w:val="2"/>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upperLetter"/>
      <w:start w:val="1"/>
    </w:lvl>
  </w:abstractNum>
  <w:abstractNum w:abstractNumId="30">
    <w:nsid w:val="6CEAF087"/>
    <w:multiLevelType w:val="hybridMultilevel"/>
    <w:lvl w:ilvl="0">
      <w:lvlJc w:val="left"/>
      <w:lvlText w:val="(%1)"/>
      <w:numFmt w:val="upperLetter"/>
      <w:start w:val="6"/>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70" Type="http://schemas.openxmlformats.org/officeDocument/2006/relationships/hyperlink" Target="https://www.sec.gov/Archives/edgar/data/1816431/000114036123022308/brhc20052203_ex10-1.htm" TargetMode="External"/><Relationship Id="rId71" Type="http://schemas.openxmlformats.org/officeDocument/2006/relationships/hyperlink" Target="https://www.sec.gov/Archives/edgar/data/1816431/000114036123028655/brhc20054122_ex10-1.htm" TargetMode="External"/><Relationship Id="rId72" Type="http://schemas.openxmlformats.org/officeDocument/2006/relationships/hyperlink" Target="https://www.sec.gov/Archives/edgar/data/1816431/000114036123035435/brhc20056143_ex99-1.htm" TargetMode="External"/><Relationship Id="rId73" Type="http://schemas.openxmlformats.org/officeDocument/2006/relationships/hyperlink" Target="https://www.sec.gov/Archives/edgar/data/1816431/000114036123035435/brhc20056143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2023-08-07T16:37:06Z</dcterms:created>
  <dcterms:modified xsi:type="dcterms:W3CDTF">2023-08-07T16:37:06Z</dcterms:modified>
</cp:coreProperties>
</file>