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4645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64502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LaPointe Christian</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400"/>
        <w:spacing w:after="0" w:line="366" w:lineRule="auto"/>
        <w:rPr>
          <w:sz w:val="20"/>
          <w:szCs w:val="20"/>
          <w:color w:val="auto"/>
        </w:rPr>
      </w:pPr>
      <w:r>
        <w:rPr>
          <w:rFonts w:ascii="Arial" w:cs="Arial" w:eastAsia="Arial" w:hAnsi="Arial"/>
          <w:sz w:val="14"/>
          <w:szCs w:val="14"/>
          <w:color w:val="0000FF"/>
        </w:rPr>
        <w:t>C/O QUANTUM-SI INCORPORATED 530 OLD WHITFIELD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Quantum-Si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QSI</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03/15/2023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45"/>
        <w:spacing w:after="0"/>
        <w:rPr>
          <w:sz w:val="20"/>
          <w:szCs w:val="20"/>
          <w:color w:val="auto"/>
        </w:rPr>
      </w:pPr>
      <w:r>
        <w:rPr>
          <w:rFonts w:ascii="Arial" w:cs="Arial" w:eastAsia="Arial" w:hAnsi="Arial"/>
          <w:sz w:val="16"/>
          <w:szCs w:val="16"/>
          <w:color w:val="0000FF"/>
        </w:rPr>
        <w:t>General Counsel &amp; Corp. Secr.</w:t>
      </w:r>
    </w:p>
    <w:p>
      <w:pPr>
        <w:spacing w:after="0" w:line="435"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40" w:type="dxa"/>
            <w:vAlign w:val="bottom"/>
            <w:gridSpan w:val="8"/>
          </w:tcPr>
          <w:p>
            <w:pPr>
              <w:ind w:left="140"/>
              <w:spacing w:after="0" w:line="96" w:lineRule="exact"/>
              <w:rPr>
                <w:sz w:val="20"/>
                <w:szCs w:val="20"/>
                <w:color w:val="auto"/>
              </w:rPr>
            </w:pPr>
            <w:r>
              <w:rPr>
                <w:rFonts w:ascii="Arial" w:cs="Arial" w:eastAsia="Arial" w:hAnsi="Arial"/>
                <w:sz w:val="11"/>
                <w:szCs w:val="11"/>
                <w:color w:val="auto"/>
              </w:rPr>
              <w:t>4. If Amendment, Date of Original Filed (Month/Day/Year)</w:t>
            </w:r>
          </w:p>
        </w:tc>
        <w:tc>
          <w:tcPr>
            <w:tcW w:w="3680" w:type="dxa"/>
            <w:vAlign w:val="bottom"/>
            <w:gridSpan w:val="10"/>
          </w:tcPr>
          <w:p>
            <w:pPr>
              <w:ind w:left="340"/>
              <w:spacing w:after="0" w:line="96"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GUILFORD</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CT</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06437</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8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03/15/2023</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w w:val="84"/>
              </w:rPr>
              <w:t>20,000</w:t>
            </w:r>
          </w:p>
        </w:tc>
        <w:tc>
          <w:tcPr>
            <w:tcW w:w="5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80"/>
              </w:rPr>
              <w:t>$</w:t>
            </w:r>
            <w:r>
              <w:rPr>
                <w:rFonts w:ascii="Arial" w:cs="Arial" w:eastAsia="Arial" w:hAnsi="Arial"/>
                <w:sz w:val="17"/>
                <w:szCs w:val="17"/>
                <w:color w:val="0000FF"/>
                <w:w w:val="80"/>
              </w:rPr>
              <w:t>1.77</w:t>
            </w:r>
            <w:r>
              <w:rPr>
                <w:rFonts w:ascii="Arial" w:cs="Arial" w:eastAsia="Arial" w:hAnsi="Arial"/>
                <w:sz w:val="21"/>
                <w:szCs w:val="21"/>
                <w:color w:val="008000"/>
                <w:w w:val="80"/>
                <w:vertAlign w:val="superscript"/>
              </w:rPr>
              <w:t>(1)</w:t>
            </w:r>
          </w:p>
        </w:tc>
        <w:tc>
          <w:tcPr>
            <w:tcW w:w="126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247,693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restart"/>
          </w:tcPr>
          <w:p>
            <w:pPr>
              <w:jc w:val="center"/>
              <w:ind w:right="75"/>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350,000</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1.77</w:t>
            </w:r>
          </w:p>
        </w:tc>
        <w:tc>
          <w:tcPr>
            <w:tcW w:w="140" w:type="dxa"/>
            <w:vAlign w:val="bottom"/>
          </w:tcPr>
          <w:p>
            <w:pPr>
              <w:spacing w:after="0"/>
              <w:rPr>
                <w:sz w:val="6"/>
                <w:szCs w:val="6"/>
                <w:color w:val="auto"/>
              </w:rPr>
            </w:pPr>
          </w:p>
        </w:tc>
        <w:tc>
          <w:tcPr>
            <w:tcW w:w="1060" w:type="dxa"/>
            <w:vAlign w:val="bottom"/>
            <w:vMerge w:val="restart"/>
          </w:tcPr>
          <w:p>
            <w:pPr>
              <w:ind w:left="240"/>
              <w:spacing w:after="0" w:line="140" w:lineRule="exact"/>
              <w:rPr>
                <w:sz w:val="20"/>
                <w:szCs w:val="20"/>
                <w:color w:val="auto"/>
              </w:rPr>
            </w:pPr>
            <w:r>
              <w:rPr>
                <w:rFonts w:ascii="Arial" w:cs="Arial" w:eastAsia="Arial" w:hAnsi="Arial"/>
                <w:sz w:val="13"/>
                <w:szCs w:val="13"/>
                <w:color w:val="0000FF"/>
              </w:rPr>
              <w:t>03/15/2023</w:t>
            </w: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spacing w:after="0" w:line="140" w:lineRule="exact"/>
              <w:rPr>
                <w:sz w:val="20"/>
                <w:szCs w:val="20"/>
                <w:color w:val="auto"/>
              </w:rPr>
            </w:pPr>
            <w:r>
              <w:rPr>
                <w:rFonts w:ascii="Arial" w:cs="Arial" w:eastAsia="Arial" w:hAnsi="Arial"/>
                <w:sz w:val="13"/>
                <w:szCs w:val="13"/>
                <w:color w:val="0000FF"/>
              </w:rPr>
              <w:t>A</w:t>
            </w:r>
          </w:p>
        </w:tc>
        <w:tc>
          <w:tcPr>
            <w:tcW w:w="660" w:type="dxa"/>
            <w:vAlign w:val="bottom"/>
            <w:vMerge w:val="restart"/>
          </w:tcPr>
          <w:p>
            <w:pPr>
              <w:ind w:left="100"/>
              <w:spacing w:after="0" w:line="140" w:lineRule="exact"/>
              <w:rPr>
                <w:sz w:val="20"/>
                <w:szCs w:val="20"/>
                <w:color w:val="auto"/>
              </w:rPr>
            </w:pPr>
            <w:r>
              <w:rPr>
                <w:rFonts w:ascii="Arial" w:cs="Arial" w:eastAsia="Arial" w:hAnsi="Arial"/>
                <w:sz w:val="13"/>
                <w:szCs w:val="13"/>
                <w:color w:val="0000FF"/>
              </w:rPr>
              <w:t>350,000</w:t>
            </w: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restart"/>
          </w:tcPr>
          <w:p>
            <w:pPr>
              <w:ind w:left="40"/>
              <w:spacing w:after="0" w:line="140" w:lineRule="exact"/>
              <w:rPr>
                <w:sz w:val="20"/>
                <w:szCs w:val="20"/>
                <w:color w:val="auto"/>
              </w:rPr>
            </w:pPr>
            <w:r>
              <w:rPr>
                <w:rFonts w:ascii="Arial" w:cs="Arial" w:eastAsia="Arial" w:hAnsi="Arial"/>
                <w:sz w:val="13"/>
                <w:szCs w:val="13"/>
                <w:color w:val="0000FF"/>
                <w:w w:val="98"/>
              </w:rPr>
              <w:t>03/15/2033</w:t>
            </w:r>
          </w:p>
        </w:tc>
        <w:tc>
          <w:tcPr>
            <w:tcW w:w="66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restart"/>
          </w:tcPr>
          <w:p>
            <w:pPr>
              <w:ind w:left="200"/>
              <w:spacing w:after="0" w:line="140" w:lineRule="exact"/>
              <w:rPr>
                <w:sz w:val="20"/>
                <w:szCs w:val="20"/>
                <w:color w:val="auto"/>
              </w:rPr>
            </w:pPr>
            <w:r>
              <w:rPr>
                <w:rFonts w:ascii="Arial" w:cs="Arial" w:eastAsia="Arial" w:hAnsi="Arial"/>
                <w:sz w:val="13"/>
                <w:szCs w:val="13"/>
                <w:color w:val="0000FF"/>
              </w:rPr>
              <w:t>350,000</w:t>
            </w:r>
          </w:p>
        </w:tc>
        <w:tc>
          <w:tcPr>
            <w:tcW w:w="64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jc w:val="center"/>
              <w:ind w:right="75"/>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-1829435</wp:posOffset>
            </wp:positionV>
            <wp:extent cx="28575" cy="1834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8345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32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weighted average purchase price per share. The shares were purchased at prices ranging from $1.755 to $1.80 per share. Full information regarding the number of shares purchased at each price shall be provided upon request to the staff of the U.S. Securities and Exchange Commission, the Issuer, or a security holder of the Issuer.</w:t>
      </w:r>
    </w:p>
    <w:p>
      <w:pPr>
        <w:spacing w:after="0" w:line="27" w:lineRule="exact"/>
        <w:rPr>
          <w:rFonts w:ascii="Arial" w:cs="Arial" w:eastAsia="Arial" w:hAnsi="Arial"/>
          <w:sz w:val="13"/>
          <w:szCs w:val="13"/>
          <w:color w:val="008000"/>
        </w:rPr>
      </w:pPr>
    </w:p>
    <w:p>
      <w:pPr>
        <w:ind w:left="40" w:right="28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underlying this option vest as to 25% on March 31, 2024, with the remainder vesting in 36 equal monthly installments at the end of each month thereafter, subject to Dr. LaPointe's continued service through the applicable vesting date.</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8"/>
              </w:rPr>
              <w:t>/s/ Christian LaPointe, Ph.D</w:t>
            </w:r>
          </w:p>
        </w:tc>
        <w:tc>
          <w:tcPr>
            <w:tcW w:w="34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4"/>
              </w:rPr>
              <w:t>03/17/2023</w:t>
            </w: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6912" TargetMode="External"/><Relationship Id="rId13" Type="http://schemas.openxmlformats.org/officeDocument/2006/relationships/hyperlink" Target="http://www.sec.gov/cgi-bin/browse-edgar?action=getcompany&amp;CIK=0001816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2023-03-17T15:17:30Z</dcterms:created>
  <dcterms:modified xsi:type="dcterms:W3CDTF">2023-03-17T15:17:30Z</dcterms:modified>
</cp:coreProperties>
</file>