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March 16, 2023</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85-1388175</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3"/>
              </w:rPr>
              <w:t>530 Old Whitfield Street</w:t>
            </w:r>
          </w:p>
        </w:tc>
        <w:tc>
          <w:tcPr>
            <w:tcW w:w="3760" w:type="dxa"/>
            <w:vAlign w:val="bottom"/>
          </w:tcPr>
          <w:p>
            <w:pPr>
              <w:spacing w:after="0"/>
              <w:rPr>
                <w:sz w:val="24"/>
                <w:szCs w:val="24"/>
                <w:color w:val="auto"/>
              </w:rPr>
            </w:pPr>
          </w:p>
        </w:tc>
      </w:tr>
      <w:tr>
        <w:trPr>
          <w:trHeight w:val="216"/>
        </w:trPr>
        <w:tc>
          <w:tcPr>
            <w:tcW w:w="5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Guilford, Connecticut 06437</w:t>
            </w:r>
          </w:p>
        </w:tc>
        <w:tc>
          <w:tcPr>
            <w:tcW w:w="3760" w:type="dxa"/>
            <w:vAlign w:val="bottom"/>
          </w:tcPr>
          <w:p>
            <w:pPr>
              <w:jc w:val="right"/>
              <w:ind w:right="1050"/>
              <w:spacing w:after="0"/>
              <w:rPr>
                <w:sz w:val="20"/>
                <w:szCs w:val="20"/>
                <w:color w:val="auto"/>
              </w:rPr>
            </w:pPr>
            <w:r>
              <w:rPr>
                <w:rFonts w:ascii="Arial" w:cs="Arial" w:eastAsia="Arial" w:hAnsi="Arial"/>
                <w:sz w:val="18"/>
                <w:szCs w:val="18"/>
                <w:b w:val="1"/>
                <w:bCs w:val="1"/>
                <w:color w:val="auto"/>
              </w:rPr>
              <w:t>06437</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760" w:type="dxa"/>
            <w:vAlign w:val="bottom"/>
          </w:tcPr>
          <w:p>
            <w:pPr>
              <w:jc w:val="center"/>
              <w:ind w:left="950"/>
              <w:spacing w:after="0"/>
              <w:rPr>
                <w:sz w:val="20"/>
                <w:szCs w:val="20"/>
                <w:color w:val="auto"/>
              </w:rPr>
            </w:pPr>
            <w:r>
              <w:rPr>
                <w:rFonts w:ascii="Arial" w:cs="Arial" w:eastAsia="Arial" w:hAnsi="Arial"/>
                <w:sz w:val="18"/>
                <w:szCs w:val="18"/>
                <w:b w:val="1"/>
                <w:bCs w:val="1"/>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(Full title of the plan)</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Jeffrey Hawkins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Chief Executive Officer</w:t>
      </w:r>
    </w:p>
    <w:p>
      <w:pPr>
        <w:jc w:val="center"/>
        <w:spacing w:after="0" w:line="230" w:lineRule="auto"/>
        <w:rPr>
          <w:sz w:val="20"/>
          <w:szCs w:val="20"/>
          <w:color w:val="auto"/>
        </w:rPr>
      </w:pPr>
      <w:r>
        <w:rPr>
          <w:rFonts w:ascii="Arial" w:cs="Arial" w:eastAsia="Arial" w:hAnsi="Arial"/>
          <w:sz w:val="22"/>
          <w:szCs w:val="22"/>
          <w:b w:val="1"/>
          <w:bCs w:val="1"/>
          <w:color w:val="auto"/>
        </w:rPr>
        <w:t>Quantum-Si Incorporated</w:t>
      </w:r>
    </w:p>
    <w:p>
      <w:pPr>
        <w:jc w:val="center"/>
        <w:spacing w:after="0" w:line="231" w:lineRule="auto"/>
        <w:rPr>
          <w:sz w:val="20"/>
          <w:szCs w:val="20"/>
          <w:color w:val="auto"/>
        </w:rPr>
      </w:pPr>
      <w:r>
        <w:rPr>
          <w:rFonts w:ascii="Arial" w:cs="Arial" w:eastAsia="Arial" w:hAnsi="Arial"/>
          <w:sz w:val="22"/>
          <w:szCs w:val="22"/>
          <w:b w:val="1"/>
          <w:bCs w:val="1"/>
          <w:color w:val="auto"/>
        </w:rPr>
        <w:t>530 Old Whitfield Street</w:t>
      </w:r>
    </w:p>
    <w:p>
      <w:pPr>
        <w:jc w:val="center"/>
        <w:spacing w:after="0" w:line="230" w:lineRule="auto"/>
        <w:rPr>
          <w:sz w:val="20"/>
          <w:szCs w:val="20"/>
          <w:color w:val="auto"/>
        </w:rPr>
      </w:pPr>
      <w:r>
        <w:rPr>
          <w:rFonts w:ascii="Arial" w:cs="Arial" w:eastAsia="Arial" w:hAnsi="Arial"/>
          <w:sz w:val="22"/>
          <w:szCs w:val="22"/>
          <w:b w:val="1"/>
          <w:bCs w:val="1"/>
          <w:color w:val="auto"/>
        </w:rPr>
        <w:t>Guilford, Connecticut 06437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and address of agent for service)</w:t>
      </w:r>
    </w:p>
    <w:p>
      <w:pPr>
        <w:spacing w:after="0" w:line="209" w:lineRule="exact"/>
        <w:rPr>
          <w:sz w:val="24"/>
          <w:szCs w:val="24"/>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(866) 688</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7374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1440" w:gutter="0" w:footer="0" w:header="0"/>
        </w:sectPr>
      </w:pPr>
    </w:p>
    <w:p>
      <w:pPr>
        <w:spacing w:after="0" w:line="1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3">
            <w:col w:w="5240" w:space="720"/>
            <w:col w:w="1980" w:space="80"/>
            <w:col w:w="3220"/>
          </w:cols>
          <w:pgMar w:left="320" w:top="220" w:right="339" w:bottom="1440" w:gutter="0" w:footer="0" w:header="0"/>
          <w:type w:val="continuous"/>
        </w:sectPr>
      </w:pPr>
    </w:p>
    <w:p>
      <w:pPr>
        <w:spacing w:after="0" w:line="54" w:lineRule="exact"/>
        <w:rPr>
          <w:sz w:val="24"/>
          <w:szCs w:val="24"/>
          <w:color w:val="auto"/>
        </w:rPr>
      </w:pPr>
    </w:p>
    <w:p>
      <w:pPr>
        <w:jc w:val="both"/>
        <w:ind w:firstLine="324"/>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This registration statement registers an aggregate of 5,597,770 additional shares of Class A common stock, par value $0.0001 per share, of Quantum-Si Incorporated (the “Registrant”) reserved under the Quantum-Si Incorporated 2021 Equity Incentive Plan (the “2021 Plan”), representing an increase of 5,597,770 shares reserved under the 2021 Plan effective January 1, 2023 by operation of the 2021 Plan’s “evergreen” provision. This registration statement registers additional securities of the same class as other securities for which a registration statement filed on Form S-8 (File No. 333-259271) relating to an employee benefit plan is effective. The information contained in the Registrant’s registration statement on Form S-8 filed with the Securities and Exchange Commission on September 2, 2021 (File No. 333-259271) is hereby incorporated by reference pursuant to General Instruction E of Form S-8.</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Incorporated</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by Reference</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herein from</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55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Form or</w:t>
            </w:r>
          </w:p>
        </w:tc>
        <w:tc>
          <w:tcPr>
            <w:tcW w:w="1140" w:type="dxa"/>
            <w:vAlign w:val="bottom"/>
          </w:tcPr>
          <w:p>
            <w:pPr>
              <w:spacing w:after="0"/>
              <w:rPr>
                <w:sz w:val="18"/>
                <w:szCs w:val="18"/>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SEC File/</w:t>
            </w:r>
          </w:p>
        </w:tc>
        <w:tc>
          <w:tcPr>
            <w:tcW w:w="0" w:type="dxa"/>
            <w:vAlign w:val="bottom"/>
          </w:tcPr>
          <w:p>
            <w:pPr>
              <w:spacing w:after="0"/>
              <w:rPr>
                <w:sz w:val="1"/>
                <w:szCs w:val="1"/>
                <w:color w:val="auto"/>
              </w:rPr>
            </w:pPr>
          </w:p>
        </w:tc>
      </w:tr>
      <w:tr>
        <w:trPr>
          <w:trHeight w:val="241"/>
        </w:trPr>
        <w:tc>
          <w:tcPr>
            <w:tcW w:w="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Number</w:t>
            </w:r>
          </w:p>
        </w:tc>
        <w:tc>
          <w:tcPr>
            <w:tcW w:w="5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Exhibit Description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Schedule</w:t>
            </w: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Filing Date</w:t>
            </w:r>
          </w:p>
        </w:tc>
        <w:tc>
          <w:tcPr>
            <w:tcW w:w="12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2"/>
              </w:rPr>
              <w:t>Reg. Number</w:t>
            </w:r>
          </w:p>
        </w:tc>
        <w:tc>
          <w:tcPr>
            <w:tcW w:w="0" w:type="dxa"/>
            <w:vAlign w:val="bottom"/>
          </w:tcPr>
          <w:p>
            <w:pPr>
              <w:spacing w:after="0"/>
              <w:rPr>
                <w:sz w:val="1"/>
                <w:szCs w:val="1"/>
                <w:color w:val="auto"/>
              </w:rPr>
            </w:pPr>
          </w:p>
        </w:tc>
      </w:tr>
      <w:tr>
        <w:trPr>
          <w:trHeight w:val="176"/>
        </w:trPr>
        <w:tc>
          <w:tcPr>
            <w:tcW w:w="280" w:type="dxa"/>
            <w:vAlign w:val="bottom"/>
            <w:gridSpan w:val="2"/>
            <w:shd w:val="clear" w:color="auto" w:fill="CCEEFF"/>
          </w:tcPr>
          <w:p>
            <w:pPr>
              <w:spacing w:after="0" w:line="176" w:lineRule="exact"/>
              <w:rPr>
                <w:rFonts w:ascii="Arial" w:cs="Arial" w:eastAsia="Arial" w:hAnsi="Arial"/>
                <w:sz w:val="18"/>
                <w:szCs w:val="18"/>
                <w:color w:val="0000EE"/>
              </w:rPr>
            </w:pPr>
            <w:hyperlink r:id="rId1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Second Amended and Restated Certificate of Incorporation of the</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6/15/2021</w:t>
            </w:r>
          </w:p>
        </w:tc>
        <w:tc>
          <w:tcPr>
            <w:tcW w:w="12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8"/>
              </w:rPr>
              <w:t>001-39486</w:t>
            </w: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5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Registrant.</w:t>
            </w:r>
          </w:p>
        </w:tc>
        <w:tc>
          <w:tcPr>
            <w:tcW w:w="114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(Exhibit 3.1)</w:t>
            </w:r>
          </w:p>
        </w:tc>
        <w:tc>
          <w:tcPr>
            <w:tcW w:w="11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0" w:type="dxa"/>
            <w:vAlign w:val="bottom"/>
            <w:gridSpan w:val="2"/>
            <w:shd w:val="clear" w:color="auto" w:fill="CCEEFF"/>
          </w:tcPr>
          <w:p>
            <w:pPr>
              <w:spacing w:after="0" w:line="176" w:lineRule="exact"/>
              <w:rPr>
                <w:rFonts w:ascii="Arial" w:cs="Arial" w:eastAsia="Arial" w:hAnsi="Arial"/>
                <w:sz w:val="18"/>
                <w:szCs w:val="18"/>
                <w:color w:val="0000EE"/>
              </w:rPr>
            </w:pPr>
            <w:hyperlink r:id="rId1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Amended and Restated Bylaws of the Registrant.</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2/28/2022</w:t>
            </w:r>
          </w:p>
        </w:tc>
        <w:tc>
          <w:tcPr>
            <w:tcW w:w="12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8"/>
              </w:rPr>
              <w:t>001-39486</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55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(Exhibit 3.2)</w:t>
            </w:r>
          </w:p>
        </w:tc>
        <w:tc>
          <w:tcPr>
            <w:tcW w:w="11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0" w:type="dxa"/>
            <w:vAlign w:val="bottom"/>
            <w:gridSpan w:val="2"/>
            <w:shd w:val="clear" w:color="auto" w:fill="CCEEFF"/>
          </w:tcPr>
          <w:p>
            <w:pPr>
              <w:spacing w:after="0" w:line="176" w:lineRule="exact"/>
              <w:rPr>
                <w:rFonts w:ascii="Arial" w:cs="Arial" w:eastAsia="Arial" w:hAnsi="Arial"/>
                <w:sz w:val="18"/>
                <w:szCs w:val="18"/>
                <w:color w:val="0000EE"/>
              </w:rPr>
            </w:pPr>
            <w:hyperlink r:id="rId19">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Specimen Class A Common Stock Certificate.</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S-4/A</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5/11/2021</w:t>
            </w:r>
          </w:p>
        </w:tc>
        <w:tc>
          <w:tcPr>
            <w:tcW w:w="12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1"/>
              </w:rPr>
              <w:t>333-253691</w:t>
            </w: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55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(Exhibit 4.1)</w:t>
            </w:r>
          </w:p>
        </w:tc>
        <w:tc>
          <w:tcPr>
            <w:tcW w:w="11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0" w:type="dxa"/>
            <w:vAlign w:val="bottom"/>
            <w:gridSpan w:val="2"/>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4.4</w:t>
              </w:r>
            </w:hyperlink>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6"/>
              </w:rPr>
              <w:t>Warrant Agreement, dated as of September 3, 2020, by and between</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9/9/2020</w:t>
            </w:r>
          </w:p>
        </w:tc>
        <w:tc>
          <w:tcPr>
            <w:tcW w:w="12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88"/>
              </w:rPr>
              <w:t>001-39486</w:t>
            </w: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Quantum-Si Incorporated (formerly HighCape Capital Acquisition</w:t>
            </w:r>
          </w:p>
        </w:tc>
        <w:tc>
          <w:tcPr>
            <w:tcW w:w="1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(Exhibit 4.1)</w:t>
            </w:r>
          </w:p>
        </w:tc>
        <w:tc>
          <w:tcPr>
            <w:tcW w:w="1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 and Continental Stock Transfer &amp; Trust Company.</w:t>
            </w: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Opinion of Mintz, Levin, Cohn, Ferris, Glovsky and Popeo, P.C.</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Consent of Mintz, Levin, Cohn, Ferris, Glovsky and Popeo, P.C.</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5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(included in opinion of counsel filed as Exhibit 5.1).</w:t>
            </w:r>
          </w:p>
        </w:tc>
        <w:tc>
          <w:tcPr>
            <w:tcW w:w="114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2</w:t>
            </w: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Consent of Deloitte &amp; Touche LLP, independent registered public</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5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accounting firm.</w:t>
            </w:r>
          </w:p>
        </w:tc>
        <w:tc>
          <w:tcPr>
            <w:tcW w:w="114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24.</w:t>
            </w:r>
            <w:r>
              <w:rPr>
                <w:rFonts w:ascii="Arial" w:cs="Arial" w:eastAsia="Arial" w:hAnsi="Arial"/>
                <w:sz w:val="18"/>
                <w:szCs w:val="18"/>
                <w:u w:val="single" w:color="auto"/>
                <w:color w:val="0000EE"/>
              </w:rPr>
              <w:t>1</w:t>
            </w:r>
          </w:p>
        </w:tc>
        <w:tc>
          <w:tcPr>
            <w:tcW w:w="420" w:type="dxa"/>
            <w:vAlign w:val="bottom"/>
            <w:shd w:val="clear" w:color="auto" w:fill="CCEEFF"/>
          </w:tcPr>
          <w:p>
            <w:pPr>
              <w:spacing w:after="0"/>
              <w:rPr>
                <w:sz w:val="17"/>
                <w:szCs w:val="17"/>
                <w:color w:val="auto"/>
              </w:rPr>
            </w:pPr>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Power of Attorney (included on the signature page hereof).</w:t>
            </w: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Quantum-Si Incorporated 2021 Equity Incentive Plan.</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(Exhibit</w:t>
            </w:r>
          </w:p>
        </w:tc>
        <w:tc>
          <w:tcPr>
            <w:tcW w:w="11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6/15/2021</w:t>
            </w:r>
          </w:p>
        </w:tc>
        <w:tc>
          <w:tcPr>
            <w:tcW w:w="120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001-39486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10.13.1)</w:t>
            </w:r>
          </w:p>
        </w:tc>
        <w:tc>
          <w:tcPr>
            <w:tcW w:w="1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9"/>
              </w:rPr>
              <w:t>Form of Stock Option Agreement under 2021 Equity Incentive Plan.</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(Exhibit</w:t>
            </w:r>
          </w:p>
        </w:tc>
        <w:tc>
          <w:tcPr>
            <w:tcW w:w="11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6/15/2021</w:t>
            </w:r>
          </w:p>
        </w:tc>
        <w:tc>
          <w:tcPr>
            <w:tcW w:w="120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001-39486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10.13.2)</w:t>
            </w:r>
          </w:p>
        </w:tc>
        <w:tc>
          <w:tcPr>
            <w:tcW w:w="1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99.</w:t>
              </w:r>
              <w:r>
                <w:rPr>
                  <w:rFonts w:ascii="Arial" w:cs="Arial" w:eastAsia="Arial" w:hAnsi="Arial"/>
                  <w:sz w:val="18"/>
                  <w:szCs w:val="18"/>
                  <w:u w:val="single" w:color="auto"/>
                  <w:color w:val="0000EE"/>
                </w:rPr>
                <w:t>3+</w:t>
              </w:r>
            </w:hyperlink>
          </w:p>
        </w:tc>
        <w:tc>
          <w:tcPr>
            <w:tcW w:w="55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Form of Restricted Stock Unit Agreement under 2021 Equity Incentive</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S-8</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9/2/2021</w:t>
            </w:r>
          </w:p>
        </w:tc>
        <w:tc>
          <w:tcPr>
            <w:tcW w:w="120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1"/>
              </w:rPr>
              <w:t>333-259271</w:t>
            </w:r>
          </w:p>
        </w:tc>
        <w:tc>
          <w:tcPr>
            <w:tcW w:w="0" w:type="dxa"/>
            <w:vAlign w:val="bottom"/>
          </w:tcPr>
          <w:p>
            <w:pPr>
              <w:spacing w:after="0"/>
              <w:rPr>
                <w:sz w:val="1"/>
                <w:szCs w:val="1"/>
                <w:color w:val="auto"/>
              </w:rPr>
            </w:pPr>
          </w:p>
        </w:tc>
      </w:tr>
      <w:tr>
        <w:trPr>
          <w:trHeight w:val="129"/>
        </w:trPr>
        <w:tc>
          <w:tcPr>
            <w:tcW w:w="24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5560" w:type="dxa"/>
            <w:vAlign w:val="bottom"/>
            <w:tcBorders>
              <w:top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114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(Exhibit 99.3)</w:t>
            </w:r>
          </w:p>
        </w:tc>
        <w:tc>
          <w:tcPr>
            <w:tcW w:w="1140" w:type="dxa"/>
            <w:vAlign w:val="bottom"/>
            <w:tcBorders>
              <w:top w:val="single" w:sz="8" w:color="CCEEFF"/>
            </w:tcBorders>
            <w:vMerge w:val="continue"/>
            <w:shd w:val="clear" w:color="auto" w:fill="CCEEFF"/>
          </w:tcPr>
          <w:p>
            <w:pPr>
              <w:spacing w:after="0"/>
              <w:rPr>
                <w:sz w:val="11"/>
                <w:szCs w:val="11"/>
                <w:color w:val="auto"/>
              </w:rPr>
            </w:pPr>
          </w:p>
        </w:tc>
        <w:tc>
          <w:tcPr>
            <w:tcW w:w="120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5560" w:type="dxa"/>
            <w:vAlign w:val="bottom"/>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6"/>
              </w:rPr>
              <w:t>107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Filing Fee Table</w:t>
            </w: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 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Guilford, State of Connecticut, on March 16, 2023.</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QUANTUM-SI INCORPORATED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Each person whose signature appears below constitutes and appoints each of Jeffrey Hawkins and Claudia Drayton,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1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Act of 1933, as amended, this registration statement has been signed by the following persons in the capacities and on the date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20" w:type="dxa"/>
            <w:vAlign w:val="bottom"/>
          </w:tcPr>
          <w:p>
            <w:pPr>
              <w:spacing w:after="0"/>
              <w:rPr>
                <w:sz w:val="20"/>
                <w:szCs w:val="20"/>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3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9"/>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Hawkins</w:t>
            </w:r>
          </w:p>
        </w:tc>
        <w:tc>
          <w:tcPr>
            <w:tcW w:w="220" w:type="dxa"/>
            <w:vAlign w:val="bottom"/>
          </w:tcPr>
          <w:p>
            <w:pPr>
              <w:spacing w:after="0"/>
              <w:rPr>
                <w:sz w:val="24"/>
                <w:szCs w:val="24"/>
                <w:color w:val="auto"/>
              </w:rPr>
            </w:pPr>
          </w:p>
        </w:tc>
        <w:tc>
          <w:tcPr>
            <w:tcW w:w="43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2"/>
              </w:rPr>
              <w:t>Jeffrey Hawkins</w:t>
            </w:r>
          </w:p>
        </w:tc>
        <w:tc>
          <w:tcPr>
            <w:tcW w:w="220" w:type="dxa"/>
            <w:vAlign w:val="bottom"/>
          </w:tcPr>
          <w:p>
            <w:pPr>
              <w:spacing w:after="0"/>
              <w:rPr>
                <w:sz w:val="20"/>
                <w:szCs w:val="20"/>
                <w:color w:val="auto"/>
              </w:rPr>
            </w:pPr>
          </w:p>
        </w:tc>
        <w:tc>
          <w:tcPr>
            <w:tcW w:w="4380" w:type="dxa"/>
            <w:vAlign w:val="bottom"/>
            <w:gridSpan w:val="2"/>
          </w:tcPr>
          <w:p>
            <w:pPr>
              <w:jc w:val="center"/>
              <w:ind w:right="320"/>
              <w:spacing w:after="0" w:line="203" w:lineRule="exact"/>
              <w:rPr>
                <w:sz w:val="20"/>
                <w:szCs w:val="20"/>
                <w:color w:val="auto"/>
              </w:rPr>
            </w:pPr>
            <w:r>
              <w:rPr>
                <w:rFonts w:ascii="Arial" w:cs="Arial" w:eastAsia="Arial" w:hAnsi="Arial"/>
                <w:sz w:val="18"/>
                <w:szCs w:val="18"/>
                <w:color w:val="auto"/>
                <w:w w:val="94"/>
              </w:rPr>
              <w:t>(Principal Executive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Claudia Drayton</w:t>
            </w:r>
          </w:p>
        </w:tc>
        <w:tc>
          <w:tcPr>
            <w:tcW w:w="220" w:type="dxa"/>
            <w:vAlign w:val="bottom"/>
          </w:tcPr>
          <w:p>
            <w:pPr>
              <w:spacing w:after="0"/>
              <w:rPr>
                <w:sz w:val="24"/>
                <w:szCs w:val="24"/>
                <w:color w:val="auto"/>
              </w:rPr>
            </w:pPr>
          </w:p>
        </w:tc>
        <w:tc>
          <w:tcPr>
            <w:tcW w:w="4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Chief Financial Officer (Principal Financial and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2"/>
              </w:rPr>
              <w:t>Claudia Drayton</w:t>
            </w:r>
          </w:p>
        </w:tc>
        <w:tc>
          <w:tcPr>
            <w:tcW w:w="220" w:type="dxa"/>
            <w:vAlign w:val="bottom"/>
          </w:tcPr>
          <w:p>
            <w:pPr>
              <w:spacing w:after="0"/>
              <w:rPr>
                <w:sz w:val="20"/>
                <w:szCs w:val="20"/>
                <w:color w:val="auto"/>
              </w:rPr>
            </w:pPr>
          </w:p>
        </w:tc>
        <w:tc>
          <w:tcPr>
            <w:tcW w:w="4380" w:type="dxa"/>
            <w:vAlign w:val="bottom"/>
            <w:gridSpan w:val="2"/>
          </w:tcPr>
          <w:p>
            <w:pPr>
              <w:jc w:val="center"/>
              <w:ind w:right="320"/>
              <w:spacing w:after="0" w:line="203" w:lineRule="exact"/>
              <w:rPr>
                <w:sz w:val="20"/>
                <w:szCs w:val="20"/>
                <w:color w:val="auto"/>
              </w:rPr>
            </w:pPr>
            <w:r>
              <w:rPr>
                <w:rFonts w:ascii="Arial" w:cs="Arial" w:eastAsia="Arial" w:hAnsi="Arial"/>
                <w:sz w:val="18"/>
                <w:szCs w:val="18"/>
                <w:color w:val="auto"/>
                <w:w w:val="95"/>
              </w:rPr>
              <w:t>Accounting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Jonathan M. Rothberg, Ph.D.</w:t>
            </w:r>
          </w:p>
        </w:tc>
        <w:tc>
          <w:tcPr>
            <w:tcW w:w="220" w:type="dxa"/>
            <w:vAlign w:val="bottom"/>
          </w:tcPr>
          <w:p>
            <w:pPr>
              <w:spacing w:after="0"/>
              <w:rPr>
                <w:sz w:val="24"/>
                <w:szCs w:val="24"/>
                <w:color w:val="auto"/>
              </w:rPr>
            </w:pPr>
          </w:p>
        </w:tc>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Chairman</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0"/>
              </w:rPr>
              <w:t>Jonathan M. Rothberg, Ph.D.</w:t>
            </w:r>
          </w:p>
        </w:tc>
        <w:tc>
          <w:tcPr>
            <w:tcW w:w="22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Vikram Bajaj, Ph.D.</w:t>
            </w:r>
          </w:p>
        </w:tc>
        <w:tc>
          <w:tcPr>
            <w:tcW w:w="220" w:type="dxa"/>
            <w:vAlign w:val="bottom"/>
          </w:tcPr>
          <w:p>
            <w:pPr>
              <w:spacing w:after="0"/>
              <w:rPr>
                <w:sz w:val="24"/>
                <w:szCs w:val="24"/>
                <w:color w:val="auto"/>
              </w:rPr>
            </w:pPr>
          </w:p>
        </w:tc>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3"/>
              </w:rPr>
              <w:t>Vikram Bajaj, Ph.D.</w:t>
            </w:r>
          </w:p>
        </w:tc>
        <w:tc>
          <w:tcPr>
            <w:tcW w:w="22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Marijn Dekkers, Ph.D.</w:t>
            </w:r>
          </w:p>
        </w:tc>
        <w:tc>
          <w:tcPr>
            <w:tcW w:w="220" w:type="dxa"/>
            <w:vAlign w:val="bottom"/>
          </w:tcPr>
          <w:p>
            <w:pPr>
              <w:spacing w:after="0"/>
              <w:rPr>
                <w:sz w:val="24"/>
                <w:szCs w:val="24"/>
                <w:color w:val="auto"/>
              </w:rPr>
            </w:pPr>
          </w:p>
        </w:tc>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3"/>
              </w:rPr>
              <w:t>Marijn Dekkers, Ph.D.</w:t>
            </w:r>
          </w:p>
        </w:tc>
        <w:tc>
          <w:tcPr>
            <w:tcW w:w="22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Ruth Fattori</w:t>
            </w:r>
          </w:p>
        </w:tc>
        <w:tc>
          <w:tcPr>
            <w:tcW w:w="220" w:type="dxa"/>
            <w:vAlign w:val="bottom"/>
          </w:tcPr>
          <w:p>
            <w:pPr>
              <w:spacing w:after="0"/>
              <w:rPr>
                <w:sz w:val="24"/>
                <w:szCs w:val="24"/>
                <w:color w:val="auto"/>
              </w:rPr>
            </w:pPr>
          </w:p>
        </w:tc>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3"/>
              </w:rPr>
              <w:t>Ruth Fattori</w:t>
            </w:r>
          </w:p>
        </w:tc>
        <w:tc>
          <w:tcPr>
            <w:tcW w:w="22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Brigid A. Makes</w:t>
            </w:r>
          </w:p>
        </w:tc>
        <w:tc>
          <w:tcPr>
            <w:tcW w:w="220" w:type="dxa"/>
            <w:vAlign w:val="bottom"/>
          </w:tcPr>
          <w:p>
            <w:pPr>
              <w:spacing w:after="0"/>
              <w:rPr>
                <w:sz w:val="24"/>
                <w:szCs w:val="24"/>
                <w:color w:val="auto"/>
              </w:rPr>
            </w:pPr>
          </w:p>
        </w:tc>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5"/>
              </w:rPr>
              <w:t>Brigid A. Makes</w:t>
            </w:r>
          </w:p>
        </w:tc>
        <w:tc>
          <w:tcPr>
            <w:tcW w:w="22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Mina, M.D., Ph.D.</w:t>
            </w:r>
          </w:p>
        </w:tc>
        <w:tc>
          <w:tcPr>
            <w:tcW w:w="220" w:type="dxa"/>
            <w:vAlign w:val="bottom"/>
          </w:tcPr>
          <w:p>
            <w:pPr>
              <w:spacing w:after="0"/>
              <w:rPr>
                <w:sz w:val="24"/>
                <w:szCs w:val="24"/>
                <w:color w:val="auto"/>
              </w:rPr>
            </w:pPr>
          </w:p>
        </w:tc>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5"/>
              </w:rPr>
              <w:t>Michael Mina, M.D., Ph.D.</w:t>
            </w:r>
          </w:p>
        </w:tc>
        <w:tc>
          <w:tcPr>
            <w:tcW w:w="22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Rakin</w:t>
            </w:r>
          </w:p>
        </w:tc>
        <w:tc>
          <w:tcPr>
            <w:tcW w:w="220" w:type="dxa"/>
            <w:vAlign w:val="bottom"/>
          </w:tcPr>
          <w:p>
            <w:pPr>
              <w:spacing w:after="0"/>
              <w:rPr>
                <w:sz w:val="24"/>
                <w:szCs w:val="24"/>
                <w:color w:val="auto"/>
              </w:rPr>
            </w:pPr>
          </w:p>
        </w:tc>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2023</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5"/>
              </w:rPr>
              <w:t>Kevin Rakin</w:t>
            </w:r>
          </w:p>
        </w:tc>
        <w:tc>
          <w:tcPr>
            <w:tcW w:w="22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7"/>
        </w:trPr>
        <w:tc>
          <w:tcPr>
            <w:tcW w:w="4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-121920</wp:posOffset>
            </wp:positionV>
            <wp:extent cx="1045845" cy="1036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45845" cy="10369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617 542 6000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March 16, 2023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Quantum-Si Incorporated</w:t>
      </w:r>
    </w:p>
    <w:p>
      <w:pPr>
        <w:spacing w:after="0" w:line="238" w:lineRule="auto"/>
        <w:rPr>
          <w:sz w:val="20"/>
          <w:szCs w:val="20"/>
          <w:color w:val="auto"/>
        </w:rPr>
      </w:pPr>
      <w:r>
        <w:rPr>
          <w:rFonts w:ascii="Arial" w:cs="Arial" w:eastAsia="Arial" w:hAnsi="Arial"/>
          <w:sz w:val="22"/>
          <w:szCs w:val="22"/>
          <w:color w:val="auto"/>
        </w:rPr>
        <w:t>530 Old Whitfield Street</w:t>
      </w:r>
    </w:p>
    <w:p>
      <w:pPr>
        <w:spacing w:after="0"/>
        <w:rPr>
          <w:sz w:val="20"/>
          <w:szCs w:val="20"/>
          <w:color w:val="auto"/>
        </w:rPr>
      </w:pPr>
      <w:r>
        <w:rPr>
          <w:rFonts w:ascii="Arial" w:cs="Arial" w:eastAsia="Arial" w:hAnsi="Arial"/>
          <w:sz w:val="22"/>
          <w:szCs w:val="22"/>
          <w:color w:val="auto"/>
        </w:rPr>
        <w:t>Guilford, CT 06437</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We have acted as legal counsel to Quantum-Si Incorporated,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5,597,770 shares (the “Shares”) of the Company’s Class A common stock, par value $0.0001 per share, that may be issued pursuant to the Company’s 2021 Equity Incentive Plan (the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connection with this opinion, we have examined the Company’s Second Amended and Restated Certificate of Incorporation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Plan.</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Based upon the foregoing, we are of the opinion that the Shares, when issued and delivered in accordance with the terms of the Plan,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8" w:lineRule="exact"/>
        <w:rPr>
          <w:sz w:val="20"/>
          <w:szCs w:val="20"/>
          <w:color w:val="auto"/>
        </w:rPr>
      </w:pPr>
    </w:p>
    <w:p>
      <w:pPr>
        <w:jc w:val="center"/>
        <w:ind w:left="340" w:right="1080"/>
        <w:spacing w:after="0" w:line="418" w:lineRule="auto"/>
        <w:rPr>
          <w:sz w:val="20"/>
          <w:szCs w:val="20"/>
          <w:color w:val="auto"/>
        </w:rPr>
      </w:pPr>
      <w:r>
        <w:rPr>
          <w:rFonts w:ascii="Arial" w:cs="Arial" w:eastAsia="Arial" w:hAnsi="Arial"/>
          <w:sz w:val="18"/>
          <w:szCs w:val="18"/>
          <w:color w:val="auto"/>
        </w:rPr>
        <w:t>BOSTON    LONDON    LOS ANGELES    NEW YORK    SAN DIEGO    SAN FRANCISCO   WASHINGTON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-119380</wp:posOffset>
            </wp:positionV>
            <wp:extent cx="54864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Mintz, Levin, Cohn, Ferris, Glovsky and Popeo, P.C.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We consent to the incorporation by reference in this Registration Statement on Form S-8 of our report dated March 16, 2023, relating to the financial statements of Quantum-Si Incorporated, appearing in the Annual Report on Form 10-K of Quantum-Si Incorporated for the year ended December 31, 2022.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Calculation of Filing Fee Tables</w:t>
      </w:r>
    </w:p>
    <w:p>
      <w:pPr>
        <w:spacing w:after="0" w:line="23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Form S-8</w:t>
      </w:r>
    </w:p>
    <w:p>
      <w:pPr>
        <w:spacing w:after="0" w:line="14"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(Form Type)</w:t>
      </w:r>
    </w:p>
    <w:p>
      <w:pPr>
        <w:spacing w:after="0" w:line="209"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Quantum-Si Incorporated</w:t>
      </w:r>
    </w:p>
    <w:p>
      <w:pPr>
        <w:spacing w:after="0" w:line="14"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(Exact Name of Registrant as Specified in its Charter)</w:t>
      </w:r>
    </w:p>
    <w:p>
      <w:pPr>
        <w:spacing w:after="0" w:line="21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Table 1: Newly Registered Securities</w:t>
      </w:r>
    </w:p>
    <w:p>
      <w:pPr>
        <w:spacing w:after="0" w:line="234" w:lineRule="exact"/>
        <w:rPr>
          <w:sz w:val="20"/>
          <w:szCs w:val="20"/>
          <w:color w:val="auto"/>
        </w:rPr>
      </w:pPr>
    </w:p>
    <w:tbl>
      <w:tblPr>
        <w:tblLayout w:type="fixed"/>
        <w:tblInd w:w="590" w:type="dxa"/>
        <w:tblCellMar>
          <w:top w:w="0" w:type="dxa"/>
          <w:left w:w="0" w:type="dxa"/>
          <w:bottom w:w="0" w:type="dxa"/>
          <w:right w:w="0" w:type="dxa"/>
        </w:tblCellMar>
      </w:tblPr>
      <w:tr>
        <w:trPr>
          <w:trHeight w:val="256"/>
        </w:trPr>
        <w:tc>
          <w:tcPr>
            <w:tcW w:w="960" w:type="dxa"/>
            <w:vAlign w:val="bottom"/>
            <w:tcBorders>
              <w:top w:val="single" w:sz="8" w:color="auto"/>
              <w:left w:val="single" w:sz="8" w:color="auto"/>
              <w:right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1480" w:type="dxa"/>
            <w:vAlign w:val="bottom"/>
            <w:tcBorders>
              <w:top w:val="single" w:sz="8" w:color="auto"/>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Proposed</w:t>
            </w:r>
          </w:p>
        </w:tc>
        <w:tc>
          <w:tcPr>
            <w:tcW w:w="16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Maximum</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16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2"/>
              </w:rPr>
              <w:t>Security</w:t>
            </w: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c>
          <w:tcPr>
            <w:tcW w:w="10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Aggregate</w:t>
            </w:r>
          </w:p>
        </w:tc>
        <w:tc>
          <w:tcPr>
            <w:tcW w:w="16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Security</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88"/>
              </w:rPr>
              <w:t>Class</w:t>
            </w: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Calculation</w:t>
            </w:r>
          </w:p>
        </w:tc>
        <w:tc>
          <w:tcPr>
            <w:tcW w:w="10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Amount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Price Per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Registration</w:t>
            </w:r>
          </w:p>
        </w:tc>
        <w:tc>
          <w:tcPr>
            <w:tcW w:w="0" w:type="dxa"/>
            <w:vAlign w:val="bottom"/>
          </w:tcPr>
          <w:p>
            <w:pPr>
              <w:spacing w:after="0"/>
              <w:rPr>
                <w:sz w:val="1"/>
                <w:szCs w:val="1"/>
                <w:color w:val="auto"/>
              </w:rPr>
            </w:pPr>
          </w:p>
        </w:tc>
      </w:tr>
      <w:tr>
        <w:trPr>
          <w:trHeight w:val="230"/>
        </w:trPr>
        <w:tc>
          <w:tcPr>
            <w:tcW w:w="9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Type</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3"/>
              </w:rPr>
              <w:t>Title</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Registered(1)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Unit(2)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c>
          <w:tcPr>
            <w:tcW w:w="0" w:type="dxa"/>
            <w:vAlign w:val="bottom"/>
          </w:tcPr>
          <w:p>
            <w:pPr>
              <w:spacing w:after="0"/>
              <w:rPr>
                <w:sz w:val="1"/>
                <w:szCs w:val="1"/>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960" w:type="dxa"/>
            <w:vAlign w:val="bottom"/>
            <w:tcBorders>
              <w:left w:val="single" w:sz="8" w:color="auto"/>
              <w:right w:val="single" w:sz="8" w:color="auto"/>
            </w:tcBorders>
          </w:tcPr>
          <w:p>
            <w:pPr>
              <w:spacing w:after="0"/>
              <w:rPr>
                <w:sz w:val="19"/>
                <w:szCs w:val="19"/>
                <w:color w:val="auto"/>
              </w:rPr>
            </w:pP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0"/>
              </w:rPr>
              <w:t>Class A</w:t>
            </w:r>
          </w:p>
        </w:tc>
        <w:tc>
          <w:tcPr>
            <w:tcW w:w="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2"/>
              </w:rPr>
              <w:t>common</w:t>
            </w: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89"/>
              </w:rPr>
              <w:t>stock,</w:t>
            </w: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Equity</w:t>
            </w: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2"/>
              </w:rPr>
              <w:t>par</w:t>
            </w: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457(c) and 457(h)</w:t>
            </w:r>
          </w:p>
        </w:tc>
        <w:tc>
          <w:tcPr>
            <w:tcW w:w="106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5,597,770</w:t>
            </w:r>
          </w:p>
        </w:tc>
        <w:tc>
          <w:tcPr>
            <w:tcW w:w="9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rPr>
              <w:t>$1.66</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$9,292,298.20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$0.00011020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$1,024.02</w:t>
            </w:r>
          </w:p>
        </w:tc>
        <w:tc>
          <w:tcPr>
            <w:tcW w:w="0" w:type="dxa"/>
            <w:vAlign w:val="bottom"/>
          </w:tcPr>
          <w:p>
            <w:pPr>
              <w:spacing w:after="0"/>
              <w:rPr>
                <w:sz w:val="1"/>
                <w:szCs w:val="1"/>
                <w:color w:val="auto"/>
              </w:rPr>
            </w:pPr>
          </w:p>
        </w:tc>
      </w:tr>
      <w:tr>
        <w:trPr>
          <w:trHeight w:val="122"/>
        </w:trPr>
        <w:tc>
          <w:tcPr>
            <w:tcW w:w="960" w:type="dxa"/>
            <w:vAlign w:val="bottom"/>
            <w:tcBorders>
              <w:left w:val="single" w:sz="8" w:color="auto"/>
              <w:right w:val="single" w:sz="8" w:color="auto"/>
            </w:tcBorders>
            <w:vMerge w:val="continue"/>
          </w:tcPr>
          <w:p>
            <w:pPr>
              <w:spacing w:after="0"/>
              <w:rPr>
                <w:sz w:val="10"/>
                <w:szCs w:val="10"/>
                <w:color w:val="auto"/>
              </w:rPr>
            </w:pPr>
          </w:p>
        </w:tc>
        <w:tc>
          <w:tcPr>
            <w:tcW w:w="840" w:type="dxa"/>
            <w:vAlign w:val="bottom"/>
            <w:vMerge w:val="restart"/>
          </w:tcPr>
          <w:p>
            <w:pPr>
              <w:jc w:val="center"/>
              <w:ind w:left="110"/>
              <w:spacing w:after="0"/>
              <w:rPr>
                <w:sz w:val="20"/>
                <w:szCs w:val="20"/>
                <w:color w:val="auto"/>
              </w:rPr>
            </w:pPr>
            <w:r>
              <w:rPr>
                <w:rFonts w:ascii="Arial" w:cs="Arial" w:eastAsia="Arial" w:hAnsi="Arial"/>
                <w:sz w:val="18"/>
                <w:szCs w:val="18"/>
                <w:color w:val="auto"/>
                <w:w w:val="92"/>
              </w:rPr>
              <w:t>value</w:t>
            </w:r>
          </w:p>
        </w:tc>
        <w:tc>
          <w:tcPr>
            <w:tcW w:w="2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60" w:type="dxa"/>
            <w:vAlign w:val="bottom"/>
            <w:tcBorders>
              <w:left w:val="single" w:sz="8" w:color="auto"/>
              <w:right w:val="single" w:sz="8" w:color="auto"/>
            </w:tcBorders>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2"/>
              </w:rPr>
              <w:t>$0.0001</w:t>
            </w: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92"/>
              </w:rPr>
              <w:t>per</w:t>
            </w:r>
          </w:p>
        </w:tc>
        <w:tc>
          <w:tcPr>
            <w:tcW w:w="2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840" w:type="dxa"/>
            <w:vAlign w:val="bottom"/>
          </w:tcPr>
          <w:p>
            <w:pPr>
              <w:jc w:val="center"/>
              <w:ind w:left="110"/>
              <w:spacing w:after="0"/>
              <w:rPr>
                <w:sz w:val="20"/>
                <w:szCs w:val="20"/>
                <w:color w:val="auto"/>
              </w:rPr>
            </w:pPr>
            <w:r>
              <w:rPr>
                <w:rFonts w:ascii="Arial" w:cs="Arial" w:eastAsia="Arial" w:hAnsi="Arial"/>
                <w:sz w:val="18"/>
                <w:szCs w:val="18"/>
                <w:color w:val="auto"/>
                <w:w w:val="79"/>
              </w:rPr>
              <w:t>share</w:t>
            </w:r>
          </w:p>
        </w:tc>
        <w:tc>
          <w:tcPr>
            <w:tcW w:w="2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gridSpan w:val="2"/>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0" w:type="dxa"/>
            <w:vAlign w:val="bottom"/>
            <w:tcBorders>
              <w:left w:val="single" w:sz="8" w:color="auto"/>
            </w:tcBorders>
          </w:tcPr>
          <w:p>
            <w:pPr>
              <w:spacing w:after="0"/>
              <w:rPr>
                <w:sz w:val="21"/>
                <w:szCs w:val="21"/>
                <w:color w:val="auto"/>
              </w:rPr>
            </w:pPr>
          </w:p>
        </w:tc>
        <w:tc>
          <w:tcPr>
            <w:tcW w:w="25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Total Offering Amounts</w:t>
            </w:r>
          </w:p>
        </w:tc>
        <w:tc>
          <w:tcPr>
            <w:tcW w:w="10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$9,292,298.20</w:t>
            </w:r>
          </w:p>
        </w:tc>
        <w:tc>
          <w:tcPr>
            <w:tcW w:w="16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$1,024.02</w:t>
            </w:r>
          </w:p>
        </w:tc>
        <w:tc>
          <w:tcPr>
            <w:tcW w:w="0" w:type="dxa"/>
            <w:vAlign w:val="bottom"/>
          </w:tcPr>
          <w:p>
            <w:pPr>
              <w:spacing w:after="0"/>
              <w:rPr>
                <w:sz w:val="1"/>
                <w:szCs w:val="1"/>
                <w:color w:val="auto"/>
              </w:rPr>
            </w:pPr>
          </w:p>
        </w:tc>
      </w:tr>
      <w:tr>
        <w:trPr>
          <w:trHeight w:val="34"/>
        </w:trPr>
        <w:tc>
          <w:tcPr>
            <w:tcW w:w="96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0" w:type="dxa"/>
            <w:vAlign w:val="bottom"/>
            <w:tcBorders>
              <w:left w:val="single" w:sz="8" w:color="auto"/>
            </w:tcBorders>
          </w:tcPr>
          <w:p>
            <w:pPr>
              <w:spacing w:after="0"/>
              <w:rPr>
                <w:sz w:val="21"/>
                <w:szCs w:val="21"/>
                <w:color w:val="auto"/>
              </w:rPr>
            </w:pPr>
          </w:p>
        </w:tc>
        <w:tc>
          <w:tcPr>
            <w:tcW w:w="254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Total Fees Previously Paid</w:t>
            </w:r>
          </w:p>
        </w:tc>
        <w:tc>
          <w:tcPr>
            <w:tcW w:w="10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4"/>
        </w:trPr>
        <w:tc>
          <w:tcPr>
            <w:tcW w:w="96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0" w:type="dxa"/>
            <w:vAlign w:val="bottom"/>
            <w:tcBorders>
              <w:left w:val="single" w:sz="8" w:color="auto"/>
            </w:tcBorders>
          </w:tcPr>
          <w:p>
            <w:pPr>
              <w:spacing w:after="0"/>
              <w:rPr>
                <w:sz w:val="21"/>
                <w:szCs w:val="21"/>
                <w:color w:val="auto"/>
              </w:rPr>
            </w:pPr>
          </w:p>
        </w:tc>
        <w:tc>
          <w:tcPr>
            <w:tcW w:w="254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Total Fee Offsets</w:t>
            </w:r>
          </w:p>
        </w:tc>
        <w:tc>
          <w:tcPr>
            <w:tcW w:w="10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4"/>
        </w:trPr>
        <w:tc>
          <w:tcPr>
            <w:tcW w:w="9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700" w:type="dxa"/>
            <w:vAlign w:val="bottom"/>
            <w:gridSpan w:val="2"/>
          </w:tcPr>
          <w:p>
            <w:pPr>
              <w:jc w:val="center"/>
              <w:ind w:right="650"/>
              <w:spacing w:after="0"/>
              <w:rPr>
                <w:sz w:val="20"/>
                <w:szCs w:val="20"/>
                <w:color w:val="auto"/>
              </w:rPr>
            </w:pPr>
            <w:r>
              <w:rPr>
                <w:rFonts w:ascii="Arial" w:cs="Arial" w:eastAsia="Arial" w:hAnsi="Arial"/>
                <w:sz w:val="18"/>
                <w:szCs w:val="18"/>
                <w:color w:val="auto"/>
                <w:w w:val="90"/>
              </w:rPr>
              <w:t>Net Fee Due</w:t>
            </w:r>
          </w:p>
        </w:tc>
        <w:tc>
          <w:tcPr>
            <w:tcW w:w="10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$1,024.02</w:t>
            </w:r>
          </w:p>
        </w:tc>
        <w:tc>
          <w:tcPr>
            <w:tcW w:w="0" w:type="dxa"/>
            <w:vAlign w:val="bottom"/>
          </w:tcPr>
          <w:p>
            <w:pPr>
              <w:spacing w:after="0"/>
              <w:rPr>
                <w:sz w:val="1"/>
                <w:szCs w:val="1"/>
                <w:color w:val="auto"/>
              </w:rPr>
            </w:pPr>
          </w:p>
        </w:tc>
      </w:tr>
      <w:tr>
        <w:trPr>
          <w:trHeight w:val="34"/>
        </w:trPr>
        <w:tc>
          <w:tcPr>
            <w:tcW w:w="96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652"/>
        <w:spacing w:after="0" w:line="29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number of shares of Class A common stock, par value $0.0001 per share (“Class A common stock”), of Quantum-Si Incorporated (the “Registrant”) stated above consists of additional shares of Class A common stock available for issuance under the Quantum-Si Incorporated 2021 Equity Incentive Plan (the “2021 Plan”), by operation of the 2021 Plan’s “evergreen” provision. The maximum number of shares which may be sold upon the exercise of options or issuance of stock-based awards granted under the 2021 Plan is subject to adjustment in accordance with certain anti-dilution and other provisions of the 2021 Plan. Accordingly, pursuant to Rule 416 under the Securities Act of 1933, as amended (the “Securities Act”), this registration statement covers, in addition to the number of shares stated above, an indeterminate number of shares which may be subject to grant or otherwise issuable after the operation of any such anti-dilution and other provisions.</w:t>
      </w:r>
    </w:p>
    <w:p>
      <w:pPr>
        <w:spacing w:after="0" w:line="193" w:lineRule="exact"/>
        <w:rPr>
          <w:rFonts w:ascii="Arial" w:cs="Arial" w:eastAsia="Arial" w:hAnsi="Arial"/>
          <w:sz w:val="16"/>
          <w:szCs w:val="16"/>
          <w:color w:val="auto"/>
        </w:rPr>
      </w:pPr>
    </w:p>
    <w:p>
      <w:pPr>
        <w:jc w:val="both"/>
        <w:ind w:left="660" w:hanging="652"/>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amount of the registration fee pursuant to Rule 457(c) and Rule 457(h) promulgated under the Securities Act. The offering price per share and the aggregate offering price for shares reserved for future grant or issuance under the 2021 Plan are based on the average of the high and the low price of Registrant’s Class A common stock as reported on The Nasdaq Global Market as of a date (March 13, 2023)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e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17" Type="http://schemas.openxmlformats.org/officeDocument/2006/relationships/hyperlink" Target="https://www.sec.gov/Archives/edgar/data/1816431/000110465921081560/tm2118908d1_ex3-1.htm" TargetMode="External"/><Relationship Id="rId18" Type="http://schemas.openxmlformats.org/officeDocument/2006/relationships/hyperlink" Target="https://www.sec.gov/Archives/edgar/data/1816431/000114036122007334/brhc10034564_ex3-2.htm" TargetMode="External"/><Relationship Id="rId19" Type="http://schemas.openxmlformats.org/officeDocument/2006/relationships/hyperlink" Target="https://www.sec.gov/Archives/edgar/data/1816431/000110465921064151/tm217673d12_ex4-1.htm" TargetMode="External"/><Relationship Id="rId20" Type="http://schemas.openxmlformats.org/officeDocument/2006/relationships/hyperlink" Target="https://www.sec.gov/Archives/edgar/data/1816431/000110465920103448/tm2030387d1_ex4-1.htm" TargetMode="External"/><Relationship Id="rId21" Type="http://schemas.openxmlformats.org/officeDocument/2006/relationships/hyperlink" Target="https://www.sec.gov/Archives/edgar/data/1816431/000110465921081560/tm2118908d1_ex10-13d1.htm" TargetMode="External"/><Relationship Id="rId22" Type="http://schemas.openxmlformats.org/officeDocument/2006/relationships/hyperlink" Target="https://www.sec.gov/Archives/edgar/data/1816431/000110465921081560/tm2118908d1_ex10-13d2.htm" TargetMode="External"/><Relationship Id="rId23" Type="http://schemas.openxmlformats.org/officeDocument/2006/relationships/hyperlink" Target="https://www.sec.gov/Archives/edgar/data/1816431/000114036121030266/brhc10028486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2023-03-17T05:22:46Z</dcterms:created>
  <dcterms:modified xsi:type="dcterms:W3CDTF">2023-03-17T05:22:46Z</dcterms:modified>
</cp:coreProperties>
</file>