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57"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57"/>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29 Business Park Drive</w:t>
            </w:r>
          </w:p>
        </w:tc>
        <w:tc>
          <w:tcPr>
            <w:tcW w:w="3720" w:type="dxa"/>
            <w:vAlign w:val="bottom"/>
          </w:tcPr>
          <w:p>
            <w:pPr>
              <w:spacing w:after="0"/>
              <w:rPr>
                <w:sz w:val="24"/>
                <w:szCs w:val="24"/>
                <w:color w:val="auto"/>
              </w:rPr>
            </w:pPr>
          </w:p>
        </w:tc>
      </w:tr>
      <w:tr>
        <w:trPr>
          <w:trHeight w:val="257"/>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Branford, Connecticut</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06405</w:t>
            </w:r>
          </w:p>
        </w:tc>
      </w:tr>
      <w:tr>
        <w:trPr>
          <w:trHeight w:val="25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688-7374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tcPr>
          <w:p>
            <w:pPr>
              <w:spacing w:after="0"/>
              <w:rPr>
                <w:sz w:val="18"/>
                <w:szCs w:val="18"/>
                <w:color w:val="auto"/>
              </w:rPr>
            </w:pPr>
          </w:p>
        </w:tc>
      </w:tr>
      <w:tr>
        <w:trPr>
          <w:trHeight w:val="272"/>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3"/>
                <w:szCs w:val="23"/>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common stock, $0.0001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QSI</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5"/>
        </w:trPr>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QSIAW</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 of Class A common stock, each at an exercise price of</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4"/>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$11.50 per share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24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40"/>
              <w:spacing w:after="0"/>
              <w:rPr>
                <w:sz w:val="20"/>
                <w:szCs w:val="20"/>
                <w:color w:val="auto"/>
              </w:rPr>
            </w:pPr>
            <w:r>
              <w:rPr>
                <w:rFonts w:ascii="Wingdings" w:cs="Wingdings" w:eastAsia="Wingdings" w:hAnsi="Wingdings"/>
                <w:sz w:val="22"/>
                <w:szCs w:val="22"/>
                <w:b w:val="1"/>
                <w:bCs w:val="1"/>
                <w:color w:val="auto"/>
              </w:rPr>
              <w:t>o</w:t>
            </w:r>
          </w:p>
        </w:tc>
        <w:tc>
          <w:tcPr>
            <w:tcW w:w="3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1160" w:type="dxa"/>
            <w:vAlign w:val="bottom"/>
          </w:tcPr>
          <w:p>
            <w:pPr>
              <w:ind w:left="980"/>
              <w:spacing w:after="0"/>
              <w:rPr>
                <w:sz w:val="20"/>
                <w:szCs w:val="20"/>
                <w:color w:val="auto"/>
              </w:rPr>
            </w:pPr>
            <w:r>
              <w:rPr>
                <w:rFonts w:ascii="Wingdings" w:cs="Wingdings" w:eastAsia="Wingdings" w:hAnsi="Wingdings"/>
                <w:sz w:val="22"/>
                <w:szCs w:val="22"/>
                <w:b w:val="1"/>
                <w:bCs w:val="1"/>
                <w:color w:val="auto"/>
                <w:w w:val="81"/>
              </w:rPr>
              <w:t>o</w:t>
            </w:r>
          </w:p>
        </w:tc>
      </w:tr>
      <w:tr>
        <w:trPr>
          <w:trHeight w:val="35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40"/>
              <w:spacing w:after="0" w:line="221" w:lineRule="exact"/>
              <w:rPr>
                <w:sz w:val="20"/>
                <w:szCs w:val="20"/>
                <w:color w:val="auto"/>
              </w:rPr>
            </w:pPr>
            <w:r>
              <w:rPr>
                <w:rFonts w:ascii="MS PGothic" w:cs="MS PGothic" w:eastAsia="MS PGothic" w:hAnsi="MS PGothic"/>
                <w:sz w:val="22"/>
                <w:szCs w:val="22"/>
                <w:color w:val="auto"/>
              </w:rPr>
              <w:t>☒</w:t>
            </w:r>
          </w:p>
        </w:tc>
        <w:tc>
          <w:tcPr>
            <w:tcW w:w="3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60" w:type="dxa"/>
            <w:vAlign w:val="bottom"/>
          </w:tcPr>
          <w:p>
            <w:pPr>
              <w:ind w:left="9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51"/>
        </w:trPr>
        <w:tc>
          <w:tcPr>
            <w:tcW w:w="2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60" w:type="dxa"/>
            <w:vAlign w:val="bottom"/>
          </w:tcPr>
          <w:p>
            <w:pPr>
              <w:ind w:left="980"/>
              <w:spacing w:after="0"/>
              <w:rPr>
                <w:sz w:val="20"/>
                <w:szCs w:val="20"/>
                <w:color w:val="auto"/>
              </w:rPr>
            </w:pPr>
            <w:r>
              <w:rPr>
                <w:rFonts w:ascii="Wingdings" w:cs="Wingdings" w:eastAsia="Wingdings" w:hAnsi="Wingdings"/>
                <w:sz w:val="22"/>
                <w:szCs w:val="22"/>
                <w:b w:val="1"/>
                <w:bCs w:val="1"/>
                <w:color w:val="auto"/>
                <w:w w:val="81"/>
              </w:rPr>
              <w:t>o</w:t>
            </w:r>
          </w:p>
        </w:tc>
      </w:tr>
    </w:tbl>
    <w:p>
      <w:pPr>
        <w:sectPr>
          <w:pgSz w:w="11900" w:h="16838" w:orient="portrait"/>
          <w:cols w:equalWidth="0" w:num="1">
            <w:col w:w="11240"/>
          </w:cols>
          <w:pgMar w:left="320" w:top="1407" w:right="339" w:bottom="65"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9"/>
          <w:szCs w:val="19"/>
          <w:b w:val="1"/>
          <w:bCs w:val="1"/>
          <w:color w:val="auto"/>
        </w:rPr>
        <w:t>o</w:t>
      </w:r>
    </w:p>
    <w:p>
      <w:pPr>
        <w:spacing w:after="0" w:line="12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May 4, 2026, the registrant had 197,822,663 shares of Class A common stock outstanding and 19,937,500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180" w:type="dxa"/>
            <w:vAlign w:val="bottom"/>
            <w:gridSpan w:val="20"/>
            <w:vMerge w:val="continue"/>
          </w:tcPr>
          <w:p>
            <w:pPr>
              <w:spacing w:after="0"/>
              <w:rPr>
                <w:sz w:val="14"/>
                <w:szCs w:val="14"/>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9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04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 (unaudited)</w:t>
            </w:r>
          </w:p>
        </w:tc>
        <w:tc>
          <w:tcPr>
            <w:tcW w:w="1980" w:type="dxa"/>
            <w:vAlign w:val="bottom"/>
            <w:gridSpan w:val="4"/>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2026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2025 (unaudited)</w:t>
            </w:r>
          </w:p>
        </w:tc>
        <w:tc>
          <w:tcPr>
            <w:tcW w:w="7740" w:type="dxa"/>
            <w:vAlign w:val="bottom"/>
            <w:tcBorders>
              <w:top w:val="single" w:sz="8" w:color="0000FF"/>
            </w:tcBorders>
            <w:gridSpan w:val="14"/>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 2025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 (unaudited)</w:t>
            </w:r>
          </w:p>
        </w:tc>
        <w:tc>
          <w:tcPr>
            <w:tcW w:w="720" w:type="dxa"/>
            <w:vAlign w:val="bottom"/>
            <w:gridSpan w:val="3"/>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7"/>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4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2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18"/>
                <w:szCs w:val="18"/>
                <w:color w:val="auto"/>
              </w:rPr>
            </w:pPr>
          </w:p>
        </w:tc>
        <w:tc>
          <w:tcPr>
            <w:tcW w:w="768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40" w:type="dxa"/>
            <w:vAlign w:val="bottom"/>
            <w:gridSpan w:val="8"/>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60" w:type="dxa"/>
            <w:vAlign w:val="bottom"/>
            <w:gridSpan w:val="10"/>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420" w:type="dxa"/>
            <w:vAlign w:val="bottom"/>
            <w:gridSpan w:val="11"/>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the “Company” or “Quantum-Si” mean Quantum-Si Incorporated and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Incorporated was incorporated in Delaware on June 10, 2020.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and subject to the safe harbor created by the Private Securities Litigation Reform Act of 1995,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Quarterly Report on Form 10-Q include, but are not limited to, statements about:</w:t>
      </w:r>
    </w:p>
    <w:p>
      <w:pPr>
        <w:spacing w:after="0" w:line="88" w:lineRule="exact"/>
        <w:rPr>
          <w:sz w:val="20"/>
          <w:szCs w:val="20"/>
          <w:color w:val="auto"/>
        </w:rPr>
      </w:pPr>
    </w:p>
    <w:p>
      <w:pPr>
        <w:jc w:val="both"/>
        <w:ind w:left="660" w:right="540" w:hanging="328"/>
        <w:spacing w:after="0" w:line="25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Proteus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platform (“Proteus”), which is anticipated to be commercially available by the end of 2026, with an expectation of customer-focused applications and capabilities. If Proteus is not launched within our communicated time frame, or is delivered without the customer-focused applications and capabilities, it could materially impact any potential of long-term financial success and our market credibility;</w:t>
      </w:r>
    </w:p>
    <w:p>
      <w:pPr>
        <w:spacing w:after="0" w:line="28" w:lineRule="exact"/>
        <w:rPr>
          <w:rFonts w:ascii="Times New Roman" w:cs="Times New Roman" w:eastAsia="Times New Roman" w:hAnsi="Times New Roman"/>
          <w:sz w:val="17"/>
          <w:szCs w:val="17"/>
          <w:color w:val="auto"/>
        </w:rPr>
      </w:pPr>
    </w:p>
    <w:p>
      <w:pPr>
        <w:ind w:left="660" w:right="2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launch of new products may slow or delay customer purchasing decisions for existing instruments and/or consumables and the potential adverse impact to revenue in anticipation of superior technology that is pending launch;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conflicts, pandemics or epidemics on our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conditions in the global economy and in the global financial markets, including changes in inflation, interest rates, tariffs, retaliatory trade policies including limitations of shipments of products, and overall economic conditions and uncertainties;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listing of our Class A common stock on The Nasdaq Stock Market LLC;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and commercialization activities;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2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including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 of instruments and our consumable kits, and the success of any product we may offer in the future;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lease, license, manufacture and supply agreements;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spacing w:after="0" w:line="1" w:lineRule="exact"/>
        <w:rPr>
          <w:rFonts w:ascii="Times New Roman" w:cs="Times New Roman" w:eastAsia="Times New Roman" w:hAnsi="Times New Roman"/>
          <w:sz w:val="18"/>
          <w:szCs w:val="18"/>
          <w:color w:val="auto"/>
        </w:rPr>
      </w:pPr>
    </w:p>
    <w:p>
      <w:pPr>
        <w:ind w:left="660" w:right="44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 once commercialized, either alone or in partnership with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future revenue, capital requirements and needs for additional financing;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such as those described in Part I, Item 1A, “Risk Factors” of our Annual Report on Form 10-K for the fiscal year ended December 31, 2025,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21,639</w:t>
            </w:r>
          </w:p>
        </w:tc>
        <w:tc>
          <w:tcPr>
            <w:tcW w:w="0" w:type="dxa"/>
            <w:vAlign w:val="bottom"/>
          </w:tcPr>
          <w:p>
            <w:pPr>
              <w:spacing w:after="0"/>
              <w:rPr>
                <w:sz w:val="1"/>
                <w:szCs w:val="1"/>
                <w:color w:val="auto"/>
              </w:rPr>
            </w:pPr>
          </w:p>
        </w:tc>
      </w:tr>
      <w:tr>
        <w:trPr>
          <w:trHeight w:val="210"/>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141,271</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of $270 and $270,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0"/>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Legal settlement insurance receivable</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0" w:type="dxa"/>
            <w:vAlign w:val="bottom"/>
          </w:tcPr>
          <w:p>
            <w:pPr>
              <w:spacing w:after="0"/>
              <w:rPr>
                <w:sz w:val="1"/>
                <w:szCs w:val="1"/>
                <w:color w:val="auto"/>
              </w:rPr>
            </w:pPr>
          </w:p>
        </w:tc>
      </w:tr>
      <w:tr>
        <w:trPr>
          <w:trHeight w:val="210"/>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0" w:type="dxa"/>
            <w:vAlign w:val="bottom"/>
          </w:tcPr>
          <w:p>
            <w:pPr>
              <w:spacing w:after="0"/>
              <w:rPr>
                <w:sz w:val="1"/>
                <w:szCs w:val="1"/>
                <w:color w:val="auto"/>
              </w:rPr>
            </w:pPr>
          </w:p>
        </w:tc>
      </w:tr>
      <w:tr>
        <w:trPr>
          <w:trHeight w:val="33"/>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175,860</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52,855</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4"/>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213,348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245,607</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0"/>
        </w:trPr>
        <w:tc>
          <w:tcPr>
            <w:tcW w:w="8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payroll and payroll-related costs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contracted services</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0" w:type="dxa"/>
            <w:vAlign w:val="bottom"/>
          </w:tcPr>
          <w:p>
            <w:pPr>
              <w:spacing w:after="0"/>
              <w:rPr>
                <w:sz w:val="1"/>
                <w:szCs w:val="1"/>
                <w:color w:val="auto"/>
              </w:rPr>
            </w:pPr>
          </w:p>
        </w:tc>
      </w:tr>
      <w:tr>
        <w:trPr>
          <w:trHeight w:val="210"/>
        </w:trPr>
        <w:tc>
          <w:tcPr>
            <w:tcW w:w="8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legal settlement liability</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210"/>
        </w:trPr>
        <w:tc>
          <w:tcPr>
            <w:tcW w:w="8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liabilities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04"/>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25,381</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$0.0001 par value; 600,000,000 shares authorized as of March 31, 2026 and December 31, 2025;</w:t>
            </w:r>
          </w:p>
        </w:tc>
        <w:tc>
          <w:tcPr>
            <w:tcW w:w="26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20"/>
        </w:trPr>
        <w:tc>
          <w:tcPr>
            <w:tcW w:w="8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197,218,496 and 196,431,273 shares issued and outstanding as of March 31, 2026 and December 31, 2025, respectively</w:t>
            </w:r>
          </w:p>
        </w:tc>
        <w:tc>
          <w:tcPr>
            <w:tcW w:w="26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 $0.0001 par value; 27,000,000 shares authorized as of March 31, 2026 and December 31, 2025;</w:t>
            </w:r>
          </w:p>
        </w:tc>
        <w:tc>
          <w:tcPr>
            <w:tcW w:w="2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19,937,500 shares issued and outstanding as of March 31, 2026 and December 31, 2025</w:t>
            </w:r>
          </w:p>
        </w:tc>
        <w:tc>
          <w:tcPr>
            <w:tcW w:w="2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918,190</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(697,980)</w:t>
            </w:r>
          </w:p>
        </w:tc>
        <w:tc>
          <w:tcPr>
            <w:tcW w:w="0" w:type="dxa"/>
            <w:vAlign w:val="bottom"/>
          </w:tcPr>
          <w:p>
            <w:pPr>
              <w:spacing w:after="0"/>
              <w:rPr>
                <w:sz w:val="1"/>
                <w:szCs w:val="1"/>
                <w:color w:val="auto"/>
              </w:rPr>
            </w:pPr>
          </w:p>
        </w:tc>
      </w:tr>
      <w:tr>
        <w:trPr>
          <w:trHeight w:val="33"/>
        </w:trPr>
        <w:tc>
          <w:tcPr>
            <w:tcW w:w="8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220,226</w:t>
            </w:r>
          </w:p>
        </w:tc>
        <w:tc>
          <w:tcPr>
            <w:tcW w:w="0" w:type="dxa"/>
            <w:vAlign w:val="bottom"/>
          </w:tcPr>
          <w:p>
            <w:pPr>
              <w:spacing w:after="0"/>
              <w:rPr>
                <w:sz w:val="1"/>
                <w:szCs w:val="1"/>
                <w:color w:val="auto"/>
              </w:rPr>
            </w:pPr>
          </w:p>
        </w:tc>
      </w:tr>
      <w:tr>
        <w:trPr>
          <w:trHeight w:val="21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213,348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245,607</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7"/>
        </w:trPr>
        <w:tc>
          <w:tcPr>
            <w:tcW w:w="7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56"/>
        </w:trPr>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 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1"/>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w:t>
            </w:r>
          </w:p>
        </w:tc>
        <w:tc>
          <w:tcPr>
            <w:tcW w:w="28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182,303</w:t>
            </w: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diluted</w:t>
            </w:r>
          </w:p>
        </w:tc>
        <w:tc>
          <w:tcPr>
            <w:tcW w:w="2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 on marketable securities, net of tax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ectPr>
          <w:pgSz w:w="11900" w:h="16838" w:orient="portrait"/>
          <w:cols w:equalWidth="0" w:num="1">
            <w:col w:w="11240"/>
          </w:cols>
          <w:pgMar w:left="320" w:top="290" w:right="339" w:bottom="1440" w:gutter="0" w:footer="0" w:header="0"/>
        </w:sectPr>
      </w:pP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38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tcPr>
          <w:p>
            <w:pPr>
              <w:spacing w:after="0"/>
              <w:rPr>
                <w:sz w:val="18"/>
                <w:szCs w:val="18"/>
                <w:color w:val="auto"/>
              </w:rPr>
            </w:pPr>
          </w:p>
        </w:tc>
        <w:tc>
          <w:tcPr>
            <w:tcW w:w="22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47"/>
        </w:trPr>
        <w:tc>
          <w:tcPr>
            <w:tcW w:w="2040" w:type="dxa"/>
            <w:vAlign w:val="bottom"/>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010101"/>
              </w:rPr>
              <w:t>Shares</w:t>
            </w:r>
          </w:p>
        </w:tc>
        <w:tc>
          <w:tcPr>
            <w:tcW w:w="22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010101"/>
              </w:rPr>
              <w:t>Amount</w:t>
            </w:r>
          </w:p>
        </w:tc>
        <w:tc>
          <w:tcPr>
            <w:tcW w:w="0" w:type="dxa"/>
            <w:vAlign w:val="bottom"/>
          </w:tcPr>
          <w:p>
            <w:pPr>
              <w:spacing w:after="0"/>
              <w:rPr>
                <w:sz w:val="1"/>
                <w:szCs w:val="1"/>
                <w:color w:val="auto"/>
              </w:rPr>
            </w:pPr>
          </w:p>
        </w:tc>
      </w:tr>
      <w:tr>
        <w:trPr>
          <w:trHeight w:val="31"/>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10101"/>
              </w:rPr>
              <w:t>Balance - December 31, 2025</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010101"/>
              </w:rPr>
              <w:t>196,431,273</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010101"/>
              </w:rPr>
              <w:t>Common stock issued upon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010101"/>
              </w:rPr>
              <w:t>vesting of restricted stock</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010101"/>
              </w:rPr>
              <w:t>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010101"/>
              </w:rPr>
              <w:t>787,223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010101"/>
              </w:rPr>
              <w:t>Stock-based compensation</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010101"/>
              </w:rPr>
              <w:t>Net unrealized loss 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010101"/>
              </w:rPr>
              <w:t>marketable securities, net of</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010101"/>
              </w:rPr>
              <w:t>tax</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010101"/>
              </w:rPr>
              <w:t>Foreign currency translation</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010101"/>
              </w:rPr>
              <w:t>Net loss</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10101"/>
              </w:rPr>
              <w:t>Balance - March 31, 2026</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010101"/>
              </w:rPr>
              <w:t>197,218,496</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60" w:type="dxa"/>
            <w:vAlign w:val="bottom"/>
          </w:tcPr>
          <w:p>
            <w:pPr>
              <w:spacing w:after="0"/>
              <w:rPr>
                <w:sz w:val="18"/>
                <w:szCs w:val="18"/>
                <w:color w:val="auto"/>
              </w:rPr>
            </w:pPr>
          </w:p>
        </w:tc>
        <w:tc>
          <w:tcPr>
            <w:tcW w:w="218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010101"/>
              </w:rPr>
              <w:t>Shares</w:t>
            </w:r>
          </w:p>
        </w:tc>
        <w:tc>
          <w:tcPr>
            <w:tcW w:w="200" w:type="dxa"/>
            <w:vAlign w:val="bottom"/>
          </w:tcPr>
          <w:p>
            <w:pPr>
              <w:spacing w:after="0"/>
              <w:rPr>
                <w:sz w:val="17"/>
                <w:szCs w:val="17"/>
                <w:color w:val="auto"/>
              </w:rPr>
            </w:pPr>
          </w:p>
        </w:tc>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010101"/>
              </w:rPr>
              <w:t>Amount</w:t>
            </w:r>
          </w:p>
        </w:tc>
        <w:tc>
          <w:tcPr>
            <w:tcW w:w="0" w:type="dxa"/>
            <w:vAlign w:val="bottom"/>
          </w:tcPr>
          <w:p>
            <w:pPr>
              <w:spacing w:after="0"/>
              <w:rPr>
                <w:sz w:val="1"/>
                <w:szCs w:val="1"/>
                <w:color w:val="auto"/>
              </w:rPr>
            </w:pPr>
          </w:p>
        </w:tc>
      </w:tr>
      <w:tr>
        <w:trPr>
          <w:trHeight w:val="31"/>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10101"/>
              </w:rPr>
              <w:t>Balance - December 31, 2024</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6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146,953,271</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Common stock issued upon</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623,834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exercise of stock options</w:t>
            </w: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Common stock issued upon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vesting of restricted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358,511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units</w:t>
            </w: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Common stock issued from</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direct equity offering, net 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15,625,000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fees and issuance costs</w:t>
            </w: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Stock-based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Net unrealized loss 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marketable securities, net of</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010101"/>
              </w:rPr>
              <w:t>tax</w:t>
            </w: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Foreign currency translation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010101"/>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10101"/>
              </w:rPr>
              <w:t>Balance - March 31, 2025</w:t>
            </w: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6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163,560,616</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60" w:type="dxa"/>
            <w:vAlign w:val="bottom"/>
            <w:gridSpan w:val="5"/>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00" w:type="dxa"/>
            <w:vAlign w:val="bottom"/>
            <w:gridSpan w:val="7"/>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0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vMerge w:val="restart"/>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60" w:type="dxa"/>
            <w:vAlign w:val="bottom"/>
            <w:gridSpan w:val="3"/>
            <w:vMerge w:val="restart"/>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2"/>
            <w:vMerge w:val="restart"/>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010101"/>
              </w:rPr>
              <w:t>Shares</w:t>
            </w:r>
          </w:p>
        </w:tc>
        <w:tc>
          <w:tcPr>
            <w:tcW w:w="22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010101"/>
              </w:rPr>
              <w:t>Amount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010101"/>
                <w:w w:val="97"/>
              </w:rPr>
              <w:t>19,937,500</w:t>
            </w: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918,190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(697,980)</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220,226</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1140" w:type="dxa"/>
            <w:vAlign w:val="bottom"/>
            <w:gridSpan w:val="4"/>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4"/>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2,565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40" w:type="dxa"/>
            <w:vAlign w:val="bottom"/>
            <w:gridSpan w:val="4"/>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4"/>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4"/>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010101"/>
                <w:w w:val="97"/>
              </w:rPr>
              <w:t>19,937,500</w:t>
            </w: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101"/>
                <w:w w:val="99"/>
              </w:rPr>
              <w:t>$</w:t>
            </w:r>
          </w:p>
        </w:tc>
        <w:tc>
          <w:tcPr>
            <w:tcW w:w="9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010101"/>
              </w:rPr>
              <w:t>920,755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010101"/>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101"/>
              </w:rPr>
              <w:t>(382)</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010101"/>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101"/>
              </w:rPr>
              <w:t>(719,651)</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010101"/>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010101"/>
              </w:rPr>
              <w:t>200,744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1360" w:type="dxa"/>
            <w:vAlign w:val="bottom"/>
            <w:gridSpan w:val="5"/>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00" w:type="dxa"/>
            <w:vAlign w:val="bottom"/>
            <w:gridSpan w:val="7"/>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0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1"/>
                <w:szCs w:val="11"/>
                <w:color w:val="auto"/>
              </w:rPr>
            </w:pPr>
          </w:p>
        </w:tc>
        <w:tc>
          <w:tcPr>
            <w:tcW w:w="1240" w:type="dxa"/>
            <w:vAlign w:val="bottom"/>
            <w:gridSpan w:val="4"/>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60" w:type="dxa"/>
            <w:vAlign w:val="bottom"/>
            <w:gridSpan w:val="3"/>
            <w:vMerge w:val="continue"/>
          </w:tcPr>
          <w:p>
            <w:pPr>
              <w:spacing w:after="0"/>
              <w:rPr>
                <w:sz w:val="11"/>
                <w:szCs w:val="11"/>
                <w:color w:val="auto"/>
              </w:rPr>
            </w:pPr>
          </w:p>
        </w:tc>
        <w:tc>
          <w:tcPr>
            <w:tcW w:w="11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010101"/>
              </w:rPr>
              <w:t>Shares</w:t>
            </w:r>
          </w:p>
        </w:tc>
        <w:tc>
          <w:tcPr>
            <w:tcW w:w="220" w:type="dxa"/>
            <w:vAlign w:val="bottom"/>
          </w:tcPr>
          <w:p>
            <w:pPr>
              <w:spacing w:after="0"/>
              <w:rPr>
                <w:sz w:val="20"/>
                <w:szCs w:val="20"/>
                <w:color w:val="auto"/>
              </w:rPr>
            </w:pP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010101"/>
                <w:w w:val="96"/>
              </w:rPr>
              <w:t>Amount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20"/>
                <w:szCs w:val="20"/>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(596,641)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215,420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862,734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(615,830)</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246,920</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-4533900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-3985895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-3445510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-3136900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-2245360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-1816735</wp:posOffset>
            </wp:positionV>
            <wp:extent cx="713232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-1045210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-505460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-196850</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60"/>
            <w:col w:w="6900"/>
          </w:cols>
          <w:pgMar w:left="320" w:top="2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7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7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w:t>
            </w:r>
          </w:p>
        </w:tc>
      </w:tr>
      <w:tr>
        <w:trPr>
          <w:trHeight w:val="26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Write-down of inventory</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6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settlement insurance receivable</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5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legal settlement liability</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50"/>
        </w:trPr>
        <w:tc>
          <w:tcPr>
            <w:tcW w:w="7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7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(26,154)</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5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(119,667)</w:t>
            </w:r>
          </w:p>
        </w:tc>
      </w:tr>
      <w:tr>
        <w:trPr>
          <w:trHeight w:val="26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86,800</w:t>
            </w:r>
          </w:p>
        </w:tc>
      </w:tr>
      <w:tr>
        <w:trPr>
          <w:trHeight w:val="243"/>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(34,174)</w:t>
            </w: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6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from direct equity offerings, net of fees and issuance costs</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46,774</w:t>
            </w:r>
          </w:p>
        </w:tc>
      </w:tr>
      <w:tr>
        <w:trPr>
          <w:trHeight w:val="244"/>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48,374</w:t>
            </w:r>
          </w:p>
        </w:tc>
      </w:tr>
      <w:tr>
        <w:trPr>
          <w:trHeight w:val="25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5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49,241</w:t>
            </w:r>
          </w:p>
        </w:tc>
      </w:tr>
      <w:tr>
        <w:trPr>
          <w:trHeight w:val="25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purchased but not paid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Transfers from inventory to property and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11220"/>
          </w:cols>
          <w:pgMar w:left="320" w:top="2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Quantum-Si is a life sciences company focused on proteomics research,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is applied to proteomics to enable next-gen protein sequencing (“NGPS”) to sequence proteins in a massively parallel fashion (rather than sequentially, one at a time), which can also be used for the study of nucleic acids. The Company believes in the ability to sequence proteins in a massively parallel fashion and the ability to offer a fast analysis time provides NGPS with the potential to unlock significant biological information through improved resolution and unbiased access to the proteome at a speed and scale not available today. Traditionally, proteomic workflows to sequence proteins required days or weeks to complete. The current platform includes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line of instruments, Platinum Analysis Software and consumable kits for use with the Platinum line of instruments.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development of Proteus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 Company’s next-generation platform, was announced in November 2024 and is anticipated to launch by the end of 2026. Proteus aims to provide single-molecule, amino acid level resolution while also providing anticipated significantly higher sequencing output per sample and increased sample throughput per run, automation of the sequencing workflow and automated data analysis as compared to Platinum Pro. The platform is being developed to be a modular, scalable system that allows for expansion in the overall platform, the number of consumables that can be processed concurrently and the overall output of sample data from the platform. The first generation of Proteus and associated sequencing consumables is anticipated to include motion control, liquid handling, and a new on-board single optical system with the ability to accept a new consumable chip that has approximately 80 million features. This new platform is expected to provide much deeper insights, while simplifying and significantly reducing the cost of the underlying consumable, with a wide range of proteomics applications that are addressable with our proprietary, single-molecule, kinetic detection technology.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with proceeds from the issuance of equity to private investors, as well as with the proceeds received from the closing of the Business Combination. The Company has incurred significant losses and negative cash flows from operations in all periods since inception and had an accumulated deficit of $719.7 million as of March 31, 2026. The Company has incurred significant operating losses, including net losses of $21.7 million and $19.2 million for the three months ended March 31, 2026 and 2025, respectively. As of March 31, 2026, the Company had cash, cash equivalents and investments in marketable securities of $190.4 million. Management believes the Company’s cash, cash equivalents and marketable securities, together with revenue from the sales of its products and services, will be sufficient to fund its planned operations for at least the next twelve months from the date of the issuance of the accompanying unaudited Condensed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Developments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U.S. Federal Reserve lowered interest rates slightly in the third and fourth quarters of 2025, it is not known whether additional action will be taken to lower interest rates and if this decrease, and any other decreases, will have an impact on inflation. While these rate fluctuations have not had a significant adverse impact on the Company to date, the impact of such rate fluctuations on the overall financial markets and the economy may adversely impact the Company in the future. In addition, the global economy has experienced and may experience high levels of inflation and global supply chain disruptions. The Company continues to monitor these supply chain, inflation and interest rate factors, as well as the uncertainty resulting from the overall economic environment.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Company has not been materially affected by enacted tariffs either by the U.S. government or foreign retaliatory tariffs; however, the Company’s finished goods and/or their components could become materially affected by changing tariffs in the future. If increased tariffs are imposed on the Company’s finished goods and/or components, they may impact the business, financial condition, results of operations and cash flows.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has not been significantly impacted by geopolitical conflicts throughout the world, the Company has experienced certain constraints in product and material availability and increasing costs required to obtain certain materials and supplies as a result of these conflicts on the global economy. To date, the business has not been materially impacted by these conflicts, however, as the conflicts continue or worsen, they may impact the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the notes thereto included in the Company’s Annual Report on Form 10-K for the year ended December 31, 2025. The Condensed Consolidated Balance Sheet as of December 31, 2025 included herein was derived from the audited Consolidated Financial Statements as of that date, but does not include all disclosures, including certain notes required by U.S. GAAP, on an annual reporting basis.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fairly state the financial position, results of operations, and cash flows for the interim periods. The results for the three months ended March 31, 2026 are not necessarily indicative of the results to be expected for any subsequent quarter, the year ending December 31, 2026, or any other period.</w:t>
      </w: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described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December 31, 2025. Any reference in these notes to applicable guidance is meant to refer to the authoritative U.S.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the Company to make estimates and assumptions about future events that may affect the amounts recorded in its unaudited Condensed Consolidated Financial Statements and accompanying notes. Future events and their effects cannot be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with certainty. On an ongoing basis, management evaluates these estimates and assumptions. Significant estimates and assumptions include: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for leases;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with respect to deferred tax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associated with revenue recognition;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standard provides entities with a practical expedient when calculating current expected credit loss by assuming the current conditions as of the balance sheet date will not change for the remaining life of the asset. The ASU is effective for fiscal years beginning after December 15, 2025 and interim periods within those annual periods, with early adoption permitted. The ASU is to be applied on a prospective basis. The Company adopted ASU 2025-05 effective January 1, 2026. The adoption of ASU 2025-05 did not have a material impact to the Consolidated Financial Statements and disclosures.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additional ASUs issued and not yet adopted that are expected to have a material impact on the Company’s financial statements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 in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Company’s investments in marketable securities were determined to be available-for-sale securities, carried at fair value, with the unrealized holding gains/(losses), net of income taxes, reflected in accumulated other comprehensive income/(loss) until realized.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securities recorded within Marketable securities on the Condensed Consolidated Balance Sheets as of March 31, 2026 and December 31, 2025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5"/>
                <w:szCs w:val="15"/>
                <w:color w:val="auto"/>
              </w:rPr>
            </w:pPr>
          </w:p>
        </w:tc>
        <w:tc>
          <w:tcPr>
            <w:tcW w:w="152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60" w:type="dxa"/>
            <w:vAlign w:val="bottom"/>
          </w:tcPr>
          <w:p>
            <w:pPr>
              <w:spacing w:after="0"/>
              <w:rPr>
                <w:sz w:val="15"/>
                <w:szCs w:val="15"/>
                <w:color w:val="auto"/>
              </w:rPr>
            </w:pPr>
          </w:p>
        </w:tc>
        <w:tc>
          <w:tcPr>
            <w:tcW w:w="12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Unrealized Net</w:t>
            </w:r>
          </w:p>
        </w:tc>
        <w:tc>
          <w:tcPr>
            <w:tcW w:w="3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360" w:type="dxa"/>
            <w:vAlign w:val="bottom"/>
          </w:tcPr>
          <w:p>
            <w:pPr>
              <w:spacing w:after="0"/>
              <w:rPr>
                <w:sz w:val="19"/>
                <w:szCs w:val="19"/>
                <w:color w:val="auto"/>
              </w:rPr>
            </w:pPr>
          </w:p>
        </w:tc>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50"/>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24,171</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0" w:type="dxa"/>
            <w:vAlign w:val="bottom"/>
          </w:tcPr>
          <w:p>
            <w:pPr>
              <w:spacing w:after="0"/>
              <w:rPr>
                <w:sz w:val="1"/>
                <w:szCs w:val="1"/>
                <w:color w:val="auto"/>
              </w:rPr>
            </w:pPr>
          </w:p>
        </w:tc>
      </w:tr>
      <w:tr>
        <w:trPr>
          <w:trHeight w:val="257"/>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0" w:type="dxa"/>
            <w:vAlign w:val="bottom"/>
          </w:tcPr>
          <w:p>
            <w:pPr>
              <w:spacing w:after="0"/>
              <w:rPr>
                <w:sz w:val="1"/>
                <w:szCs w:val="1"/>
                <w:color w:val="auto"/>
              </w:rPr>
            </w:pPr>
          </w:p>
        </w:tc>
      </w:tr>
      <w:tr>
        <w:trPr>
          <w:trHeight w:val="27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60" w:type="dxa"/>
            <w:vAlign w:val="bottom"/>
          </w:tcPr>
          <w:p>
            <w:pPr>
              <w:spacing w:after="0"/>
              <w:rPr>
                <w:sz w:val="14"/>
                <w:szCs w:val="14"/>
                <w:color w:val="auto"/>
              </w:rPr>
            </w:pPr>
          </w:p>
        </w:tc>
        <w:tc>
          <w:tcPr>
            <w:tcW w:w="12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Unrealized Net</w:t>
            </w: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360" w:type="dxa"/>
            <w:vAlign w:val="bottom"/>
          </w:tcPr>
          <w:p>
            <w:pPr>
              <w:spacing w:after="0"/>
              <w:rPr>
                <w:sz w:val="21"/>
                <w:szCs w:val="21"/>
                <w:color w:val="auto"/>
              </w:rPr>
            </w:pPr>
          </w:p>
        </w:tc>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0" w:type="dxa"/>
            <w:vAlign w:val="bottom"/>
          </w:tcPr>
          <w:p>
            <w:pPr>
              <w:spacing w:after="0"/>
              <w:rPr>
                <w:sz w:val="1"/>
                <w:szCs w:val="1"/>
                <w:color w:val="auto"/>
              </w:rPr>
            </w:pPr>
          </w:p>
        </w:tc>
      </w:tr>
      <w:tr>
        <w:trPr>
          <w:trHeight w:val="25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83,853</w:t>
            </w:r>
          </w:p>
        </w:tc>
        <w:tc>
          <w:tcPr>
            <w:tcW w:w="0" w:type="dxa"/>
            <w:vAlign w:val="bottom"/>
          </w:tcPr>
          <w:p>
            <w:pPr>
              <w:spacing w:after="0"/>
              <w:rPr>
                <w:sz w:val="1"/>
                <w:szCs w:val="1"/>
                <w:color w:val="auto"/>
              </w:rPr>
            </w:pPr>
          </w:p>
        </w:tc>
      </w:tr>
      <w:tr>
        <w:trPr>
          <w:trHeight w:val="250"/>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0" w:type="dxa"/>
            <w:vAlign w:val="bottom"/>
          </w:tcPr>
          <w:p>
            <w:pPr>
              <w:spacing w:after="0"/>
              <w:rPr>
                <w:sz w:val="1"/>
                <w:szCs w:val="1"/>
                <w:color w:val="auto"/>
              </w:rPr>
            </w:pPr>
          </w:p>
        </w:tc>
      </w:tr>
      <w:tr>
        <w:trPr>
          <w:trHeight w:val="27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Company’s available-for-sale securities included within Marketable securities, current and non-current on the Condensed Consolidated Balance Sheets as of March 31, 2026 and December 31, 2025, by remaining contractual maturity, are as follows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One Year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32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0" w:type="dxa"/>
            <w:vAlign w:val="bottom"/>
          </w:tcPr>
          <w:p>
            <w:pPr>
              <w:spacing w:after="0"/>
              <w:rPr>
                <w:sz w:val="1"/>
                <w:szCs w:val="1"/>
                <w:color w:val="auto"/>
              </w:rPr>
            </w:pPr>
          </w:p>
        </w:tc>
      </w:tr>
      <w:tr>
        <w:trPr>
          <w:trHeight w:val="257"/>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0" w:type="dxa"/>
            <w:vAlign w:val="bottom"/>
          </w:tcPr>
          <w:p>
            <w:pPr>
              <w:spacing w:after="0"/>
              <w:rPr>
                <w:sz w:val="1"/>
                <w:szCs w:val="1"/>
                <w:color w:val="auto"/>
              </w:rPr>
            </w:pPr>
          </w:p>
        </w:tc>
      </w:tr>
      <w:tr>
        <w:trPr>
          <w:trHeight w:val="25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0" w:type="dxa"/>
            <w:vAlign w:val="bottom"/>
          </w:tcPr>
          <w:p>
            <w:pPr>
              <w:spacing w:after="0"/>
              <w:rPr>
                <w:sz w:val="1"/>
                <w:szCs w:val="1"/>
                <w:color w:val="auto"/>
              </w:rPr>
            </w:pPr>
          </w:p>
        </w:tc>
      </w:tr>
      <w:tr>
        <w:trPr>
          <w:trHeight w:val="281"/>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Corporate bonds</w:t>
      </w:r>
    </w:p>
    <w:p>
      <w:pPr>
        <w:spacing w:after="0" w:line="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short-term marketable securities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3"/>
          </w:tcPr>
          <w:p>
            <w:pPr>
              <w:jc w:val="center"/>
              <w:ind w:right="640"/>
              <w:spacing w:after="0" w:line="169" w:lineRule="exact"/>
              <w:rPr>
                <w:sz w:val="20"/>
                <w:szCs w:val="20"/>
                <w:color w:val="auto"/>
              </w:rPr>
            </w:pPr>
            <w:r>
              <w:rPr>
                <w:rFonts w:ascii="Times New Roman" w:cs="Times New Roman" w:eastAsia="Times New Roman" w:hAnsi="Times New Roman"/>
                <w:sz w:val="18"/>
                <w:szCs w:val="18"/>
                <w:b w:val="1"/>
                <w:bCs w:val="1"/>
                <w:color w:val="auto"/>
              </w:rPr>
              <w:t>Over</w:t>
            </w: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15"/>
                <w:szCs w:val="15"/>
                <w:color w:val="auto"/>
              </w:rPr>
            </w:pPr>
          </w:p>
        </w:tc>
        <w:tc>
          <w:tcPr>
            <w:tcW w:w="1680" w:type="dxa"/>
            <w:vAlign w:val="bottom"/>
            <w:gridSpan w:val="3"/>
          </w:tcPr>
          <w:p>
            <w:pPr>
              <w:jc w:val="center"/>
              <w:ind w:right="6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One Year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right="6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-942340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-650875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-325120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8255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5880" w:space="720"/>
            <w:col w:w="4640"/>
          </w:cols>
          <w:pgMar w:left="320" w:top="290"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w:t>
            </w:r>
          </w:p>
        </w:tc>
      </w:tr>
      <w:tr>
        <w:trPr>
          <w:trHeight w:val="256"/>
        </w:trPr>
        <w:tc>
          <w:tcPr>
            <w:tcW w:w="6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r>
      <w:tr>
        <w:trPr>
          <w:trHeight w:val="250"/>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4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52,855</w:t>
            </w:r>
          </w:p>
        </w:tc>
      </w:tr>
      <w:tr>
        <w:trPr>
          <w:trHeight w:val="275"/>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7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right="2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 As of March 31, 2026 and December 31, 2025, the Company’s investment portfolio included available-for-sale securities which were comprised of money market funds, U.S. Treasury bills, U.S. government agency bonds and high-quality corporate bonds and commercial paper. The Company has U.S. Treasury bills, U.S. government agency bonds, corporate bonds and commercial papers that are classified as Level 2 due to the fair value for these instruments being determined by utilizing observable inputs in similar assets or identical assets in non-active markets.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recorded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issued registered warrants (the “Public Warrants”) in connection with the initial public offering of HighCape and as well as private placement warrants (the “Private Warrants”). The Public Warrants and Private Warrants were carried at fair value as of March 31, 2026 and December 31, 2025. The Public Warrants were valued using Level 1 inputs as they are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March 31, 2026, the significant assumptions used in preparing the binomial lattice model for valuing the Private Warrants liability include (i) volatility of 399.4%, (ii) risk-free interest rate of 3.7%, (iii) strike price of $11.50, (iv) fair value of Class A common stock of $0.77, and (v) expected life of 0.2 years. As of December 31, 2025, the significant assumptions used in preparing the binomial lattice model for valuing the Private Warrants liability include (i) volatility of 263.6%, (ii) risk-free interest rate of 3.6%, (iii) strike price of $11.50, (iv) fair value of Class A common stock of $1.10, and (v) expected life of 0.4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on the Condensed Consolidated Balance Sheets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that are measured at fair value on a recurring basis, by level, within the fair value hierarchy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43"/>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w:t>
            </w: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45,758</w:t>
            </w:r>
          </w:p>
        </w:tc>
      </w:tr>
      <w:tr>
        <w:trPr>
          <w:trHeight w:val="25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8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r>
      <w:tr>
        <w:trPr>
          <w:trHeight w:val="25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165,546</w:t>
            </w:r>
          </w:p>
        </w:tc>
        <w:tc>
          <w:tcPr>
            <w:tcW w:w="80" w:type="dxa"/>
            <w:vAlign w:val="bottom"/>
          </w:tcPr>
          <w:p>
            <w:pPr>
              <w:spacing w:after="0"/>
              <w:rPr>
                <w:sz w:val="22"/>
                <w:szCs w:val="22"/>
                <w:color w:val="auto"/>
              </w:rPr>
            </w:pP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185,900</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5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36,068</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83,853</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194,126</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Inventory consists of the following as of March 31, 2026 and December 31, 2025 (in thousands):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5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Charges recorded for inventory write-downs included in Research and development expenses in the Condensed Consolidated Statements of Operations and Comprehensive Loss were $1.3 million and $0.5 million for the three months ended March 31, 2026 and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Charges recorded for inventory write-downs included in Cost of revenue in the Condensed Consolidated Statements of Operations and Comprehensive Loss were immaterial for the three months ended March 31, 2026 and $0.2 million for the three months ended March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March 31, 2026 and December 31, 2025 (in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4"/>
        </w:trPr>
        <w:tc>
          <w:tcPr>
            <w:tcW w:w="8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w:t>
            </w:r>
          </w:p>
        </w:tc>
      </w:tr>
      <w:tr>
        <w:trPr>
          <w:trHeight w:val="27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(16,737)</w:t>
            </w:r>
          </w:p>
        </w:tc>
      </w:tr>
      <w:tr>
        <w:trPr>
          <w:trHeight w:val="28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Depreciation and amortization expense is included within Cost of revenue, Research and development and Selling, general and administrative expenses in the </w:t>
      </w:r>
      <w:r>
        <w:rPr>
          <w:rFonts w:ascii="Times New Roman" w:cs="Times New Roman" w:eastAsia="Times New Roman" w:hAnsi="Times New Roman"/>
          <w:sz w:val="17"/>
          <w:szCs w:val="17"/>
          <w:color w:val="auto"/>
        </w:rPr>
        <w:t>Condensed Consolidated Statements of Operations and Comprehensive Loss</w:t>
      </w:r>
      <w:r>
        <w:rPr>
          <w:rFonts w:ascii="Times New Roman" w:cs="Times New Roman" w:eastAsia="Times New Roman" w:hAnsi="Times New Roman"/>
          <w:sz w:val="18"/>
          <w:szCs w:val="18"/>
          <w:color w:val="auto"/>
        </w:rPr>
        <w:t>. Depreciation and amortization expense was $1.2 million and $0.9 million for the three months ended March 31, 2026 and 2025, respectively. No impairments of property and equipment were recorded for both the three months ended March 31, 2026 or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Leases</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costs for the three months ended March 31, 2026 and 2025 are as follows (in thousands):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040" w:type="dxa"/>
            <w:vAlign w:val="bottom"/>
          </w:tcPr>
          <w:p>
            <w:pPr>
              <w:spacing w:after="0"/>
              <w:rPr>
                <w:sz w:val="24"/>
                <w:szCs w:val="24"/>
                <w:color w:val="auto"/>
              </w:rPr>
            </w:pPr>
          </w:p>
        </w:tc>
        <w:tc>
          <w:tcPr>
            <w:tcW w:w="320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637</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March 31, 2026 are as follows (dollars in thousands):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0" w:type="dxa"/>
            <w:vAlign w:val="bottom"/>
          </w:tcPr>
          <w:p>
            <w:pPr>
              <w:spacing w:after="0"/>
              <w:rPr>
                <w:sz w:val="1"/>
                <w:szCs w:val="1"/>
                <w:color w:val="auto"/>
              </w:rPr>
            </w:pPr>
          </w:p>
        </w:tc>
      </w:tr>
      <w:tr>
        <w:trPr>
          <w:trHeight w:val="245"/>
        </w:trPr>
        <w:tc>
          <w:tcPr>
            <w:tcW w:w="80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undiscounted lease payments</w:t>
            </w: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5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cash flow information related to the Company’s lease liabilities for the three months ended March 31, 2026 and 2025 (in thousands):</w:t>
      </w:r>
    </w:p>
    <w:p>
      <w:pPr>
        <w:spacing w:after="0" w:line="21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28575</wp:posOffset>
            </wp:positionV>
            <wp:extent cx="2082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43" w:lineRule="exact"/>
        <w:rPr>
          <w:sz w:val="20"/>
          <w:szCs w:val="20"/>
          <w:color w:val="auto"/>
        </w:rPr>
      </w:pPr>
    </w:p>
    <w:p>
      <w:pPr>
        <w:ind w:left="8580"/>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7960" w:val="left"/>
          <w:tab w:leader="none" w:pos="9200" w:val="left"/>
          <w:tab w:leader="none" w:pos="9640" w:val="left"/>
          <w:tab w:leader="none" w:pos="10740" w:val="left"/>
        </w:tabs>
        <w:rPr>
          <w:sz w:val="20"/>
          <w:szCs w:val="20"/>
          <w:color w:val="auto"/>
        </w:rPr>
      </w:pPr>
      <w:r>
        <w:rPr>
          <w:rFonts w:ascii="Times New Roman" w:cs="Times New Roman" w:eastAsia="Times New Roman" w:hAnsi="Times New Roman"/>
          <w:sz w:val="18"/>
          <w:szCs w:val="18"/>
          <w:color w:val="auto"/>
        </w:rPr>
        <w:t>Operating cash paid to settle operating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525</w:t>
        <w:tab/>
        <w:t>$</w:t>
      </w:r>
      <w:r>
        <w:rPr>
          <w:sz w:val="20"/>
          <w:szCs w:val="20"/>
          <w:color w:val="auto"/>
        </w:rPr>
        <w:tab/>
      </w:r>
      <w:r>
        <w:rPr>
          <w:rFonts w:ascii="Times New Roman" w:cs="Times New Roman" w:eastAsia="Times New Roman" w:hAnsi="Times New Roman"/>
          <w:sz w:val="17"/>
          <w:szCs w:val="17"/>
          <w:color w:val="auto"/>
        </w:rPr>
        <w:t>1,127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229"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color w:val="auto"/>
        </w:rPr>
        <w:t>As of March 31, 2026 and December 31, 2025, Accrued expenses and other current liabilities included on the Condensed Consolidated Balance Sheets consist of the following (in thousands):</w:t>
      </w: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0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costs</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82"/>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filed a universal shelf registration statement on Form S-3 and a subsequent amendment to the Form S-3 (the “Shelf Registration Statement”), on September 26, 2025 and October 9, 2025, respectively, covering the offering of Class A common stock, preferred stock, debt securities, warrants, rights and units.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2025, the Company entered into a Sales Agreement (the “Sales Agreement”) with Leerink Partners LLC (“Leerink”), pursuant to which the Company may offer and sell shares of its Class A common stock, having an aggregate offering price of up to $100.0 million, from time to time through an “at-the-market” offering program under which Leerink will act as sales agent (the “ATM Offering”). The Company has no obligation to sell any shares under the Sales Agreement and may at any time suspend solicitation and offers under the Sales Agreement. The ATM Offering is being made pursuant to the Shelf Registration Statement and a sales agreement prospectus related to the ATM Offering. During the three months ended March 31, 2026, there were no shares sold under the Sales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authorized 1,000,000 shares of preferred stock at $0.0001 par value per share. There were no preferred shares outstanding for both periods.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Any shares of preferred stock which may be redeemed, purchased or acquired by the Company may be reissued except as otherwise provided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March 31, 2026, there were 12,280,182 shares available for future grant under the 2021 Plan.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On August 23, 2024, the Company amended the 2023 Inducement Plan to reserve an additional 3,000,000 shares of its Class A common stock under the 2023 Inducement Plan. The terms and conditions of the 2023 Inducement Plan, as amended, are substantially similar to those of the 2021 Plan. As of March 31, 2026, there were 2,293,088 shares available for future issuance under the 2023 Inducement Plan,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participants an aggregate of 3,237,444 and 32,000 stock options awards to participants during the three months ended March 31, 2026 and 2025, respectively, with vesting subject to the participant’s continued employment with or continued service provided to the Company through the applicable vesting dates.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$1.3 million and $1.5 million for stock-based compensation related to stock options for the three months ended March 31, 2026 and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award granted during the three months ended March 31, 2026 was estimated as of the grant date using a Black-Scholes model with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45"/>
        </w:trPr>
        <w:tc>
          <w:tcPr>
            <w:tcW w:w="49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31, 2026</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- 5.9</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w:t>
            </w: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- 111.8%</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$0.82</w:t>
            </w:r>
          </w:p>
        </w:tc>
      </w:tr>
      <w:tr>
        <w:trPr>
          <w:trHeight w:val="527"/>
        </w:trPr>
        <w:tc>
          <w:tcPr>
            <w:tcW w:w="9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stock option activity for the three months ended March 31, 2026 is presented in the table below:</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0"/>
        </w:trPr>
        <w:tc>
          <w:tcPr>
            <w:tcW w:w="4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3"/>
        </w:trPr>
        <w:tc>
          <w:tcPr>
            <w:tcW w:w="4980" w:type="dxa"/>
            <w:vAlign w:val="bottom"/>
          </w:tcPr>
          <w:p>
            <w:pPr>
              <w:spacing w:after="0"/>
              <w:rPr>
                <w:sz w:val="17"/>
                <w:szCs w:val="17"/>
                <w:color w:val="auto"/>
              </w:rPr>
            </w:pPr>
          </w:p>
        </w:tc>
        <w:tc>
          <w:tcPr>
            <w:tcW w:w="142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00" w:type="dxa"/>
            <w:vAlign w:val="bottom"/>
          </w:tcPr>
          <w:p>
            <w:pPr>
              <w:spacing w:after="0"/>
              <w:rPr>
                <w:sz w:val="17"/>
                <w:szCs w:val="17"/>
                <w:color w:val="auto"/>
              </w:rPr>
            </w:pPr>
          </w:p>
        </w:tc>
        <w:tc>
          <w:tcPr>
            <w:tcW w:w="156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9"/>
        </w:trPr>
        <w:tc>
          <w:tcPr>
            <w:tcW w:w="498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19,129,950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21,985,918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10,987,345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21,985,918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related to stock options was $7.3 million, which is expected to be recognized over a remaining weighted average vesting period of 2.2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to trade above specified levels for certain periods of time. The fair values of the awards were estimated at the grant date using the Monte Carlo simulation model.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within Selling, general and administrative operating expenses in the Condensed Consolidated Statements of Operations and Comprehensive Loss is approximately $2.4 million. Incremental stock-based compensation expense was $0.2 million for both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participants an aggregate of 8,316,293 and 8,104,473 restricted stock unit (“RSU”) awards during the three months ended March 31, 2026 and 2025, respectively, to participants with vesting subject to the participant’s continued employment with or continued service provided to the Company through the applicable vesting dates.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$1.3 million and $0.8 million for stock-based compensation related to RSU awards for the three months ended March 31, 2026 and 2025, respectively.</w:t>
      </w:r>
    </w:p>
    <w:p>
      <w:pPr>
        <w:sectPr>
          <w:pgSz w:w="11900" w:h="16838" w:orient="portrait"/>
          <w:cols w:equalWidth="0" w:num="1">
            <w:col w:w="11240"/>
          </w:cols>
          <w:pgMar w:left="320" w:top="29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for the three months ended March 31, 2026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RSUs at December 31, 2025</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Vested</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RSUs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41"/>
        </w:trPr>
        <w:tc>
          <w:tcPr>
            <w:tcW w:w="1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29"/>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11,118,391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8,316,293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5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90"/>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56"/>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18,398,696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740" w:space="440"/>
            <w:col w:w="3060"/>
          </w:cols>
          <w:pgMar w:left="320" w:top="290" w:right="339" w:bottom="1440" w:gutter="0" w:footer="0" w:header="0"/>
          <w:type w:val="continuous"/>
        </w:sectPr>
      </w:pP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related to restricted stock units was $19.9 million, which is expected to be recognized over the remaining weighted average vesting period of 3.2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is allocated to Research and development and Selling, general and administrative operating expenses in the Condensed Consolidated Statements of Operations and Comprehensive Loss. Stock-based compensation expense for the three months ended March 31, 2026 and 2025 was allocated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1"/>
                <w:szCs w:val="21"/>
                <w:color w:val="auto"/>
              </w:rPr>
            </w:pPr>
          </w:p>
        </w:tc>
      </w:tr>
      <w:tr>
        <w:trPr>
          <w:trHeight w:val="250"/>
        </w:trPr>
        <w:tc>
          <w:tcPr>
            <w:tcW w:w="7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1"/>
                <w:szCs w:val="21"/>
                <w:color w:val="auto"/>
              </w:rPr>
            </w:pPr>
          </w:p>
        </w:tc>
      </w:tr>
      <w:tr>
        <w:trPr>
          <w:trHeight w:val="25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5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88"/>
        </w:trPr>
        <w:tc>
          <w:tcPr>
            <w:tcW w:w="7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both March 31, 2026 and December 31, 2025, there was an aggregate of 3,833,317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while the Public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Public Warrants at $0.01 per warrant, each holder of Public Warrants will be entitled to exercise their Public Warrants held prior to the scheduled redemption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$0.01 as described above, the Company’s Board of Directors (the “Board”) may elect to require any holder that wishes to exercise his, her or its Public Warrants to do so on a “cashless basis.” If the Board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do not meet the criteria to be classified in stockholders’ equity as the exercise of the Public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current liabilities on the Condensed Consolidated Balance Sheets as of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both March 31, 2026 and December 31, 2025, there were 135,000 Private Warrants outstanding. The Private Warrants are identical to the Public Warrants, except that so long as they are held by HighCape Capital Acquisition LLC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HighCape Capital Acquisition LLC or any of its permitted transferees, the Private Warrants will be redeemable by the Company in all redemption scenarios applicable to the Public Warrants and exercisable by such holders on the same basis as the Public Warrants.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current liabilities on the Condensed Consolidated Balance Sheets as of March 31, 2026 and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combined fair value of warrant liabilities was $0.4 million and $0.8 million, respectively. The Company recognized gains of $0.4 million and $3.4 million for the three months ended March 31, 2026 and 2025, respectively, as a Change in fair value of warrant liabilities in the </w:t>
      </w:r>
      <w:r>
        <w:rPr>
          <w:rFonts w:ascii="Times New Roman" w:cs="Times New Roman" w:eastAsia="Times New Roman" w:hAnsi="Times New Roman"/>
          <w:sz w:val="17"/>
          <w:szCs w:val="17"/>
          <w:color w:val="auto"/>
        </w:rPr>
        <w:t>Condensed Consolidated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Statements of Operations and Comprehensive Loss</w:t>
      </w:r>
      <w:r>
        <w:rPr>
          <w:rFonts w:ascii="Times New Roman" w:cs="Times New Roman" w:eastAsia="Times New Roman" w:hAnsi="Times New Roman"/>
          <w:sz w:val="17"/>
          <w:szCs w:val="17"/>
          <w:color w:val="auto"/>
        </w:rPr>
        <w:t>. There were no exercises or redemptions of the Public Warrants or Private Warrants during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months ended March 31, 2026 or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details regarding the warrant liabilities, please refer to </w:t>
      </w:r>
      <w:r>
        <w:rPr>
          <w:rFonts w:ascii="Times New Roman" w:cs="Times New Roman" w:eastAsia="Times New Roman" w:hAnsi="Times New Roman"/>
          <w:sz w:val="18"/>
          <w:szCs w:val="18"/>
          <w:u w:val="single" w:color="auto"/>
          <w:color w:val="0000FF"/>
        </w:rPr>
        <w:t>Note 4. Fair Value of Financial Instruments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-119380</wp:posOffset>
            </wp:positionV>
            <wp:extent cx="2540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presents both basic earnings per share (“EPS”) and diluted EPS. Basic and diluted net loss per share was the same for each period presented as the inclusion of all common share equivalents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calculations for the three months ended March 31, 2026 and 2025 of basic and diluted net loss per share for the Company’s common stock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0" w:type="dxa"/>
            <w:vAlign w:val="bottom"/>
          </w:tcPr>
          <w:p>
            <w:pPr>
              <w:spacing w:after="0"/>
              <w:rPr>
                <w:sz w:val="1"/>
                <w:szCs w:val="1"/>
                <w:color w:val="auto"/>
              </w:rPr>
            </w:pPr>
          </w:p>
        </w:tc>
      </w:tr>
      <w:tr>
        <w:trPr>
          <w:trHeight w:val="282"/>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 for basic and diluted EPS - loss attributable to common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182,303</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Denominator for basic and diluted EPS - weighted-average common stock</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182,303</w:t>
            </w:r>
          </w:p>
        </w:tc>
        <w:tc>
          <w:tcPr>
            <w:tcW w:w="0" w:type="dxa"/>
            <w:vAlign w:val="bottom"/>
          </w:tcPr>
          <w:p>
            <w:pPr>
              <w:spacing w:after="0"/>
              <w:rPr>
                <w:sz w:val="1"/>
                <w:szCs w:val="1"/>
                <w:color w:val="auto"/>
              </w:rPr>
            </w:pPr>
          </w:p>
        </w:tc>
      </w:tr>
      <w:tr>
        <w:trPr>
          <w:trHeight w:val="28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was the same on a basic and diluted basis, as the inclusion of all potential common equivalent shares outstanding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dilutive shares were excluded from the calculation of diluted net loss per share because their effect would be anti-dilutive for the three months ended March 31, 2026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4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4"/>
        </w:trPr>
        <w:tc>
          <w:tcPr>
            <w:tcW w:w="718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21,985,918</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19,612,245</w:t>
            </w:r>
          </w:p>
        </w:tc>
      </w:tr>
      <w:tr>
        <w:trPr>
          <w:trHeight w:val="25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18,398,696</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14,852,679</w:t>
            </w:r>
          </w:p>
        </w:tc>
      </w:tr>
      <w:tr>
        <w:trPr>
          <w:trHeight w:val="25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3,968,317</w:t>
            </w:r>
          </w:p>
        </w:tc>
        <w:tc>
          <w:tcPr>
            <w:tcW w:w="100" w:type="dxa"/>
            <w:vAlign w:val="bottom"/>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r>
      <w:tr>
        <w:trPr>
          <w:trHeight w:val="250"/>
        </w:trPr>
        <w:tc>
          <w:tcPr>
            <w:tcW w:w="7180" w:type="dxa"/>
            <w:vAlign w:val="bottom"/>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44,352,931</w:t>
            </w:r>
          </w:p>
        </w:tc>
        <w:tc>
          <w:tcPr>
            <w:tcW w:w="100" w:type="dxa"/>
            <w:vAlign w:val="bottom"/>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38,433,243</w:t>
            </w:r>
          </w:p>
        </w:tc>
      </w:tr>
      <w:tr>
        <w:trPr>
          <w:trHeight w:val="27"/>
        </w:trPr>
        <w:tc>
          <w:tcPr>
            <w:tcW w:w="71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for the three months ended March 31, 2026 and 2025 were recorded at the Company’s estimated annual effective income tax rate, subject to</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adjustments for discrete events, if they occur. The Company’s estimated annual effective tax rate was 0.56% and (0.06)% for the three months ended March 31, 2026 and 2025, respectively. The primary reconciling items between the federal statutory rate of 21.0% and the Company’s overall effective tax rate for these periods were related to the valuation allowance recorded against the full amount of the Company’s U.S. net deferred tax assets.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U.S. net deferred tax assets as of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is a life sciences company focused on proteomics research, with the mission of transforming single-molecule analysis and democratizing its use by providing researchers and clinicians access to the proteome, the set of proteins expressed within a cell. The Company’s platform includes its Platinum NGPS instrument, Platinum Analysis Software, and consumable kits for use with its Platinum line of instruments.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it operates as a single reportable segment. The CODM utilizes the Company’s long-range plan, which includes product development roadmaps and long-range financial models, as a key input to resource allocation. The CODM makes decisions on resource allocation, assesses the performance of the business, and monitors budget versus actual results on a consolidated basis using loss from operations as reported in the Consolidated Statements of Operations and Comprehensive Loss as the primary measure of segment profit or loss. Net loss and the change in cash and cash equivalents and marketable securities are also measures considered in monitoring budget versus actual results.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expenses within loss from operations, as well as within net loss, include research and development, and selling, general and administrative expenses, which are each separately presented on the Company’s Condensed Consolidated Statements of Operations and Comprehensive Loss. Other segment items included in net loss on the Condensed Company’s Consolidated Statements of Operations and Comprehensive Loss are dividend income, interest income, change in fair value of warrant liabilities, other expense or income, net, and benefit or provision for income taxes.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generated from domestic and international sales for the three months ended March 31, 2026 and 2025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r>
      <w:tr>
        <w:trPr>
          <w:trHeight w:val="25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a party to the Amended and Restated Technology Services Agreement (the “ARTSA”), most recently amended on November 11, 2020, by and among 4Catalyzer Corporation (“4C”), the Company and other participant companies controlled by Dr. Jonathan Rothberg, the former Chairman of the Board and current director.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existing arm’s length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expenses paid to 4C for the three months ended March 31, 2026 and $0.1 million of expenses paid to 4C for the three months ended March 31, 2025. These expenses included amounts for month-to-month sublease arrangements for office and laboratory spaces from 4C and certain administrative expenses and are included in Selling, general and administrative expenses in the Condensed Consolidated Statements of Operations and Comprehensive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ARTSA also provided for the participant companies to provide other services to each other. As of both March 31, 2026 and December 31, 2025, there were no amounts payable to or payable by the Company related to such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related to certain intellectual property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approximately $0.1 million as well as royalties based on net sales if the royalties exceed annual minimum fixed payments. As of both March 31, 2026 and December 31, 2025, the Company had accrued royalties of approximately $0.1 million included in Accrued expenses and other current liabilities on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(the “401(k) Plan”). Contributions to the 401(k) Plan are discretionary. The Company did not make any matching contributions to the 401(k) Plan for both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discloses contingent liabilities even if the liability is not probable or estimable, or both, if there is a reasonable possibility that a material loss may have been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Stockholder Litigation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16, 2024, a punitive class action lawsuit was filed in the Delaware Court of Chancery, styled Farzad v. HighCape Capital, et al. (the “Delaware Stockholder Litigation”). The Delaware Stockholder Litigation asserted breach of fiduciary duty claims against the former officers and directors of HighCape, including Kevin Rakin, Matt Zuga, David Colpman, 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alleged that the transactions contemplated by the Business Combination were a product of an unfair process which was allegedly impacted by conflicts of interest, resulting in mispricing of the Business Combination. Quantum-Si, as part of the Business Combination, had previously agreed to indemnify certain of the defendants related to actions such as the Delaware Stockholder Litigation to the extent allowable by law.</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2025, the parties of the Delaware Stockholder Litigation, through a mediation process, reached a preliminary settlement. In connection with the preliminary settlement, the Company recorded an accrued legal settlement liability of $8.0 million, consisting of $7.6 million for the settlement and $0.4 million for legal and related expenses, as well as a legal settlement insurance receivable of $4.6 million on the Consolidated Balance Sheets as of December 31, 2025. The Company also recognized associated legal settlement expenses of $3.4 million recorded in legal settlement, net of insurance proceeds, in the Consolidated Statements of Operations and Comprehensive Loss for the year ended December 31,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Subsequently, on March 27, 2026, the Delaware Court of Chancery executed an order and final judgment approving the legal settlement. During the quarter ended March 31, 2026, the Company paid $3.0 million in connection with the settlement and the remaining $4.6 million was funded by insurance proceeds. Accordingly, the accrued legal settlement liability and associated legal settlement insurance receivable were derecognized from the Condensed Consolidated Balance Sheets as of March 31,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2025 contained in our Annual Report on Form 10-K for the year ended December 31, 2025, filed with the Securities and Exchange Commission (the “SEC”) on March 3, 2026,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2025, this Quarterly Report on Form 10-Q and in other filings that we make with the Securities and Exchange Commission.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months ended March 31, 2026 and 2025 present the financial position and results of operations of Quantum-Si Incorporated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a life sciences company focused on proteomics research, with the mission of transforming single-molecule analysis and democratizing its use by providing researchers and clinicians access to the proteome, the set of proteins expressed within a cell. We have developed a proprietary, universal, single-molecule detection platform that we are applying to proteomics to enable next-gen protein sequencing (“NGPS”) to sequence proteins in a massively parallel fashion (rather than sequentially, one at a time), which can also be used for the study of nucleic acids. We believe in the ability to sequence proteins in a massively parallel fashion and offer a fast analysis time provides NGPS with the potential to unlock significant biological information through improved resolution and unbiased access to the proteome at a speed and scale not available today. Traditionally, proteomic workflows to sequence proteins required days or weeks to complete. Our current platform includes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line of instruments, Platinum Analysis Software and consumable kits for use with our Platinum line of instruments.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we presented an updated technology and product roadmap that we believe positions us to be a leader in proteomics, including instrumentation, consumable kits and software tools. We intend to continue to execute on this roadmap through a combination of internal development programs and external partnerships to bring to market the most comprehensive proteomics platform in our industry.</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Most importantly, this roadmap includes the development of Proteus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our next-generation platform, which was announced in November 2024 and is anticipated to launch by the end of 2026. Proteus aims to provide single-molecule, amino acid level resolution while also providing anticipated significantly higher sequencing output per sample and increased sample throughput per run, automation of the sequencing workflow and automated data analysis as compared to Platinum Pro. The Proteus platform is being developed to be a modular, scalable system that allows for expansion in the overall platform, the number of consumables that can be processed concurrently and the overall output of sample data from the platform. The first generation of Proteus and associated sequencing consumables is anticipated to include motion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control, liquid handling, and a new on-board single optical system with the ability to accept a new consumable chip that has approximately 80 million features. We believe this new platform will provide much deeper insights while simplifying and significantly reducing the cost of the underlying consumable. In addition, during our presentation in November 2025, we provided data demonstrating the wide range of proteomics applications that are addressable with our proprietary, single-molecule, kinetic detection technology. As a result of the anticipated launch of Proteus, we expect some customers may delay purchasing decisions for existing products, which is expected to adversely impact revenue until Proteus becomes commercially 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as Compared to the Three Months Ended March 31, 2025</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Consolidated Statements of Operations and Comprehensive Loss for the three months ended March 31, 2026 and 2025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1"/>
                <w:szCs w:val="21"/>
                <w:color w:val="auto"/>
              </w:rPr>
            </w:pP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57"/>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50"/>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77"/>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50"/>
        </w:trPr>
        <w:tc>
          <w:tcPr>
            <w:tcW w:w="6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50"/>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56"/>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57"/>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57"/>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50"/>
        </w:trPr>
        <w:tc>
          <w:tcPr>
            <w:tcW w:w="60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6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5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5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5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r>
      <w:tr>
        <w:trPr>
          <w:trHeight w:val="25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Cost of Revenue and Gross Profit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 is derived from sales of products and services. Product revenue is generated from the following sources: (i) sales of our Platinum line of instruments, (ii) consumables kits, including Library Preparation Kits, Sequencing Kits (which includes sequencing reagents and semiconductor chips), and other related reagent kits, and (iii) freight revenue, which is recognized upon shipment. Service revenue is generated from service maintenance contracts including Platinum Analysis Software access, and advanced training for instrument use.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revenue and Gross profit for the three months ended March 31, 2026 and 2025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60" w:type="dxa"/>
            <w:vAlign w:val="bottom"/>
          </w:tcPr>
          <w:p>
            <w:pPr>
              <w:jc w:val="center"/>
              <w:ind w:right="4810"/>
              <w:spacing w:after="0"/>
              <w:rPr>
                <w:sz w:val="20"/>
                <w:szCs w:val="20"/>
                <w:color w:val="auto"/>
              </w:rPr>
            </w:pPr>
            <w:r>
              <w:rPr>
                <w:rFonts w:ascii="Times New Roman" w:cs="Times New Roman" w:eastAsia="Times New Roman" w:hAnsi="Times New Roman"/>
                <w:sz w:val="18"/>
                <w:szCs w:val="18"/>
                <w:color w:val="auto"/>
                <w:w w:val="99"/>
              </w:rPr>
              <w:t>Product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63"/>
        </w:trPr>
        <w:tc>
          <w:tcPr>
            <w:tcW w:w="5860" w:type="dxa"/>
            <w:vAlign w:val="bottom"/>
            <w:shd w:val="clear" w:color="auto" w:fill="CCEEFF"/>
          </w:tcPr>
          <w:p>
            <w:pPr>
              <w:jc w:val="center"/>
              <w:ind w:right="4830"/>
              <w:spacing w:after="0"/>
              <w:rPr>
                <w:sz w:val="20"/>
                <w:szCs w:val="20"/>
                <w:color w:val="auto"/>
              </w:rPr>
            </w:pPr>
            <w:r>
              <w:rPr>
                <w:rFonts w:ascii="Times New Roman" w:cs="Times New Roman" w:eastAsia="Times New Roman" w:hAnsi="Times New Roman"/>
                <w:sz w:val="18"/>
                <w:szCs w:val="18"/>
                <w:color w:val="auto"/>
                <w:w w:val="99"/>
              </w:rPr>
              <w:t>Service</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4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77"/>
        </w:trPr>
        <w:tc>
          <w:tcPr>
            <w:tcW w:w="5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60" w:type="dxa"/>
            <w:vAlign w:val="bottom"/>
            <w:shd w:val="clear" w:color="auto" w:fill="CCEEFF"/>
          </w:tcPr>
          <w:p>
            <w:pPr>
              <w:jc w:val="center"/>
              <w:ind w:right="4810"/>
              <w:spacing w:after="0"/>
              <w:rPr>
                <w:sz w:val="20"/>
                <w:szCs w:val="20"/>
                <w:color w:val="auto"/>
              </w:rPr>
            </w:pPr>
            <w:r>
              <w:rPr>
                <w:rFonts w:ascii="Times New Roman" w:cs="Times New Roman" w:eastAsia="Times New Roman" w:hAnsi="Times New Roman"/>
                <w:sz w:val="18"/>
                <w:szCs w:val="18"/>
                <w:color w:val="auto"/>
                <w:w w:val="99"/>
              </w:rPr>
              <w:t>Product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jc w:val="center"/>
              <w:ind w:right="4830"/>
              <w:spacing w:after="0"/>
              <w:rPr>
                <w:sz w:val="20"/>
                <w:szCs w:val="20"/>
                <w:color w:val="auto"/>
              </w:rPr>
            </w:pPr>
            <w:r>
              <w:rPr>
                <w:rFonts w:ascii="Times New Roman" w:cs="Times New Roman" w:eastAsia="Times New Roman" w:hAnsi="Times New Roman"/>
                <w:sz w:val="18"/>
                <w:szCs w:val="18"/>
                <w:color w:val="auto"/>
                <w:w w:val="99"/>
              </w:rPr>
              <w:t>Service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jc w:val="center"/>
              <w:ind w:right="479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for the sale of our Platinum line of instruments, related reagent kits and service maintenance contracts decreased by $0.6 million, or 69.4%, for the three months ended March 31, 2026, when compared to the same period in 2025. The decrease in revenue was primarily driven by lower sales volumes of instruments and consumables as customers deferred purchasing decisions in anticipation of the expected commercial launch of Proteus. We expect revenue in 2026 to continue to be impacted as customers may delay purchases ahead of Proteus becoming commercially available by the end of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cost of revenue decreased $0.2 million, or 48.3%, for the three months ended March 31, 2026, when compared to the same period in 2025. The change in the cost of revenue is directly correlated to the relative revenue and volume decreases for the three months ended March 31, 2026 as compared to the same period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$0.4 million, or 84.8% for the three months ended March 31, 2026, when compared to the same period in 2025.</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was 28.7% for the three months ended March 31, 2026 compared to 57.7% for the same period in 2025. This change in margin was primarily based on the mix of products sold during each period. We expect gross profit margin to be variable for the foreseeable future as we work through our continued commercialization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1"/>
                <w:szCs w:val="21"/>
                <w:color w:val="auto"/>
              </w:rPr>
            </w:pPr>
          </w:p>
        </w:tc>
      </w:tr>
      <w:tr>
        <w:trPr>
          <w:trHeight w:val="250"/>
        </w:trPr>
        <w:tc>
          <w:tcPr>
            <w:tcW w:w="3740" w:type="dxa"/>
            <w:vAlign w:val="bottom"/>
            <w:tcBorders>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904"/>
        </w:trPr>
        <w:tc>
          <w:tcPr>
            <w:tcW w:w="3740" w:type="dxa"/>
            <w:vAlign w:val="bottom"/>
          </w:tcPr>
          <w:p>
            <w:pPr>
              <w:spacing w:after="0"/>
              <w:rPr>
                <w:sz w:val="24"/>
                <w:szCs w:val="24"/>
                <w:color w:val="auto"/>
              </w:rPr>
            </w:pPr>
          </w:p>
        </w:tc>
        <w:tc>
          <w:tcPr>
            <w:tcW w:w="2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$0.8 million, or 5.6%, for the three months ended March 31, 2026, when compared to the same period in 2025. This increase was primarily driven by a $0.8 million increase in laboratory supplies, $0.3 million of payroll and payroll-related costs, $0.2 million of fabrication and outsourced services driven by efforts to support the development of our Proteus platform and $0.2 million of net increases in other expenses. These increases were partially offset by a $0.5 million decrease in rent expense driven by the New Haven lease termination that occurred in the third quarter of 2025 and a $0.2 million decrease in professional services and consulting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and 2025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1"/>
                <w:szCs w:val="21"/>
                <w:color w:val="auto"/>
              </w:rPr>
            </w:pP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7"/>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$2.2 million, or 18.9%, for the three months ended March 31, 2026, when compared to the same period in 2025. This decrease was primarily due to a $1.4 million decrease in legal fees, a $0.3 million decrease in payroll and payroll-related costs, a $0.3 million decrease in trade show and other marketing-related costs, a $0.2 million decrease in professional services and consulting fees and a $0.2 million net decrease in other expenses. These decreases were partially offset by a $0.2 million increase in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Income and 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dividend income and interest income was derived primarily from fixed income securities and money market mutual funds,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 for the three months ended March 31, 2026 and 2025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1"/>
                <w:szCs w:val="21"/>
                <w:color w:val="auto"/>
              </w:rPr>
            </w:pP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7"/>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income and interest income decreased by $0.1 million and $0.6 million, respectively, or 40.7% and 25.0%, respectively, for the three months ended March 31, 2026, when compared to the same period in 2025. These decreases are a result of lower market interest rates on invested capital as well as relative lower invested balances in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Fair Value of Warrant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Warrant liabilities were recorded at fair value as part of the Business Combination. Change in fair value of warrant liabilities primarily consists of the change in the fair value of our Public Warrants and Private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warrant liabilities for the three months ended March 31, 2026 and 2025 is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1"/>
                <w:szCs w:val="21"/>
                <w:color w:val="auto"/>
              </w:rPr>
            </w:pPr>
          </w:p>
        </w:tc>
      </w:tr>
      <w:tr>
        <w:trPr>
          <w:trHeight w:val="250"/>
        </w:trPr>
        <w:tc>
          <w:tcPr>
            <w:tcW w:w="6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6"/>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recognized $0.4 million of income from the decrease in the fair value of warrant liabilities as compared to $3.4 million of income from the decrease in the fair value of warrant liabilities for the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same period in 2025. These changes in the fair value of warrant liabilities were primarily driven by the change in the underlying trading price of our Class A common stock during the periods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color w:val="auto"/>
        </w:rPr>
        <w:t>Other income (expense), net, primarily consists of currency revaluations. Other income (expense), net, for the three months ended March 31, 2026 and 2025 is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40" w:type="dxa"/>
            <w:vAlign w:val="bottom"/>
            <w:tcBorders>
              <w:bottom w:val="single" w:sz="8" w:color="auto"/>
            </w:tcBorders>
          </w:tcPr>
          <w:p>
            <w:pPr>
              <w:spacing w:after="0"/>
              <w:rPr>
                <w:sz w:val="21"/>
                <w:szCs w:val="21"/>
                <w:color w:val="auto"/>
              </w:rPr>
            </w:pPr>
          </w:p>
        </w:tc>
      </w:tr>
      <w:tr>
        <w:trPr>
          <w:trHeight w:val="250"/>
        </w:trPr>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7"/>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for operating, investing, and financing activities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3"/>
        </w:trPr>
        <w:tc>
          <w:tcPr>
            <w:tcW w:w="77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(26,154)</w:t>
            </w:r>
          </w:p>
        </w:tc>
      </w:tr>
      <w:tr>
        <w:trPr>
          <w:trHeight w:val="250"/>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(34,174)</w:t>
            </w:r>
          </w:p>
        </w:tc>
      </w:tr>
      <w:tr>
        <w:trPr>
          <w:trHeight w:val="263"/>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48,374</w:t>
            </w:r>
          </w:p>
        </w:tc>
      </w:tr>
      <w:tr>
        <w:trPr>
          <w:trHeight w:val="250"/>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5"/>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operating activities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$25.6 million during the three months ended March 31, 2026. This cash used was primarily attributable to our net loss of $21.7 million, which resulted from continued spend on research and development and commercialization efforts. Net cash used was further impacted by $8.2 million of cash used from net changes in operating assets and liabilities, primarily due to the timing of cash receipts and payments for a legal settlement and activities in the ordinary course of business. In addition, operating cash flows were reduced by non-cash gains, including $0.9 million of accretion on marketable securities and a $0.4 million gain from changes in the fair value of warrant liabilities, primarily driven by the change in the underlying trading price of our Class A common stock. These items were partially offset by non-cash expenses, including stock-based compensation of $2.6 million, inventory write-downs of $1.3 million, depreciation and amortization of $1.2 million and non-cash lease expense of $0.4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$26.2 million during the three months ended March 31, 2025. This cash used was primarily attributable to our net loss of $19.2 million, which resulted from continued spend on research and development and commercialization efforts. Net cash used was further impacted by $6.1 million of cash used from net changes in operating assets and liabilities, primarily due to the timing of cash receipts and payments in the ordinary course of business. In addition, operating cash flows were reduced by non-cash gains, including a $3.4 million gain from changes in fair value of warrant liabilities, primarily driven by the change in the underlying trading price of our Class A common stock, and $2.1 million of accretion on marketable securities. These items were partially offset by non-cash expenses, including stock-based compensation of $2.4 million, depreciation and amortization of $0.9 million, inventory write-downs of $0.7 million and non-cash lease expense of $0.6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operating cash usage to continue to be impacted by operating results and working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(used in) investing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$40.3 million during the three months ended March 31, 2026 compared to net cash used in investing activities of $34.2 million during the same period in 2025. Cash provided by investing activities during the current period was primarily attributable to $104.7 million of proceeds from sales and maturities of marketable securities, partially offset by $64.2 million of purchases of marketable securities and $0.3 million of purchases of property and equipment. The net cash inflow reflected the ongoing management of our investment portfolio to optimize liquidity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align investment maturities with anticipated cash requirements, while preserving capital, minimizing exposure to market and credit risk, and supporting our ability to fund ongoing research and development initiatives and operating needs. We also expect our net invested capital balance to vary in future quarters as we fund our operating needs primarily through our investment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financing activities</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There was no net cash provided by financing activities during the three months ended March 31, 2026 compared to $48.4 million of net cash provided by financing activities during the same period in 2025. There were no financing transactions during the current period. Net cash provided by financing activities during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period was attributable to $46.8 million of net proceeds from the issuance of common stock in a net direct equity offering and $1.6 million of proceeds from the exercise of stock options. Further information regarding the direct equity offering can be found below under the header </w:t>
      </w:r>
      <w:r>
        <w:rPr>
          <w:rFonts w:ascii="Times New Roman" w:cs="Times New Roman" w:eastAsia="Times New Roman" w:hAnsi="Times New Roman"/>
          <w:sz w:val="18"/>
          <w:szCs w:val="18"/>
          <w:u w:val="single" w:color="auto"/>
          <w:color w:val="0000FF"/>
        </w:rPr>
        <w:t>Liquidity Outlook</w:t>
      </w:r>
      <w:r>
        <w:rPr>
          <w:rFonts w:ascii="Times New Roman" w:cs="Times New Roman" w:eastAsia="Times New Roman" w:hAnsi="Times New Roman"/>
          <w:sz w:val="18"/>
          <w:szCs w:val="18"/>
          <w:color w:val="auto"/>
          <w:highlight w:val="white"/>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Outlook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proceeds from the issuance of equity to private investors, as well as with the proceeds received from the closing of the Business Combination. Additionally, we began to generate revenue during 2023 from commercial sales of our Platinum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and investments in marketable securities, current and non-current of $190.4 million. Our future capital requirements may vary from those currently planned and will depend on various factors including the pace and success of product commercialization.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ongoing commercialization efforts and continued research and development activities in advance of the anticipated launch of Proteus may require increased levels of spending. These efforts and activities may include investments to expand sales and marketing capabilities, advance product development, and build inventory to support commercialization. Other factors that could accelerate cash requirements include: (i) delays in achieving scientific and technical milestones, (ii) unforeseen capital expenditures and manufacturing costs related to commercialization, (iii) changes to our business or commercialization strategy, including those related to the timing and scope of the Proteus launch, (iv) costs associated with operating as a public company, (v) other items affecting our forecasted expenditures and use of cash resources, including potential acquisitions and (vi) increased product and service costs.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11, 2023, we filed a universal shelf registration statement on Form S-3 (the “2023 Shelf Registration Statement”) covering the offering of Class A common stock, preferred stock, debt securities, warrants, rights and units. After the closing of the July 2025 Registered Direct Offering, the remaining capacity of the 2023 Shelf Registration Statement was approximately $13.8 million. We filed a universal shelf registration statement on Form S-3 and a subsequent amendment to the Form S-3 (the “2025 Shelf Registration Statement”), on September 26, 2025 and October 9, 2025, respectively, covering the offering of Class A common stock, preferred stock, debt securities, warrants, rights and units.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11, 2024, we entered into an Equity Distribution Agreement (the “Canaccord Sales Agreement”) with Canaccord to sell shares of our Class A common stock having an aggregate offering price of up to $75.0 million, from time to time through an “at-the-market” offering program under which Canaccord acted as sales agent (the “2024 ATM Offering”). We had no obligation to sell any shares under the Canaccord Sales Agreement and could at any time suspend solicitation and offers under the Canaccord Sales Agreement. The 2024 ATM Offering was made pursuant to the 2023 Shelf Registration Statement and a prospectus supplement related to the 2024 ATM Offering dated December 11,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we sold and issued 23,425,650 shares of our Class A common stock under the 2024 ATM Offering, resulting in gross proceeds of $36.2 million. Net proceeds were $34.8 million after commissions and issuance costs of $1.4 million. We sold no shares of our Class A common stock under the 2024 ATM Offering during the year ended December 31, 2025. In connection with the July 2025 Registered Direct Offering, we provided written notice, effective as of July 3, 2025, to Canaccord of our election to terminate the Canaccord Sales Agreement for our at-the-market offering. At the time of termination, we had sold 23,425,650 shares of our Class A common stock under the Canaccord Sales Agreement for aggregate gross proceeds of $36.2 million.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 2025, we entered into a securities purchase agreement with certain institutional investors in connection with the January 2025 Registered Direct Offering. The gross proceeds from the January 2025 Registered Direct Offering were $50.0 million. After deducting estimated placement agents’ fees and other offering expenses payable by us, net proceeds recorded as of December 31, 2025 were approximately $46.8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 2025, we entered into a securities purchase agreement with a certain institutional investor in connection with the July 2025 Registered Direct Offering. The Pre-Funded Warrants were exercised in full on August 1, 2025 at the exercise price of $0.0001 for one share of Class A common stock per Pre-Funded Warrant. The gross proceeds from the July 2025 Registered Direct Offering were $50.0 million. After deducting estimated placement agents’ fees and other offering expenses payable by us, net proceeds as of December 31, 2025 were approximately $46.7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26, 2025, we entered into the Leerink Sales Agreement. We have no obligation to sell any shares under the Leerink Sales Agreement and may at any time suspend solicitation and offers under the Leerink Sales Agreement. The 2025 ATM Offering is being made pursuant to the 2025 Shelf Registration Statement and a prospectus supplement related to the 2025 ATM Offering. During the three months ended March 31, 2026 and the year ended December 31, 2025, there were no shares sold under the Leerink Sales Agreement. Shares offered and sold in the 2025 ATM Offering, if any, will be sold pursuant to the 2025 Shelf Registration Statement.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forecast capital expenditures in order to execute on our business plan and maintain growth; however, the actual amount and timing of such capital expenditures will ultimately be determined by the volume of business. We currently anticipate our capital expenditures for the year ended December 31, 2026 will be approximately $5.0 million. We have funded and plan to continue funding these capital expenditures with cash and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2029. As of March 31, 2026, future lease payments were approximately $4.0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related to certain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$0.1 million as well as royalties based on net sales if the royalties exceed annual minimum fixed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results may differ from these estimates under different assumptions or conditions. Please refer to our critical accounting policies as disclosed in our Annual Report on Form 10-K for the year ended December 31, 2025 and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accompanying notes to the unaudited Condensed Consolidated Financial Statements for a complete description of our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-287655</wp:posOffset>
            </wp:positionV>
            <wp:extent cx="159448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94485" cy="12890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accompanying notes to the unaudited Condensed Consolidated Financial Statements included elsewhere in this Quarterly Report on Form 10-Q for a description of recently issued accounting pronouncements that impacted or may potentially impact our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-424815</wp:posOffset>
            </wp:positionV>
            <wp:extent cx="384873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48735" cy="128905"/>
                    </a:xfrm>
                    <a:prstGeom prst="rect">
                      <a:avLst/>
                    </a:prstGeom>
                    <a:noFill/>
                  </pic:spPr>
                </pic:pic>
              </a:graphicData>
            </a:graphic>
          </wp:anchor>
        </w:drawing>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marketable securities are comprised primarily of investments in money market funds backed by U.S. government issued securities, U.S. Treasury bills, U.S. government agency bonds and high-quality corporate bonds and commercial paper. The primary objective of our investments is the preservation of capital to fulfill liquidity needs. We do not enter into investments for trading or speculative purposes. Based on the short-term nature of the majority of our holdings, future interest rate changes are not expected to have a material impact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unaudited Condensed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March 31,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From time to time, the Company is engaged in legal proceedings in the ordinary course of business. For further information on the Company’s legal proceedings, please refer to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highlight w:val="white"/>
        </w:rPr>
        <w:t>Commitments and Contingencies</w:t>
      </w:r>
      <w:r>
        <w:rPr>
          <w:rFonts w:ascii="Times New Roman" w:cs="Times New Roman" w:eastAsia="Times New Roman" w:hAnsi="Times New Roman"/>
          <w:sz w:val="18"/>
          <w:szCs w:val="18"/>
          <w:color w:val="auto"/>
        </w:rPr>
        <w:t xml:space="preserve"> in the notes to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results of operations, financial condition and cash flows are subject to various risks and uncertainties including the risk factors described under the caption “Risk Factors” in our Annual Report on Form 10-K for the year ended December 31, 2025, as filed with the SEC on March 3, 2026. There have been no material changes from the risk factors previously disclosed.</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officers or directors, as defined in Rule 16a-1(f), adopted, modified or terminated a “Rule 10b5-1 trading arrangement” or a “non-Rule 10b5-1 trading arrangement,” as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right="40"/>
        <w:spacing w:after="0" w:line="276" w:lineRule="auto"/>
        <w:rPr>
          <w:sz w:val="20"/>
          <w:szCs w:val="20"/>
          <w:color w:val="auto"/>
        </w:rPr>
      </w:pPr>
      <w:r>
        <w:rPr>
          <w:rFonts w:ascii="Times New Roman" w:cs="Times New Roman" w:eastAsia="Times New Roman" w:hAnsi="Times New Roman"/>
          <w:sz w:val="18"/>
          <w:szCs w:val="18"/>
          <w:b w:val="1"/>
          <w:bCs w:val="1"/>
          <w:color w:val="auto"/>
        </w:rPr>
        <w:t>Exhibit Number</w:t>
      </w:r>
    </w:p>
    <w:p>
      <w:pPr>
        <w:ind w:left="2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w:t>
        </w:r>
      </w:hyperlink>
    </w:p>
    <w:p>
      <w:pPr>
        <w:spacing w:after="0" w:line="200" w:lineRule="exact"/>
        <w:rPr>
          <w:sz w:val="20"/>
          <w:szCs w:val="20"/>
          <w:color w:val="auto"/>
        </w:rPr>
      </w:pPr>
    </w:p>
    <w:p>
      <w:pPr>
        <w:spacing w:after="0" w:line="26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3.2</w:t>
        </w:r>
      </w:hyperlink>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240" w:type="dxa"/>
            <w:vAlign w:val="bottom"/>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24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from</w:t>
            </w:r>
          </w:p>
        </w:tc>
        <w:tc>
          <w:tcPr>
            <w:tcW w:w="1240" w:type="dxa"/>
            <w:vAlign w:val="bottom"/>
          </w:tcPr>
          <w:p>
            <w:pPr>
              <w:spacing w:after="0"/>
              <w:rPr>
                <w:sz w:val="17"/>
                <w:szCs w:val="17"/>
                <w:color w:val="auto"/>
              </w:rPr>
            </w:pPr>
          </w:p>
        </w:tc>
      </w:tr>
      <w:tr>
        <w:trPr>
          <w:trHeight w:val="245"/>
        </w:trPr>
        <w:tc>
          <w:tcPr>
            <w:tcW w:w="51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Filed Herewith</w:t>
            </w:r>
          </w:p>
        </w:tc>
        <w:tc>
          <w:tcPr>
            <w:tcW w:w="100" w:type="dxa"/>
            <w:vAlign w:val="bottom"/>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2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 of</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8/7/2024</w:t>
            </w: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Quantum-Si Incorporated, as amended.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3.1)</w:t>
            </w:r>
          </w:p>
        </w:tc>
        <w:tc>
          <w:tcPr>
            <w:tcW w:w="1240" w:type="dxa"/>
            <w:vAlign w:val="bottom"/>
          </w:tcPr>
          <w:p>
            <w:pPr>
              <w:spacing w:after="0"/>
              <w:rPr>
                <w:sz w:val="20"/>
                <w:szCs w:val="20"/>
                <w:color w:val="auto"/>
              </w:rPr>
            </w:pPr>
          </w:p>
        </w:tc>
      </w:tr>
      <w:tr>
        <w:trPr>
          <w:trHeight w:val="44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Quantum-Si Incorporated.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r>
      <w:tr>
        <w:trPr>
          <w:trHeight w:val="234"/>
        </w:trPr>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(Exhibit 3.2)</w:t>
            </w:r>
          </w:p>
        </w:tc>
        <w:tc>
          <w:tcPr>
            <w:tcW w:w="1240" w:type="dxa"/>
            <w:vAlign w:val="bottom"/>
          </w:tcPr>
          <w:p>
            <w:pPr>
              <w:spacing w:after="0"/>
              <w:rPr>
                <w:sz w:val="20"/>
                <w:szCs w:val="20"/>
                <w:color w:val="auto"/>
              </w:rPr>
            </w:pPr>
          </w:p>
        </w:tc>
      </w:tr>
      <w:tr>
        <w:trPr>
          <w:trHeight w:val="44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302 of the Sarbanes-Oxley Act of 2002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1"/>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2"/>
        </w:trPr>
        <w:tc>
          <w:tcPr>
            <w:tcW w:w="5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7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-3300095</wp:posOffset>
            </wp:positionV>
            <wp:extent cx="71323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-2871470</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-2442845</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-2014220</wp:posOffset>
            </wp:positionV>
            <wp:extent cx="71323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-1585595</wp:posOffset>
            </wp:positionV>
            <wp:extent cx="713232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-1156970</wp:posOffset>
            </wp:positionV>
            <wp:extent cx="7132320" cy="428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-591185</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-290830</wp:posOffset>
            </wp:positionV>
            <wp:extent cx="713232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-3736975</wp:posOffset>
            </wp:positionV>
            <wp:extent cx="713232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540"/>
            <w:col w:w="10000"/>
          </w:cols>
          <w:pgMar w:left="320" w:top="290" w:right="339" w:bottom="1440" w:gutter="0" w:footer="0" w:header="0"/>
          <w:type w:val="continuous"/>
        </w:sectPr>
      </w:pPr>
    </w:p>
    <w:p>
      <w:pPr>
        <w:spacing w:after="0" w:line="160" w:lineRule="exact"/>
        <w:rPr>
          <w:sz w:val="20"/>
          <w:szCs w:val="20"/>
          <w:color w:val="auto"/>
        </w:rPr>
      </w:pPr>
    </w:p>
    <w:p>
      <w:pPr>
        <w:jc w:val="both"/>
        <w:ind w:left="340" w:hanging="332"/>
        <w:spacing w:after="0" w:line="243" w:lineRule="auto"/>
        <w:tabs>
          <w:tab w:leader="none" w:pos="3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63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QUANTUM-SI INCORPORATED</w:t>
            </w:r>
          </w:p>
        </w:tc>
      </w:tr>
      <w:tr>
        <w:trPr>
          <w:trHeight w:val="68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tc>
      </w:tr>
      <w:tr>
        <w:trPr>
          <w:trHeight w:val="243"/>
        </w:trPr>
        <w:tc>
          <w:tcPr>
            <w:tcW w:w="3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Hawkins</w:t>
            </w:r>
          </w:p>
        </w:tc>
      </w:tr>
      <w:tr>
        <w:trPr>
          <w:trHeight w:val="257"/>
        </w:trPr>
        <w:tc>
          <w:tcPr>
            <w:tcW w:w="34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7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tc>
      </w:tr>
      <w:tr>
        <w:trPr>
          <w:trHeight w:val="243"/>
        </w:trPr>
        <w:tc>
          <w:tcPr>
            <w:tcW w:w="34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Keyes</w:t>
            </w:r>
          </w:p>
        </w:tc>
      </w:tr>
      <w:tr>
        <w:trPr>
          <w:trHeight w:val="257"/>
        </w:trPr>
        <w:tc>
          <w:tcPr>
            <w:tcW w:w="34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04"/>
        </w:trPr>
        <w:tc>
          <w:tcPr>
            <w:tcW w:w="3440" w:type="dxa"/>
            <w:vAlign w:val="bottom"/>
          </w:tcPr>
          <w:p>
            <w:pPr>
              <w:spacing w:after="0"/>
              <w:rPr>
                <w:sz w:val="24"/>
                <w:szCs w:val="24"/>
                <w:color w:val="auto"/>
              </w:rPr>
            </w:pPr>
          </w:p>
        </w:tc>
        <w:tc>
          <w:tcPr>
            <w:tcW w:w="2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c>
          <w:tcPr>
            <w:tcW w:w="3760" w:type="dxa"/>
            <w:vAlign w:val="bottom"/>
          </w:tcPr>
          <w:p>
            <w:pPr>
              <w:spacing w:after="0"/>
              <w:rPr>
                <w:sz w:val="24"/>
                <w:szCs w:val="24"/>
                <w:color w:val="auto"/>
              </w:rPr>
            </w:pPr>
          </w:p>
        </w:tc>
      </w:tr>
    </w:tbl>
    <w:p>
      <w:pPr>
        <w:sectPr>
          <w:pgSz w:w="11900" w:h="16838" w:orient="portrait"/>
          <w:cols w:equalWidth="0" w:num="1">
            <w:col w:w="11240"/>
          </w:cols>
          <w:pgMar w:left="320" w:top="29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Hawkins,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2570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Jeffry Keyes,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7089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Jeffry Keyes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228028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26060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Jeffry Keyes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68" Type="http://schemas.openxmlformats.org/officeDocument/2006/relationships/hyperlink" Target="https://www.sec.gov/Archives/edgar/data/1816431/000162828024035626/qsiex31.htm" TargetMode="External"/><Relationship Id="rId69" Type="http://schemas.openxmlformats.org/officeDocument/2006/relationships/hyperlink" Target="https://www.sec.gov/Archives/edgar/data/1816431/000114036122007334/brhc1003456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2026-05-07T15:55:13Z</dcterms:created>
  <dcterms:modified xsi:type="dcterms:W3CDTF">2026-05-07T15:55:13Z</dcterms:modified>
</cp:coreProperties>
</file>