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270510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129540</wp:posOffset>
            </wp:positionV>
            <wp:extent cx="14274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29" w:lineRule="exact"/>
        <w:rPr>
          <w:sz w:val="24"/>
          <w:szCs w:val="24"/>
          <w:color w:val="auto"/>
        </w:rPr>
      </w:pPr>
    </w:p>
    <w:p>
      <w:pPr>
        <w:ind w:left="3980" w:right="2300" w:hanging="3976"/>
        <w:spacing w:after="0" w:line="471" w:lineRule="auto"/>
        <w:tabs>
          <w:tab w:leader="none" w:pos="463"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20" w:lineRule="exact"/>
        <w:rPr>
          <w:sz w:val="24"/>
          <w:szCs w:val="24"/>
          <w:color w:val="auto"/>
        </w:rPr>
      </w:pPr>
    </w:p>
    <w:p>
      <w:pPr>
        <w:ind w:left="480" w:hanging="476"/>
        <w:spacing w:after="0"/>
        <w:tabs>
          <w:tab w:leader="none" w:pos="48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8" w:lineRule="exact"/>
        <w:rPr>
          <w:sz w:val="24"/>
          <w:szCs w:val="24"/>
          <w:color w:val="auto"/>
        </w:rPr>
      </w:pPr>
    </w:p>
    <w:p>
      <w:pPr>
        <w:ind w:left="3980"/>
        <w:spacing w:after="0"/>
        <w:tabs>
          <w:tab w:leader="none" w:pos="66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3947160</wp:posOffset>
            </wp:positionH>
            <wp:positionV relativeFrom="paragraph">
              <wp:posOffset>-3175</wp:posOffset>
            </wp:positionV>
            <wp:extent cx="668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001-39486</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139065</wp:posOffset>
            </wp:positionV>
            <wp:extent cx="142748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680" w:type="dxa"/>
        <w:tblCellMar>
          <w:top w:w="0" w:type="dxa"/>
          <w:left w:w="0" w:type="dxa"/>
          <w:bottom w:w="0" w:type="dxa"/>
          <w:right w:w="0" w:type="dxa"/>
        </w:tblCellMar>
      </w:tblPr>
      <w:tr>
        <w:trPr>
          <w:trHeight w:val="210"/>
        </w:trPr>
        <w:tc>
          <w:tcPr>
            <w:tcW w:w="5360" w:type="dxa"/>
            <w:vAlign w:val="bottom"/>
          </w:tcPr>
          <w:p>
            <w:pPr>
              <w:jc w:val="center"/>
              <w:ind w:right="113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720" w:type="dxa"/>
            <w:vAlign w:val="bottom"/>
          </w:tcPr>
          <w:p>
            <w:pPr>
              <w:jc w:val="center"/>
              <w:ind w:left="1113"/>
              <w:spacing w:after="0"/>
              <w:rPr>
                <w:sz w:val="20"/>
                <w:szCs w:val="20"/>
                <w:color w:val="auto"/>
              </w:rPr>
            </w:pPr>
            <w:r>
              <w:rPr>
                <w:rFonts w:ascii="Times New Roman" w:cs="Times New Roman" w:eastAsia="Times New Roman" w:hAnsi="Times New Roman"/>
                <w:sz w:val="17"/>
                <w:szCs w:val="17"/>
                <w:b w:val="1"/>
                <w:bCs w:val="1"/>
                <w:color w:val="auto"/>
              </w:rPr>
              <w:t>85-1388175</w:t>
            </w:r>
          </w:p>
        </w:tc>
      </w:tr>
      <w:tr>
        <w:trPr>
          <w:trHeight w:val="226"/>
        </w:trPr>
        <w:tc>
          <w:tcPr>
            <w:tcW w:w="5360" w:type="dxa"/>
            <w:vAlign w:val="bottom"/>
          </w:tcPr>
          <w:p>
            <w:pPr>
              <w:jc w:val="center"/>
              <w:ind w:right="113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72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95"/>
        </w:trPr>
        <w:tc>
          <w:tcPr>
            <w:tcW w:w="536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29 Business Park Drive</w:t>
            </w:r>
          </w:p>
        </w:tc>
        <w:tc>
          <w:tcPr>
            <w:tcW w:w="3720" w:type="dxa"/>
            <w:vAlign w:val="bottom"/>
          </w:tcPr>
          <w:p>
            <w:pPr>
              <w:spacing w:after="0"/>
              <w:rPr>
                <w:sz w:val="24"/>
                <w:szCs w:val="24"/>
                <w:color w:val="auto"/>
              </w:rPr>
            </w:pPr>
          </w:p>
        </w:tc>
      </w:tr>
      <w:tr>
        <w:trPr>
          <w:trHeight w:val="210"/>
        </w:trPr>
        <w:tc>
          <w:tcPr>
            <w:tcW w:w="536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Branford, Connecticut</w:t>
            </w:r>
          </w:p>
        </w:tc>
        <w:tc>
          <w:tcPr>
            <w:tcW w:w="372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06405</w:t>
            </w:r>
          </w:p>
        </w:tc>
      </w:tr>
      <w:tr>
        <w:trPr>
          <w:trHeight w:val="226"/>
        </w:trPr>
        <w:tc>
          <w:tcPr>
            <w:tcW w:w="536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720" w:type="dxa"/>
            <w:vAlign w:val="bottom"/>
          </w:tcPr>
          <w:p>
            <w:pPr>
              <w:jc w:val="center"/>
              <w:ind w:left="115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(866) 688-7374</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Trading Symbols(s)</w:t>
            </w:r>
          </w:p>
        </w:tc>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90"/>
        </w:trPr>
        <w:tc>
          <w:tcPr>
            <w:tcW w:w="49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Class A common stock, $0.0001 per share</w:t>
            </w:r>
          </w:p>
        </w:tc>
        <w:tc>
          <w:tcPr>
            <w:tcW w:w="1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QSI</w:t>
            </w:r>
          </w:p>
        </w:tc>
        <w:tc>
          <w:tcPr>
            <w:tcW w:w="100" w:type="dxa"/>
            <w:vAlign w:val="bottom"/>
          </w:tcPr>
          <w:p>
            <w:pPr>
              <w:spacing w:after="0"/>
              <w:rPr>
                <w:sz w:val="16"/>
                <w:szCs w:val="16"/>
                <w:color w:val="auto"/>
              </w:rPr>
            </w:pPr>
          </w:p>
        </w:tc>
        <w:tc>
          <w:tcPr>
            <w:tcW w:w="4500" w:type="dxa"/>
            <w:vAlign w:val="bottom"/>
            <w:tcBorders>
              <w:top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7"/>
                <w:szCs w:val="17"/>
                <w:color w:val="auto"/>
              </w:rPr>
              <w:t>The Nasdaq Stock Market LLC</w:t>
            </w:r>
          </w:p>
        </w:tc>
      </w:tr>
      <w:tr>
        <w:trPr>
          <w:trHeight w:val="208"/>
        </w:trPr>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Redeemable warrants, each whole warrant exercisable for one share of</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QSIAW</w:t>
            </w:r>
          </w:p>
        </w:tc>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6"/>
        </w:trPr>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Class A common stock, each at an exercise price of $11.50 per share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44"/>
        </w:trPr>
        <w:tc>
          <w:tcPr>
            <w:tcW w:w="9180" w:type="dxa"/>
            <w:vAlign w:val="bottom"/>
            <w:gridSpan w:val="5"/>
          </w:tcPr>
          <w:p>
            <w:pPr>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w:t>
            </w:r>
          </w:p>
        </w:tc>
        <w:tc>
          <w:tcPr>
            <w:tcW w:w="2060" w:type="dxa"/>
            <w:vAlign w:val="bottom"/>
          </w:tcPr>
          <w:p>
            <w:pPr>
              <w:ind w:left="100"/>
              <w:spacing w:after="0" w:line="228" w:lineRule="exact"/>
              <w:rPr>
                <w:sz w:val="20"/>
                <w:szCs w:val="20"/>
                <w:color w:val="auto"/>
              </w:rPr>
            </w:pPr>
            <w:r>
              <w:rPr>
                <w:rFonts w:ascii="Arial Unicode MS" w:cs="Arial Unicode MS" w:eastAsia="Arial Unicode MS" w:hAnsi="Arial Unicode MS"/>
                <w:sz w:val="17"/>
                <w:szCs w:val="17"/>
                <w:color w:val="auto"/>
              </w:rPr>
              <w:t>☒</w:t>
            </w:r>
          </w:p>
        </w:tc>
      </w:tr>
      <w:tr>
        <w:trPr>
          <w:trHeight w:val="416"/>
        </w:trPr>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Exchange Act.</w:t>
            </w:r>
          </w:p>
        </w:tc>
        <w:tc>
          <w:tcPr>
            <w:tcW w:w="2060" w:type="dxa"/>
            <w:vAlign w:val="bottom"/>
          </w:tcPr>
          <w:p>
            <w:pPr>
              <w:spacing w:after="0" w:line="228" w:lineRule="exact"/>
              <w:rPr>
                <w:sz w:val="20"/>
                <w:szCs w:val="20"/>
                <w:color w:val="auto"/>
              </w:rPr>
            </w:pPr>
            <w:r>
              <w:rPr>
                <w:rFonts w:ascii="Times New Roman" w:cs="Times New Roman" w:eastAsia="Times New Roman" w:hAnsi="Times New Roman"/>
                <w:sz w:val="17"/>
                <w:szCs w:val="17"/>
                <w:color w:val="auto"/>
              </w:rPr>
              <w:t xml:space="preserve">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tc>
      </w:tr>
    </w:tbl>
    <w:p>
      <w:pPr>
        <w:spacing w:after="0" w:line="161"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16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36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560" w:type="dxa"/>
        <w:tblCellMar>
          <w:top w:w="0" w:type="dxa"/>
          <w:left w:w="0" w:type="dxa"/>
          <w:bottom w:w="0" w:type="dxa"/>
          <w:right w:w="0" w:type="dxa"/>
        </w:tblCellMar>
      </w:tblP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00" w:type="dxa"/>
            <w:vAlign w:val="bottom"/>
          </w:tcPr>
          <w:p>
            <w:pPr>
              <w:ind w:left="34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00" w:type="dxa"/>
            <w:vAlign w:val="bottom"/>
          </w:tcPr>
          <w:p>
            <w:pPr>
              <w:ind w:left="740"/>
              <w:spacing w:after="0" w:line="228" w:lineRule="exact"/>
              <w:rPr>
                <w:sz w:val="20"/>
                <w:szCs w:val="20"/>
                <w:color w:val="auto"/>
              </w:rPr>
            </w:pPr>
            <w:r>
              <w:rPr>
                <w:rFonts w:ascii="Arial Unicode MS" w:cs="Arial Unicode MS" w:eastAsia="Arial Unicode MS" w:hAnsi="Arial Unicode MS"/>
                <w:sz w:val="17"/>
                <w:szCs w:val="17"/>
                <w:color w:val="auto"/>
              </w:rPr>
              <w:t>☐</w:t>
            </w:r>
          </w:p>
        </w:tc>
      </w:tr>
      <w:tr>
        <w:trPr>
          <w:trHeight w:val="20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00" w:type="dxa"/>
            <w:vAlign w:val="bottom"/>
          </w:tcPr>
          <w:p>
            <w:pPr>
              <w:ind w:left="340"/>
              <w:spacing w:after="0" w:line="208" w:lineRule="exact"/>
              <w:rPr>
                <w:sz w:val="20"/>
                <w:szCs w:val="20"/>
                <w:color w:val="auto"/>
              </w:rPr>
            </w:pPr>
            <w:r>
              <w:rPr>
                <w:rFonts w:ascii="Arial Unicode MS" w:cs="Arial Unicode MS" w:eastAsia="Arial Unicode MS" w:hAnsi="Arial Unicode MS"/>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00" w:type="dxa"/>
            <w:vAlign w:val="bottom"/>
          </w:tcPr>
          <w:p>
            <w:pPr>
              <w:ind w:left="740"/>
              <w:spacing w:after="0" w:line="208" w:lineRule="exact"/>
              <w:rPr>
                <w:sz w:val="20"/>
                <w:szCs w:val="20"/>
                <w:color w:val="auto"/>
              </w:rPr>
            </w:pPr>
            <w:r>
              <w:rPr>
                <w:rFonts w:ascii="Arial Unicode MS" w:cs="Arial Unicode MS" w:eastAsia="Arial Unicode MS" w:hAnsi="Arial Unicode MS"/>
                <w:sz w:val="17"/>
                <w:szCs w:val="17"/>
                <w:color w:val="auto"/>
              </w:rPr>
              <w:t>☒</w:t>
            </w:r>
          </w:p>
        </w:tc>
      </w:tr>
      <w:tr>
        <w:trPr>
          <w:trHeight w:val="293"/>
        </w:trPr>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00" w:type="dxa"/>
            <w:vAlign w:val="bottom"/>
          </w:tcPr>
          <w:p>
            <w:pPr>
              <w:ind w:left="740"/>
              <w:spacing w:after="0" w:line="228" w:lineRule="exact"/>
              <w:rPr>
                <w:sz w:val="20"/>
                <w:szCs w:val="20"/>
                <w:color w:val="auto"/>
              </w:rPr>
            </w:pPr>
            <w:r>
              <w:rPr>
                <w:rFonts w:ascii="Arial Unicode MS" w:cs="Arial Unicode MS" w:eastAsia="Arial Unicode MS" w:hAnsi="Arial Unicode MS"/>
                <w:sz w:val="17"/>
                <w:szCs w:val="17"/>
                <w:color w:val="auto"/>
              </w:rPr>
              <w:t>☐</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62"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7"/>
          <w:szCs w:val="17"/>
          <w:color w:val="auto"/>
        </w:rPr>
        <w:t>☐</w:t>
      </w:r>
    </w:p>
    <w:p>
      <w:pPr>
        <w:spacing w:after="0" w:line="16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auto"/>
        </w:rPr>
        <w:t>☐</w:t>
      </w:r>
    </w:p>
    <w:p>
      <w:pPr>
        <w:spacing w:after="0" w:line="1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7"/>
          <w:szCs w:val="17"/>
          <w:color w:val="auto"/>
        </w:rPr>
        <w:t>ﬃ</w:t>
      </w:r>
      <w:r>
        <w:rPr>
          <w:rFonts w:ascii="Times New Roman" w:cs="Times New Roman" w:eastAsia="Times New Roman" w:hAnsi="Times New Roman"/>
          <w:sz w:val="17"/>
          <w:szCs w:val="17"/>
          <w:color w:val="auto"/>
        </w:rPr>
        <w:t xml:space="preserve">cers during the relevant recovery period pursuant to §240.10D-1(b). </w:t>
      </w:r>
      <w:r>
        <w:rPr>
          <w:rFonts w:ascii="Arial Unicode MS" w:cs="Arial Unicode MS" w:eastAsia="Arial Unicode MS" w:hAnsi="Arial Unicode MS"/>
          <w:sz w:val="17"/>
          <w:szCs w:val="17"/>
          <w:color w:val="auto"/>
        </w:rPr>
        <w:t>☐</w:t>
      </w:r>
    </w:p>
    <w:p>
      <w:pPr>
        <w:spacing w:after="0" w:line="123"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ectPr>
          <w:pgSz w:w="11900" w:h="16838" w:orient="portrait"/>
          <w:cols w:equalWidth="0" w:num="1">
            <w:col w:w="11240"/>
          </w:cols>
          <w:pgMar w:left="320" w:top="502" w:right="339" w:bottom="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7"/>
          <w:szCs w:val="17"/>
          <w:color w:val="auto"/>
        </w:rPr>
        <w:t>The aggregate market value of the registrant’s voting and non-voting equity held by non-affiliates of the registrant (without admitting that any person whose securities are not included in such calculation is an affiliate) computed by reference to the price at which the Class A common stock was last sold as of June 30, 2023, the last business day of the registrant’s most recently completed second fiscal quarter, was approximately $179.3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February 20, 2024, the registrant had 121,832,417 shares of Class A common stock outstanding and 19,937,500 shares of Class B common stock outstanding.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documents (or parts thereof) are incorporated by reference into the following parts of this Form 10-K: Certain information required in Part III of this Annual Report on Form 10-K is incorporated by reference from the Registrant’s Proxy Statement for the 2024 Annual Meeting of Stockholders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713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262890</wp:posOffset>
            </wp:positionV>
            <wp:extent cx="713740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403225</wp:posOffset>
            </wp:positionV>
            <wp:extent cx="7137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10-K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fiscal year ended December 31,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gridSpan w:val="12"/>
          </w:tcPr>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7"/>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gridSpan w:val="3"/>
          </w:tcPr>
          <w:p>
            <w:pPr>
              <w:ind w:left="50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27"/>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8"/>
        </w:trPr>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560" w:type="dxa"/>
            <w:vAlign w:val="bottom"/>
            <w:gridSpan w:val="23"/>
            <w:shd w:val="clear" w:color="auto" w:fill="CCEEFF"/>
          </w:tcPr>
          <w:p>
            <w:pPr>
              <w:ind w:left="260"/>
              <w:spacing w:after="0" w:line="169"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860" w:type="dxa"/>
            <w:vAlign w:val="bottom"/>
            <w:gridSpan w:val="2"/>
            <w:shd w:val="clear" w:color="auto" w:fill="CCEEFF"/>
          </w:tcPr>
          <w:p>
            <w:pPr>
              <w:jc w:val="center"/>
              <w:ind w:left="413"/>
              <w:spacing w:after="0" w:line="169" w:lineRule="exact"/>
              <w:rPr>
                <w:sz w:val="20"/>
                <w:szCs w:val="20"/>
                <w:color w:val="auto"/>
              </w:rPr>
            </w:pPr>
            <w:r>
              <w:rPr>
                <w:rFonts w:ascii="Times New Roman" w:cs="Times New Roman" w:eastAsia="Times New Roman" w:hAnsi="Times New Roman"/>
                <w:sz w:val="17"/>
                <w:szCs w:val="17"/>
                <w:color w:val="auto"/>
                <w:w w:val="93"/>
              </w:rPr>
              <w:t>3</w:t>
            </w:r>
          </w:p>
        </w:tc>
        <w:tc>
          <w:tcPr>
            <w:tcW w:w="380" w:type="dxa"/>
            <w:vAlign w:val="bottom"/>
            <w:shd w:val="clear" w:color="auto" w:fill="CCEEFF"/>
          </w:tcPr>
          <w:p>
            <w:pPr>
              <w:spacing w:after="0"/>
              <w:rPr>
                <w:sz w:val="16"/>
                <w:szCs w:val="16"/>
                <w:color w:val="auto"/>
              </w:rPr>
            </w:pPr>
          </w:p>
        </w:tc>
      </w:tr>
      <w:tr>
        <w:trPr>
          <w:trHeight w:val="178"/>
        </w:trPr>
        <w:tc>
          <w:tcPr>
            <w:tcW w:w="144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7"/>
                <w:szCs w:val="17"/>
                <w:b w:val="1"/>
                <w:bCs w:val="1"/>
                <w:color w:val="0000EE"/>
              </w:rPr>
              <w:t>Part I</w:t>
            </w:r>
          </w:p>
        </w:tc>
        <w:tc>
          <w:tcPr>
            <w:tcW w:w="26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gridSpan w:val="2"/>
          </w:tcPr>
          <w:p>
            <w:pPr>
              <w:jc w:val="center"/>
              <w:ind w:left="413"/>
              <w:spacing w:after="0" w:line="169" w:lineRule="exact"/>
              <w:rPr>
                <w:sz w:val="20"/>
                <w:szCs w:val="20"/>
                <w:color w:val="auto"/>
              </w:rPr>
            </w:pPr>
            <w:r>
              <w:rPr>
                <w:rFonts w:ascii="Times New Roman" w:cs="Times New Roman" w:eastAsia="Times New Roman" w:hAnsi="Times New Roman"/>
                <w:sz w:val="17"/>
                <w:szCs w:val="17"/>
                <w:color w:val="auto"/>
                <w:w w:val="93"/>
              </w:rPr>
              <w:t>6</w:t>
            </w:r>
          </w:p>
        </w:tc>
        <w:tc>
          <w:tcPr>
            <w:tcW w:w="380" w:type="dxa"/>
            <w:vAlign w:val="bottom"/>
            <w:tcBorders>
              <w:top w:val="single" w:sz="8" w:color="CCEEFF"/>
            </w:tcBorders>
          </w:tcPr>
          <w:p>
            <w:pPr>
              <w:spacing w:after="0"/>
              <w:rPr>
                <w:sz w:val="15"/>
                <w:szCs w:val="15"/>
                <w:color w:val="auto"/>
              </w:rPr>
            </w:pPr>
          </w:p>
        </w:tc>
      </w:tr>
      <w:tr>
        <w:trPr>
          <w:trHeight w:val="178"/>
        </w:trPr>
        <w:tc>
          <w:tcPr>
            <w:tcW w:w="440" w:type="dxa"/>
            <w:vAlign w:val="bottom"/>
            <w:tcBorders>
              <w:top w:val="single" w:sz="8" w:color="0000EE"/>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1.</w:t>
            </w:r>
          </w:p>
        </w:tc>
        <w:tc>
          <w:tcPr>
            <w:tcW w:w="260" w:type="dxa"/>
            <w:vAlign w:val="bottom"/>
            <w:shd w:val="clear" w:color="auto" w:fill="CCEEFF"/>
          </w:tcPr>
          <w:p>
            <w:pPr>
              <w:spacing w:after="0"/>
              <w:rPr>
                <w:sz w:val="15"/>
                <w:szCs w:val="15"/>
                <w:color w:val="auto"/>
              </w:rPr>
            </w:pPr>
          </w:p>
        </w:tc>
        <w:tc>
          <w:tcPr>
            <w:tcW w:w="8300" w:type="dxa"/>
            <w:vAlign w:val="bottom"/>
            <w:gridSpan w:val="2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Business</w:t>
            </w:r>
          </w:p>
        </w:tc>
        <w:tc>
          <w:tcPr>
            <w:tcW w:w="860" w:type="dxa"/>
            <w:vAlign w:val="bottom"/>
            <w:gridSpan w:val="2"/>
            <w:shd w:val="clear" w:color="auto" w:fill="CCEEFF"/>
          </w:tcPr>
          <w:p>
            <w:pPr>
              <w:jc w:val="center"/>
              <w:ind w:left="413"/>
              <w:spacing w:after="0" w:line="179" w:lineRule="exact"/>
              <w:rPr>
                <w:sz w:val="20"/>
                <w:szCs w:val="20"/>
                <w:color w:val="auto"/>
              </w:rPr>
            </w:pPr>
            <w:r>
              <w:rPr>
                <w:rFonts w:ascii="Times New Roman" w:cs="Times New Roman" w:eastAsia="Times New Roman" w:hAnsi="Times New Roman"/>
                <w:sz w:val="17"/>
                <w:szCs w:val="17"/>
                <w:color w:val="auto"/>
                <w:w w:val="93"/>
              </w:rPr>
              <w:t>6</w:t>
            </w:r>
          </w:p>
        </w:tc>
        <w:tc>
          <w:tcPr>
            <w:tcW w:w="380" w:type="dxa"/>
            <w:vAlign w:val="bottom"/>
            <w:shd w:val="clear" w:color="auto" w:fill="CCEEFF"/>
          </w:tcPr>
          <w:p>
            <w:pPr>
              <w:spacing w:after="0"/>
              <w:rPr>
                <w:sz w:val="15"/>
                <w:szCs w:val="15"/>
                <w:color w:val="auto"/>
              </w:rPr>
            </w:pPr>
          </w:p>
        </w:tc>
      </w:tr>
      <w:tr>
        <w:trPr>
          <w:trHeight w:val="39"/>
        </w:trPr>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178"/>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1A.</w:t>
            </w:r>
          </w:p>
        </w:tc>
        <w:tc>
          <w:tcPr>
            <w:tcW w:w="260" w:type="dxa"/>
            <w:vAlign w:val="bottom"/>
          </w:tcPr>
          <w:p>
            <w:pPr>
              <w:spacing w:after="0"/>
              <w:rPr>
                <w:sz w:val="15"/>
                <w:szCs w:val="15"/>
                <w:color w:val="auto"/>
              </w:rPr>
            </w:pPr>
          </w:p>
        </w:tc>
        <w:tc>
          <w:tcPr>
            <w:tcW w:w="88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7"/>
                <w:szCs w:val="17"/>
                <w:color w:val="0000EE"/>
              </w:rPr>
              <w:t>Risk Factors</w:t>
            </w:r>
          </w:p>
        </w:tc>
        <w:tc>
          <w:tcPr>
            <w:tcW w:w="7420" w:type="dxa"/>
            <w:vAlign w:val="bottom"/>
            <w:gridSpan w:val="19"/>
          </w:tcPr>
          <w:p>
            <w:pPr>
              <w:spacing w:after="0"/>
              <w:rPr>
                <w:sz w:val="15"/>
                <w:szCs w:val="15"/>
                <w:color w:val="auto"/>
              </w:rPr>
            </w:pP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28</w:t>
            </w:r>
          </w:p>
        </w:tc>
        <w:tc>
          <w:tcPr>
            <w:tcW w:w="380" w:type="dxa"/>
            <w:vAlign w:val="bottom"/>
          </w:tcPr>
          <w:p>
            <w:pPr>
              <w:spacing w:after="0"/>
              <w:rPr>
                <w:sz w:val="15"/>
                <w:szCs w:val="15"/>
                <w:color w:val="auto"/>
              </w:rPr>
            </w:pPr>
          </w:p>
        </w:tc>
      </w:tr>
      <w:tr>
        <w:trPr>
          <w:trHeight w:val="197"/>
        </w:trPr>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1B.</w:t>
            </w:r>
          </w:p>
        </w:tc>
        <w:tc>
          <w:tcPr>
            <w:tcW w:w="2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9"/>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Unresolved Staff Comments</w:t>
            </w:r>
          </w:p>
        </w:tc>
        <w:tc>
          <w:tcPr>
            <w:tcW w:w="6320" w:type="dxa"/>
            <w:vAlign w:val="bottom"/>
            <w:tcBorders>
              <w:bottom w:val="single" w:sz="8" w:color="CCEEFF"/>
            </w:tcBorders>
            <w:gridSpan w:val="13"/>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59</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78"/>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1C.</w:t>
            </w:r>
          </w:p>
        </w:tc>
        <w:tc>
          <w:tcPr>
            <w:tcW w:w="260" w:type="dxa"/>
            <w:vAlign w:val="bottom"/>
          </w:tcPr>
          <w:p>
            <w:pPr>
              <w:spacing w:after="0"/>
              <w:rPr>
                <w:sz w:val="15"/>
                <w:szCs w:val="15"/>
                <w:color w:val="auto"/>
              </w:rPr>
            </w:pPr>
          </w:p>
        </w:tc>
        <w:tc>
          <w:tcPr>
            <w:tcW w:w="98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7"/>
                <w:szCs w:val="17"/>
                <w:color w:val="0000EE"/>
              </w:rPr>
              <w:t>Cybersecurity</w:t>
            </w:r>
          </w:p>
        </w:tc>
        <w:tc>
          <w:tcPr>
            <w:tcW w:w="7320" w:type="dxa"/>
            <w:vAlign w:val="bottom"/>
            <w:gridSpan w:val="18"/>
          </w:tcPr>
          <w:p>
            <w:pPr>
              <w:spacing w:after="0"/>
              <w:rPr>
                <w:sz w:val="15"/>
                <w:szCs w:val="15"/>
                <w:color w:val="auto"/>
              </w:rPr>
            </w:pP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59</w:t>
            </w:r>
          </w:p>
        </w:tc>
        <w:tc>
          <w:tcPr>
            <w:tcW w:w="380" w:type="dxa"/>
            <w:vAlign w:val="bottom"/>
          </w:tcPr>
          <w:p>
            <w:pPr>
              <w:spacing w:after="0"/>
              <w:rPr>
                <w:sz w:val="15"/>
                <w:szCs w:val="15"/>
                <w:color w:val="auto"/>
              </w:rPr>
            </w:pPr>
          </w:p>
        </w:tc>
      </w:tr>
      <w:tr>
        <w:trPr>
          <w:trHeight w:val="178"/>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2.</w:t>
            </w:r>
          </w:p>
        </w:tc>
        <w:tc>
          <w:tcPr>
            <w:tcW w:w="260" w:type="dxa"/>
            <w:vAlign w:val="bottom"/>
            <w:shd w:val="clear" w:color="auto" w:fill="CCEEFF"/>
          </w:tcPr>
          <w:p>
            <w:pPr>
              <w:spacing w:after="0"/>
              <w:rPr>
                <w:sz w:val="15"/>
                <w:szCs w:val="15"/>
                <w:color w:val="auto"/>
              </w:rPr>
            </w:pPr>
          </w:p>
        </w:tc>
        <w:tc>
          <w:tcPr>
            <w:tcW w:w="8300" w:type="dxa"/>
            <w:vAlign w:val="bottom"/>
            <w:gridSpan w:val="2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Properties</w:t>
            </w: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60</w:t>
            </w:r>
          </w:p>
        </w:tc>
        <w:tc>
          <w:tcPr>
            <w:tcW w:w="380" w:type="dxa"/>
            <w:vAlign w:val="bottom"/>
            <w:shd w:val="clear" w:color="auto" w:fill="CCEEFF"/>
          </w:tcPr>
          <w:p>
            <w:pPr>
              <w:spacing w:after="0"/>
              <w:rPr>
                <w:sz w:val="15"/>
                <w:szCs w:val="15"/>
                <w:color w:val="auto"/>
              </w:rPr>
            </w:pPr>
          </w:p>
        </w:tc>
      </w:tr>
      <w:tr>
        <w:trPr>
          <w:trHeight w:val="39"/>
        </w:trPr>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178"/>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3.</w:t>
            </w:r>
          </w:p>
        </w:tc>
        <w:tc>
          <w:tcPr>
            <w:tcW w:w="260" w:type="dxa"/>
            <w:vAlign w:val="bottom"/>
          </w:tcPr>
          <w:p>
            <w:pPr>
              <w:spacing w:after="0"/>
              <w:rPr>
                <w:sz w:val="15"/>
                <w:szCs w:val="15"/>
                <w:color w:val="auto"/>
              </w:rPr>
            </w:pPr>
          </w:p>
        </w:tc>
        <w:tc>
          <w:tcPr>
            <w:tcW w:w="1300" w:type="dxa"/>
            <w:vAlign w:val="bottom"/>
            <w:tcBorders>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7"/>
                <w:szCs w:val="17"/>
                <w:color w:val="0000EE"/>
              </w:rPr>
              <w:t>Legal Proceedings</w:t>
            </w:r>
          </w:p>
        </w:tc>
        <w:tc>
          <w:tcPr>
            <w:tcW w:w="7000" w:type="dxa"/>
            <w:vAlign w:val="bottom"/>
            <w:gridSpan w:val="16"/>
          </w:tcPr>
          <w:p>
            <w:pPr>
              <w:spacing w:after="0"/>
              <w:rPr>
                <w:sz w:val="15"/>
                <w:szCs w:val="15"/>
                <w:color w:val="auto"/>
              </w:rPr>
            </w:pP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60</w:t>
            </w:r>
          </w:p>
        </w:tc>
        <w:tc>
          <w:tcPr>
            <w:tcW w:w="380" w:type="dxa"/>
            <w:vAlign w:val="bottom"/>
          </w:tcPr>
          <w:p>
            <w:pPr>
              <w:spacing w:after="0"/>
              <w:rPr>
                <w:sz w:val="15"/>
                <w:szCs w:val="15"/>
                <w:color w:val="auto"/>
              </w:rPr>
            </w:pPr>
          </w:p>
        </w:tc>
      </w:tr>
      <w:tr>
        <w:trPr>
          <w:trHeight w:val="197"/>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4.</w:t>
            </w:r>
          </w:p>
        </w:tc>
        <w:tc>
          <w:tcPr>
            <w:tcW w:w="8560" w:type="dxa"/>
            <w:vAlign w:val="bottom"/>
            <w:gridSpan w:val="23"/>
            <w:shd w:val="clear" w:color="auto" w:fill="CCEEFF"/>
          </w:tcPr>
          <w:p>
            <w:pPr>
              <w:ind w:left="260"/>
              <w:spacing w:after="0" w:line="179" w:lineRule="exact"/>
              <w:rPr>
                <w:sz w:val="20"/>
                <w:szCs w:val="20"/>
                <w:color w:val="auto"/>
              </w:rPr>
            </w:pPr>
            <w:r>
              <w:rPr>
                <w:rFonts w:ascii="Times New Roman" w:cs="Times New Roman" w:eastAsia="Times New Roman" w:hAnsi="Times New Roman"/>
                <w:sz w:val="17"/>
                <w:szCs w:val="17"/>
                <w:color w:val="0000EE"/>
              </w:rPr>
              <w:t>Mine Safety Disclosures</w:t>
            </w: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60</w:t>
            </w:r>
          </w:p>
        </w:tc>
        <w:tc>
          <w:tcPr>
            <w:tcW w:w="380" w:type="dxa"/>
            <w:vAlign w:val="bottom"/>
            <w:shd w:val="clear" w:color="auto" w:fill="CCEEFF"/>
          </w:tcPr>
          <w:p>
            <w:pPr>
              <w:spacing w:after="0"/>
              <w:rPr>
                <w:sz w:val="17"/>
                <w:szCs w:val="17"/>
                <w:color w:val="auto"/>
              </w:rPr>
            </w:pPr>
          </w:p>
        </w:tc>
      </w:tr>
      <w:tr>
        <w:trPr>
          <w:trHeight w:val="208"/>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88"/>
        </w:trPr>
        <w:tc>
          <w:tcPr>
            <w:tcW w:w="144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7"/>
                <w:szCs w:val="17"/>
                <w:b w:val="1"/>
                <w:bCs w:val="1"/>
                <w:color w:val="0000EE"/>
              </w:rPr>
              <w:t>Part II</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61</w:t>
            </w:r>
          </w:p>
        </w:tc>
        <w:tc>
          <w:tcPr>
            <w:tcW w:w="380" w:type="dxa"/>
            <w:vAlign w:val="bottom"/>
            <w:shd w:val="clear" w:color="auto" w:fill="CCEEFF"/>
          </w:tcPr>
          <w:p>
            <w:pPr>
              <w:spacing w:after="0"/>
              <w:rPr>
                <w:sz w:val="16"/>
                <w:szCs w:val="16"/>
                <w:color w:val="auto"/>
              </w:rPr>
            </w:pPr>
          </w:p>
        </w:tc>
      </w:tr>
      <w:tr>
        <w:trPr>
          <w:trHeight w:val="178"/>
        </w:trPr>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5.</w:t>
            </w:r>
          </w:p>
        </w:tc>
        <w:tc>
          <w:tcPr>
            <w:tcW w:w="260" w:type="dxa"/>
            <w:vAlign w:val="bottom"/>
            <w:tcBorders>
              <w:top w:val="single" w:sz="8" w:color="CCEEFF"/>
            </w:tcBorders>
          </w:tcPr>
          <w:p>
            <w:pPr>
              <w:spacing w:after="0"/>
              <w:rPr>
                <w:sz w:val="15"/>
                <w:szCs w:val="15"/>
                <w:color w:val="auto"/>
              </w:rPr>
            </w:pPr>
          </w:p>
        </w:tc>
        <w:tc>
          <w:tcPr>
            <w:tcW w:w="7780" w:type="dxa"/>
            <w:vAlign w:val="bottom"/>
            <w:tcBorders>
              <w:top w:val="single" w:sz="8" w:color="CCEEFF"/>
              <w:bottom w:val="single" w:sz="8" w:color="0000EE"/>
            </w:tcBorders>
            <w:gridSpan w:val="21"/>
          </w:tcPr>
          <w:p>
            <w:pPr>
              <w:spacing w:after="0" w:line="169" w:lineRule="exact"/>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5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61</w:t>
            </w:r>
          </w:p>
        </w:tc>
        <w:tc>
          <w:tcPr>
            <w:tcW w:w="380" w:type="dxa"/>
            <w:vAlign w:val="bottom"/>
            <w:tcBorders>
              <w:top w:val="single" w:sz="8" w:color="CCEEFF"/>
            </w:tcBorders>
          </w:tcPr>
          <w:p>
            <w:pPr>
              <w:spacing w:after="0"/>
              <w:rPr>
                <w:sz w:val="15"/>
                <w:szCs w:val="15"/>
                <w:color w:val="auto"/>
              </w:rPr>
            </w:pPr>
          </w:p>
        </w:tc>
      </w:tr>
      <w:tr>
        <w:trPr>
          <w:trHeight w:val="178"/>
        </w:trPr>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6.</w:t>
            </w:r>
          </w:p>
        </w:tc>
        <w:tc>
          <w:tcPr>
            <w:tcW w:w="260" w:type="dxa"/>
            <w:vAlign w:val="bottom"/>
            <w:shd w:val="clear" w:color="auto" w:fill="CCEEFF"/>
          </w:tcPr>
          <w:p>
            <w:pPr>
              <w:spacing w:after="0"/>
              <w:rPr>
                <w:sz w:val="15"/>
                <w:szCs w:val="15"/>
                <w:color w:val="auto"/>
              </w:rPr>
            </w:pPr>
          </w:p>
        </w:tc>
        <w:tc>
          <w:tcPr>
            <w:tcW w:w="8300" w:type="dxa"/>
            <w:vAlign w:val="bottom"/>
            <w:gridSpan w:val="2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[Reserved]</w:t>
            </w: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61</w:t>
            </w:r>
          </w:p>
        </w:tc>
        <w:tc>
          <w:tcPr>
            <w:tcW w:w="380" w:type="dxa"/>
            <w:vAlign w:val="bottom"/>
            <w:shd w:val="clear" w:color="auto" w:fill="CCEEFF"/>
          </w:tcPr>
          <w:p>
            <w:pPr>
              <w:spacing w:after="0"/>
              <w:rPr>
                <w:sz w:val="15"/>
                <w:szCs w:val="15"/>
                <w:color w:val="auto"/>
              </w:rPr>
            </w:pPr>
          </w:p>
        </w:tc>
      </w:tr>
      <w:tr>
        <w:trPr>
          <w:trHeight w:val="39"/>
        </w:trPr>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178"/>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7.</w:t>
            </w:r>
          </w:p>
        </w:tc>
        <w:tc>
          <w:tcPr>
            <w:tcW w:w="260" w:type="dxa"/>
            <w:vAlign w:val="bottom"/>
          </w:tcPr>
          <w:p>
            <w:pPr>
              <w:spacing w:after="0"/>
              <w:rPr>
                <w:sz w:val="15"/>
                <w:szCs w:val="15"/>
                <w:color w:val="auto"/>
              </w:rPr>
            </w:pPr>
          </w:p>
        </w:tc>
        <w:tc>
          <w:tcPr>
            <w:tcW w:w="8300" w:type="dxa"/>
            <w:vAlign w:val="bottom"/>
            <w:gridSpan w:val="22"/>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62</w:t>
            </w:r>
          </w:p>
        </w:tc>
        <w:tc>
          <w:tcPr>
            <w:tcW w:w="380" w:type="dxa"/>
            <w:vAlign w:val="bottom"/>
          </w:tcPr>
          <w:p>
            <w:pPr>
              <w:spacing w:after="0"/>
              <w:rPr>
                <w:sz w:val="15"/>
                <w:szCs w:val="15"/>
                <w:color w:val="auto"/>
              </w:rPr>
            </w:pPr>
          </w:p>
        </w:tc>
      </w:tr>
      <w:tr>
        <w:trPr>
          <w:trHeight w:val="197"/>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7A.</w:t>
            </w:r>
          </w:p>
        </w:tc>
        <w:tc>
          <w:tcPr>
            <w:tcW w:w="260" w:type="dxa"/>
            <w:vAlign w:val="bottom"/>
            <w:shd w:val="clear" w:color="auto" w:fill="CCEEFF"/>
          </w:tcPr>
          <w:p>
            <w:pPr>
              <w:spacing w:after="0"/>
              <w:rPr>
                <w:sz w:val="17"/>
                <w:szCs w:val="17"/>
                <w:color w:val="auto"/>
              </w:rPr>
            </w:pPr>
          </w:p>
        </w:tc>
        <w:tc>
          <w:tcPr>
            <w:tcW w:w="6220" w:type="dxa"/>
            <w:vAlign w:val="bottom"/>
            <w:tcBorders>
              <w:top w:val="single" w:sz="8" w:color="0000EE"/>
            </w:tcBorders>
            <w:gridSpan w:val="18"/>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080" w:type="dxa"/>
            <w:vAlign w:val="bottom"/>
            <w:gridSpan w:val="4"/>
            <w:shd w:val="clear" w:color="auto" w:fill="CCEEFF"/>
          </w:tcPr>
          <w:p>
            <w:pPr>
              <w:spacing w:after="0"/>
              <w:rPr>
                <w:sz w:val="17"/>
                <w:szCs w:val="17"/>
                <w:color w:val="auto"/>
              </w:rPr>
            </w:pP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71</w:t>
            </w:r>
          </w:p>
        </w:tc>
        <w:tc>
          <w:tcPr>
            <w:tcW w:w="380" w:type="dxa"/>
            <w:vAlign w:val="bottom"/>
            <w:shd w:val="clear" w:color="auto" w:fill="CCEEFF"/>
          </w:tcPr>
          <w:p>
            <w:pPr>
              <w:spacing w:after="0"/>
              <w:rPr>
                <w:sz w:val="17"/>
                <w:szCs w:val="17"/>
                <w:color w:val="auto"/>
              </w:rPr>
            </w:pPr>
          </w:p>
        </w:tc>
      </w:tr>
      <w:tr>
        <w:trPr>
          <w:trHeight w:val="169"/>
        </w:trPr>
        <w:tc>
          <w:tcPr>
            <w:tcW w:w="4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8.</w:t>
            </w:r>
          </w:p>
        </w:tc>
        <w:tc>
          <w:tcPr>
            <w:tcW w:w="260" w:type="dxa"/>
            <w:vAlign w:val="bottom"/>
            <w:tcBorders>
              <w:top w:val="single" w:sz="8" w:color="CCEEFF"/>
            </w:tcBorders>
          </w:tcPr>
          <w:p>
            <w:pPr>
              <w:spacing w:after="0"/>
              <w:rPr>
                <w:sz w:val="14"/>
                <w:szCs w:val="14"/>
                <w:color w:val="auto"/>
              </w:rPr>
            </w:pPr>
          </w:p>
        </w:tc>
        <w:tc>
          <w:tcPr>
            <w:tcW w:w="4200" w:type="dxa"/>
            <w:vAlign w:val="bottom"/>
            <w:tcBorders>
              <w:top w:val="single" w:sz="8" w:color="0000EE"/>
            </w:tcBorders>
            <w:gridSpan w:val="15"/>
          </w:tcPr>
          <w:p>
            <w:pPr>
              <w:spacing w:after="0" w:line="169"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4100" w:type="dxa"/>
            <w:vAlign w:val="bottom"/>
            <w:tcBorders>
              <w:top w:val="single" w:sz="8" w:color="CCEEFF"/>
            </w:tcBorders>
            <w:gridSpan w:val="7"/>
          </w:tcPr>
          <w:p>
            <w:pPr>
              <w:spacing w:after="0"/>
              <w:rPr>
                <w:sz w:val="14"/>
                <w:szCs w:val="14"/>
                <w:color w:val="auto"/>
              </w:rPr>
            </w:pPr>
          </w:p>
        </w:tc>
        <w:tc>
          <w:tcPr>
            <w:tcW w:w="860" w:type="dxa"/>
            <w:vAlign w:val="bottom"/>
            <w:tcBorders>
              <w:top w:val="single" w:sz="8" w:color="CCEEFF"/>
            </w:tcBorders>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72</w:t>
            </w:r>
          </w:p>
        </w:tc>
        <w:tc>
          <w:tcPr>
            <w:tcW w:w="380" w:type="dxa"/>
            <w:vAlign w:val="bottom"/>
            <w:tcBorders>
              <w:top w:val="single" w:sz="8" w:color="CCEEFF"/>
            </w:tcBorders>
          </w:tcPr>
          <w:p>
            <w:pPr>
              <w:spacing w:after="0"/>
              <w:rPr>
                <w:sz w:val="14"/>
                <w:szCs w:val="14"/>
                <w:color w:val="auto"/>
              </w:rPr>
            </w:pPr>
          </w:p>
        </w:tc>
      </w:tr>
      <w:tr>
        <w:trPr>
          <w:trHeight w:val="29"/>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7"/>
        </w:trPr>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9.</w:t>
            </w:r>
          </w:p>
        </w:tc>
        <w:tc>
          <w:tcPr>
            <w:tcW w:w="26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9"/>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2060" w:type="dxa"/>
            <w:vAlign w:val="bottom"/>
            <w:tcBorders>
              <w:bottom w:val="single" w:sz="8" w:color="CCEEFF"/>
            </w:tcBorders>
            <w:gridSpan w:val="3"/>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103</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78"/>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9A.</w:t>
            </w:r>
          </w:p>
        </w:tc>
        <w:tc>
          <w:tcPr>
            <w:tcW w:w="260" w:type="dxa"/>
            <w:vAlign w:val="bottom"/>
          </w:tcPr>
          <w:p>
            <w:pPr>
              <w:spacing w:after="0"/>
              <w:rPr>
                <w:sz w:val="15"/>
                <w:szCs w:val="15"/>
                <w:color w:val="auto"/>
              </w:rPr>
            </w:pPr>
          </w:p>
        </w:tc>
        <w:tc>
          <w:tcPr>
            <w:tcW w:w="8300" w:type="dxa"/>
            <w:vAlign w:val="bottom"/>
            <w:gridSpan w:val="22"/>
          </w:tcPr>
          <w:p>
            <w:pPr>
              <w:spacing w:after="0" w:line="169" w:lineRule="exact"/>
              <w:rPr>
                <w:sz w:val="20"/>
                <w:szCs w:val="20"/>
                <w:color w:val="auto"/>
              </w:rPr>
            </w:pPr>
            <w:r>
              <w:rPr>
                <w:rFonts w:ascii="Times New Roman" w:cs="Times New Roman" w:eastAsia="Times New Roman" w:hAnsi="Times New Roman"/>
                <w:sz w:val="17"/>
                <w:szCs w:val="17"/>
                <w:color w:val="0000EE"/>
              </w:rPr>
              <w:t>Controls and Procedures</w:t>
            </w: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spacing w:after="0"/>
              <w:rPr>
                <w:sz w:val="15"/>
                <w:szCs w:val="15"/>
                <w:color w:val="auto"/>
              </w:rPr>
            </w:pPr>
          </w:p>
        </w:tc>
      </w:tr>
      <w:tr>
        <w:trPr>
          <w:trHeight w:val="197"/>
        </w:trPr>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9B.</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top w:val="single" w:sz="8" w:color="0000EE"/>
              <w:bottom w:val="single" w:sz="8" w:color="0000EE"/>
            </w:tcBorders>
            <w:gridSpan w:val="5"/>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Other Information</w:t>
            </w:r>
          </w:p>
        </w:tc>
        <w:tc>
          <w:tcPr>
            <w:tcW w:w="460" w:type="dxa"/>
            <w:vAlign w:val="bottom"/>
            <w:tcBorders>
              <w:top w:val="single" w:sz="8" w:color="0000EE"/>
              <w:bottom w:val="single" w:sz="8" w:color="CCEEFF"/>
              <w:right w:val="single" w:sz="8" w:color="CCEEFF"/>
            </w:tcBorders>
            <w:gridSpan w:val="3"/>
            <w:shd w:val="clear" w:color="auto" w:fill="CCEEFF"/>
          </w:tcPr>
          <w:p>
            <w:pPr>
              <w:spacing w:after="0"/>
              <w:rPr>
                <w:sz w:val="17"/>
                <w:szCs w:val="17"/>
                <w:color w:val="auto"/>
              </w:rPr>
            </w:pPr>
          </w:p>
        </w:tc>
        <w:tc>
          <w:tcPr>
            <w:tcW w:w="6560" w:type="dxa"/>
            <w:vAlign w:val="bottom"/>
            <w:tcBorders>
              <w:bottom w:val="single" w:sz="8" w:color="CCEEFF"/>
            </w:tcBorders>
            <w:gridSpan w:val="14"/>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103</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78"/>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9C.</w:t>
            </w:r>
          </w:p>
        </w:tc>
        <w:tc>
          <w:tcPr>
            <w:tcW w:w="8560" w:type="dxa"/>
            <w:vAlign w:val="bottom"/>
            <w:gridSpan w:val="23"/>
          </w:tcPr>
          <w:p>
            <w:pPr>
              <w:ind w:left="260"/>
              <w:spacing w:after="0" w:line="169"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spacing w:after="0"/>
              <w:rPr>
                <w:sz w:val="15"/>
                <w:szCs w:val="15"/>
                <w:color w:val="auto"/>
              </w:rPr>
            </w:pPr>
          </w:p>
        </w:tc>
      </w:tr>
      <w:tr>
        <w:trPr>
          <w:trHeight w:val="217"/>
        </w:trPr>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right w:val="single" w:sz="8" w:color="CCEEFF"/>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8"/>
        </w:trPr>
        <w:tc>
          <w:tcPr>
            <w:tcW w:w="58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7"/>
                <w:szCs w:val="17"/>
                <w:b w:val="1"/>
                <w:bCs w:val="1"/>
                <w:color w:val="0000EE"/>
                <w:w w:val="99"/>
              </w:rPr>
              <w:t>Part III</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spacing w:after="0"/>
              <w:rPr>
                <w:sz w:val="15"/>
                <w:szCs w:val="15"/>
                <w:color w:val="auto"/>
              </w:rPr>
            </w:pPr>
          </w:p>
        </w:tc>
      </w:tr>
      <w:tr>
        <w:trPr>
          <w:trHeight w:val="197"/>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10.</w:t>
            </w:r>
          </w:p>
        </w:tc>
        <w:tc>
          <w:tcPr>
            <w:tcW w:w="260" w:type="dxa"/>
            <w:vAlign w:val="bottom"/>
            <w:shd w:val="clear" w:color="auto" w:fill="CCEEFF"/>
          </w:tcPr>
          <w:p>
            <w:pPr>
              <w:spacing w:after="0"/>
              <w:rPr>
                <w:sz w:val="17"/>
                <w:szCs w:val="17"/>
                <w:color w:val="auto"/>
              </w:rPr>
            </w:pPr>
          </w:p>
        </w:tc>
        <w:tc>
          <w:tcPr>
            <w:tcW w:w="8300" w:type="dxa"/>
            <w:vAlign w:val="bottom"/>
            <w:gridSpan w:val="2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shd w:val="clear" w:color="auto" w:fill="CCEEFF"/>
          </w:tcPr>
          <w:p>
            <w:pPr>
              <w:spacing w:after="0"/>
              <w:rPr>
                <w:sz w:val="17"/>
                <w:szCs w:val="17"/>
                <w:color w:val="auto"/>
              </w:rPr>
            </w:pPr>
          </w:p>
        </w:tc>
      </w:tr>
      <w:tr>
        <w:trPr>
          <w:trHeight w:val="169"/>
        </w:trPr>
        <w:tc>
          <w:tcPr>
            <w:tcW w:w="4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11.</w:t>
            </w:r>
          </w:p>
        </w:tc>
        <w:tc>
          <w:tcPr>
            <w:tcW w:w="260" w:type="dxa"/>
            <w:vAlign w:val="bottom"/>
            <w:tcBorders>
              <w:top w:val="single" w:sz="8" w:color="CCEEFF"/>
            </w:tcBorders>
          </w:tcPr>
          <w:p>
            <w:pPr>
              <w:spacing w:after="0"/>
              <w:rPr>
                <w:sz w:val="14"/>
                <w:szCs w:val="14"/>
                <w:color w:val="auto"/>
              </w:rPr>
            </w:pPr>
          </w:p>
        </w:tc>
        <w:tc>
          <w:tcPr>
            <w:tcW w:w="3940" w:type="dxa"/>
            <w:vAlign w:val="bottom"/>
            <w:tcBorders>
              <w:top w:val="single" w:sz="8" w:color="0000EE"/>
            </w:tcBorders>
            <w:gridSpan w:val="13"/>
          </w:tcPr>
          <w:p>
            <w:pPr>
              <w:spacing w:after="0" w:line="169" w:lineRule="exact"/>
              <w:rPr>
                <w:sz w:val="20"/>
                <w:szCs w:val="20"/>
                <w:color w:val="auto"/>
              </w:rPr>
            </w:pPr>
            <w:r>
              <w:rPr>
                <w:rFonts w:ascii="Times New Roman" w:cs="Times New Roman" w:eastAsia="Times New Roman" w:hAnsi="Times New Roman"/>
                <w:sz w:val="17"/>
                <w:szCs w:val="17"/>
                <w:color w:val="0000EE"/>
              </w:rPr>
              <w:t>Executive Compensation</w:t>
            </w:r>
          </w:p>
        </w:tc>
        <w:tc>
          <w:tcPr>
            <w:tcW w:w="4360" w:type="dxa"/>
            <w:vAlign w:val="bottom"/>
            <w:tcBorders>
              <w:top w:val="single" w:sz="8" w:color="CCEEFF"/>
            </w:tcBorders>
            <w:gridSpan w:val="9"/>
          </w:tcPr>
          <w:p>
            <w:pPr>
              <w:spacing w:after="0"/>
              <w:rPr>
                <w:sz w:val="14"/>
                <w:szCs w:val="14"/>
                <w:color w:val="auto"/>
              </w:rPr>
            </w:pPr>
          </w:p>
        </w:tc>
        <w:tc>
          <w:tcPr>
            <w:tcW w:w="860" w:type="dxa"/>
            <w:vAlign w:val="bottom"/>
            <w:tcBorders>
              <w:top w:val="single" w:sz="8" w:color="CCEEFF"/>
            </w:tcBorders>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tcBorders>
              <w:top w:val="single" w:sz="8" w:color="CCEEFF"/>
            </w:tcBorders>
          </w:tcPr>
          <w:p>
            <w:pPr>
              <w:spacing w:after="0"/>
              <w:rPr>
                <w:sz w:val="14"/>
                <w:szCs w:val="14"/>
                <w:color w:val="auto"/>
              </w:rPr>
            </w:pPr>
          </w:p>
        </w:tc>
      </w:tr>
      <w:tr>
        <w:trPr>
          <w:trHeight w:val="29"/>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7"/>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12.</w:t>
            </w:r>
          </w:p>
        </w:tc>
        <w:tc>
          <w:tcPr>
            <w:tcW w:w="260" w:type="dxa"/>
            <w:vAlign w:val="bottom"/>
            <w:shd w:val="clear" w:color="auto" w:fill="CCEEFF"/>
          </w:tcPr>
          <w:p>
            <w:pPr>
              <w:spacing w:after="0"/>
              <w:rPr>
                <w:sz w:val="17"/>
                <w:szCs w:val="17"/>
                <w:color w:val="auto"/>
              </w:rPr>
            </w:pPr>
          </w:p>
        </w:tc>
        <w:tc>
          <w:tcPr>
            <w:tcW w:w="8300" w:type="dxa"/>
            <w:vAlign w:val="bottom"/>
            <w:gridSpan w:val="2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shd w:val="clear" w:color="auto" w:fill="CCEEFF"/>
          </w:tcPr>
          <w:p>
            <w:pPr>
              <w:spacing w:after="0"/>
              <w:rPr>
                <w:sz w:val="17"/>
                <w:szCs w:val="17"/>
                <w:color w:val="auto"/>
              </w:rPr>
            </w:pPr>
          </w:p>
        </w:tc>
      </w:tr>
      <w:tr>
        <w:trPr>
          <w:trHeight w:val="178"/>
        </w:trPr>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13.</w:t>
            </w:r>
          </w:p>
        </w:tc>
        <w:tc>
          <w:tcPr>
            <w:tcW w:w="260" w:type="dxa"/>
            <w:vAlign w:val="bottom"/>
            <w:tcBorders>
              <w:top w:val="single" w:sz="8" w:color="CCEEFF"/>
            </w:tcBorders>
          </w:tcPr>
          <w:p>
            <w:pPr>
              <w:spacing w:after="0"/>
              <w:rPr>
                <w:sz w:val="15"/>
                <w:szCs w:val="15"/>
                <w:color w:val="auto"/>
              </w:rPr>
            </w:pPr>
          </w:p>
        </w:tc>
        <w:tc>
          <w:tcPr>
            <w:tcW w:w="5260" w:type="dxa"/>
            <w:vAlign w:val="bottom"/>
            <w:tcBorders>
              <w:top w:val="single" w:sz="8" w:color="0000EE"/>
              <w:bottom w:val="single" w:sz="8" w:color="0000EE"/>
            </w:tcBorders>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1760" w:type="dxa"/>
            <w:vAlign w:val="bottom"/>
            <w:tcBorders>
              <w:top w:val="single" w:sz="8" w:color="0000EE"/>
            </w:tcBorders>
            <w:gridSpan w:val="3"/>
          </w:tcPr>
          <w:p>
            <w:pPr>
              <w:spacing w:after="0"/>
              <w:rPr>
                <w:sz w:val="15"/>
                <w:szCs w:val="15"/>
                <w:color w:val="auto"/>
              </w:rPr>
            </w:pPr>
          </w:p>
        </w:tc>
        <w:tc>
          <w:tcPr>
            <w:tcW w:w="1280" w:type="dxa"/>
            <w:vAlign w:val="bottom"/>
            <w:tcBorders>
              <w:top w:val="single" w:sz="8" w:color="CCEEFF"/>
            </w:tcBorders>
            <w:gridSpan w:val="2"/>
          </w:tcPr>
          <w:p>
            <w:pPr>
              <w:spacing w:after="0"/>
              <w:rPr>
                <w:sz w:val="15"/>
                <w:szCs w:val="15"/>
                <w:color w:val="auto"/>
              </w:rPr>
            </w:pPr>
          </w:p>
        </w:tc>
        <w:tc>
          <w:tcPr>
            <w:tcW w:w="860" w:type="dxa"/>
            <w:vAlign w:val="bottom"/>
            <w:tcBorders>
              <w:top w:val="single" w:sz="8" w:color="CCEEFF"/>
            </w:tcBorders>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tcBorders>
              <w:top w:val="single" w:sz="8" w:color="CCEEFF"/>
            </w:tcBorders>
          </w:tcPr>
          <w:p>
            <w:pPr>
              <w:spacing w:after="0"/>
              <w:rPr>
                <w:sz w:val="15"/>
                <w:szCs w:val="15"/>
                <w:color w:val="auto"/>
              </w:rPr>
            </w:pPr>
          </w:p>
        </w:tc>
      </w:tr>
      <w:tr>
        <w:trPr>
          <w:trHeight w:val="197"/>
        </w:trPr>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14.</w:t>
            </w:r>
          </w:p>
        </w:tc>
        <w:tc>
          <w:tcPr>
            <w:tcW w:w="8560" w:type="dxa"/>
            <w:vAlign w:val="bottom"/>
            <w:gridSpan w:val="23"/>
            <w:shd w:val="clear" w:color="auto" w:fill="CCEEFF"/>
          </w:tcPr>
          <w:p>
            <w:pPr>
              <w:ind w:left="260"/>
              <w:spacing w:after="0" w:line="179"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860" w:type="dxa"/>
            <w:vAlign w:val="bottom"/>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104</w:t>
            </w:r>
          </w:p>
        </w:tc>
        <w:tc>
          <w:tcPr>
            <w:tcW w:w="380" w:type="dxa"/>
            <w:vAlign w:val="bottom"/>
            <w:shd w:val="clear" w:color="auto" w:fill="CCEEFF"/>
          </w:tcPr>
          <w:p>
            <w:pPr>
              <w:spacing w:after="0"/>
              <w:rPr>
                <w:sz w:val="17"/>
                <w:szCs w:val="17"/>
                <w:color w:val="auto"/>
              </w:rPr>
            </w:pPr>
          </w:p>
        </w:tc>
      </w:tr>
      <w:tr>
        <w:trPr>
          <w:trHeight w:val="208"/>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88"/>
        </w:trPr>
        <w:tc>
          <w:tcPr>
            <w:tcW w:w="144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7"/>
                <w:szCs w:val="17"/>
                <w:b w:val="1"/>
                <w:bCs w:val="1"/>
                <w:color w:val="0000EE"/>
              </w:rPr>
              <w:t>Part IV</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105</w:t>
            </w:r>
          </w:p>
        </w:tc>
        <w:tc>
          <w:tcPr>
            <w:tcW w:w="380" w:type="dxa"/>
            <w:vAlign w:val="bottom"/>
            <w:shd w:val="clear" w:color="auto" w:fill="CCEEFF"/>
          </w:tcPr>
          <w:p>
            <w:pPr>
              <w:spacing w:after="0"/>
              <w:rPr>
                <w:sz w:val="16"/>
                <w:szCs w:val="16"/>
                <w:color w:val="auto"/>
              </w:rPr>
            </w:pPr>
          </w:p>
        </w:tc>
      </w:tr>
      <w:tr>
        <w:trPr>
          <w:trHeight w:val="178"/>
        </w:trPr>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80" w:type="dxa"/>
            <w:vAlign w:val="bottom"/>
            <w:tcBorders>
              <w:top w:val="single" w:sz="8" w:color="CCEEFF"/>
            </w:tcBorders>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Item 15.</w:t>
            </w:r>
          </w:p>
        </w:tc>
        <w:tc>
          <w:tcPr>
            <w:tcW w:w="260" w:type="dxa"/>
            <w:vAlign w:val="bottom"/>
            <w:tcBorders>
              <w:top w:val="single" w:sz="8" w:color="CCEEFF"/>
            </w:tcBorders>
          </w:tcPr>
          <w:p>
            <w:pPr>
              <w:spacing w:after="0"/>
              <w:rPr>
                <w:sz w:val="15"/>
                <w:szCs w:val="15"/>
                <w:color w:val="auto"/>
              </w:rPr>
            </w:pPr>
          </w:p>
        </w:tc>
        <w:tc>
          <w:tcPr>
            <w:tcW w:w="8300" w:type="dxa"/>
            <w:vAlign w:val="bottom"/>
            <w:tcBorders>
              <w:top w:val="single" w:sz="8" w:color="CCEEFF"/>
            </w:tcBorders>
            <w:gridSpan w:val="22"/>
          </w:tcPr>
          <w:p>
            <w:pPr>
              <w:spacing w:after="0" w:line="169" w:lineRule="exact"/>
              <w:rPr>
                <w:sz w:val="20"/>
                <w:szCs w:val="20"/>
                <w:color w:val="auto"/>
              </w:rPr>
            </w:pPr>
            <w:r>
              <w:rPr>
                <w:rFonts w:ascii="Times New Roman" w:cs="Times New Roman" w:eastAsia="Times New Roman" w:hAnsi="Times New Roman"/>
                <w:sz w:val="17"/>
                <w:szCs w:val="17"/>
                <w:color w:val="0000EE"/>
              </w:rPr>
              <w:t>Exhibits and Financial Statement Schedules</w:t>
            </w:r>
          </w:p>
        </w:tc>
        <w:tc>
          <w:tcPr>
            <w:tcW w:w="860" w:type="dxa"/>
            <w:vAlign w:val="bottom"/>
            <w:tcBorders>
              <w:top w:val="single" w:sz="8" w:color="CCEEFF"/>
            </w:tcBorders>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105</w:t>
            </w:r>
          </w:p>
        </w:tc>
        <w:tc>
          <w:tcPr>
            <w:tcW w:w="380" w:type="dxa"/>
            <w:vAlign w:val="bottom"/>
            <w:tcBorders>
              <w:top w:val="single" w:sz="8" w:color="CCEEFF"/>
            </w:tcBorders>
          </w:tcPr>
          <w:p>
            <w:pPr>
              <w:spacing w:after="0"/>
              <w:rPr>
                <w:sz w:val="15"/>
                <w:szCs w:val="15"/>
                <w:color w:val="auto"/>
              </w:rPr>
            </w:pPr>
          </w:p>
        </w:tc>
      </w:tr>
      <w:tr>
        <w:trPr>
          <w:trHeight w:val="197"/>
        </w:trPr>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Item 16.</w:t>
            </w:r>
          </w:p>
        </w:tc>
        <w:tc>
          <w:tcPr>
            <w:tcW w:w="2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top w:val="single" w:sz="8" w:color="0000EE"/>
              <w:bottom w:val="single" w:sz="8" w:color="0000EE"/>
            </w:tcBorders>
            <w:gridSpan w:val="7"/>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Form 10-K Summary</w:t>
            </w:r>
          </w:p>
        </w:tc>
        <w:tc>
          <w:tcPr>
            <w:tcW w:w="154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5260" w:type="dxa"/>
            <w:vAlign w:val="bottom"/>
            <w:tcBorders>
              <w:bottom w:val="single" w:sz="8" w:color="CCEEFF"/>
            </w:tcBorders>
            <w:gridSpan w:val="11"/>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center"/>
              <w:ind w:left="433"/>
              <w:spacing w:after="0" w:line="179" w:lineRule="exact"/>
              <w:rPr>
                <w:sz w:val="20"/>
                <w:szCs w:val="20"/>
                <w:color w:val="auto"/>
              </w:rPr>
            </w:pPr>
            <w:r>
              <w:rPr>
                <w:rFonts w:ascii="Times New Roman" w:cs="Times New Roman" w:eastAsia="Times New Roman" w:hAnsi="Times New Roman"/>
                <w:sz w:val="17"/>
                <w:szCs w:val="17"/>
                <w:color w:val="auto"/>
              </w:rPr>
              <w:t>108</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69"/>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7"/>
                <w:szCs w:val="17"/>
                <w:color w:val="0000EE"/>
              </w:rPr>
              <w:t>Signatures</w:t>
            </w:r>
          </w:p>
        </w:tc>
        <w:tc>
          <w:tcPr>
            <w:tcW w:w="7540" w:type="dxa"/>
            <w:vAlign w:val="bottom"/>
            <w:gridSpan w:val="20"/>
          </w:tcPr>
          <w:p>
            <w:pPr>
              <w:spacing w:after="0"/>
              <w:rPr>
                <w:sz w:val="14"/>
                <w:szCs w:val="14"/>
                <w:color w:val="auto"/>
              </w:rPr>
            </w:pPr>
          </w:p>
        </w:tc>
        <w:tc>
          <w:tcPr>
            <w:tcW w:w="860" w:type="dxa"/>
            <w:vAlign w:val="bottom"/>
            <w:gridSpan w:val="2"/>
          </w:tcPr>
          <w:p>
            <w:pPr>
              <w:jc w:val="center"/>
              <w:ind w:left="433"/>
              <w:spacing w:after="0" w:line="169" w:lineRule="exact"/>
              <w:rPr>
                <w:sz w:val="20"/>
                <w:szCs w:val="20"/>
                <w:color w:val="auto"/>
              </w:rPr>
            </w:pPr>
            <w:r>
              <w:rPr>
                <w:rFonts w:ascii="Times New Roman" w:cs="Times New Roman" w:eastAsia="Times New Roman" w:hAnsi="Times New Roman"/>
                <w:sz w:val="17"/>
                <w:szCs w:val="17"/>
                <w:color w:val="auto"/>
              </w:rPr>
              <w:t>109</w:t>
            </w:r>
          </w:p>
        </w:tc>
        <w:tc>
          <w:tcPr>
            <w:tcW w:w="380" w:type="dxa"/>
            <w:vAlign w:val="bottom"/>
          </w:tcPr>
          <w:p>
            <w:pPr>
              <w:spacing w:after="0"/>
              <w:rPr>
                <w:sz w:val="14"/>
                <w:szCs w:val="14"/>
                <w:color w:val="auto"/>
              </w:rPr>
            </w:pPr>
          </w:p>
        </w:tc>
      </w:tr>
      <w:tr>
        <w:trPr>
          <w:trHeight w:val="555"/>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60" w:type="dxa"/>
            <w:vAlign w:val="bottom"/>
            <w:gridSpan w:val="15"/>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2"/>
        </w:trPr>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Annual Report on Form 10-K include, but are not limited to, statements about:</w:t>
      </w:r>
    </w:p>
    <w:p>
      <w:pPr>
        <w:spacing w:after="0" w:line="177" w:lineRule="exact"/>
        <w:rPr>
          <w:sz w:val="20"/>
          <w:szCs w:val="20"/>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pandemics or epidemics on our business;</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benefits of the Business Combination (as defined below), which may be affected by, among other things, competition and our ability to grow and manage growth profitably and retain our key employees;</w:t>
      </w: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maintain the listing of our Class A common stock on The Nasdaq Stock Market LLC;</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financing in the future;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cost and timing of our product development and commercialization activities;</w:t>
      </w:r>
    </w:p>
    <w:p>
      <w:pPr>
        <w:spacing w:after="0" w:line="12" w:lineRule="exact"/>
        <w:rPr>
          <w:rFonts w:ascii="Times New Roman" w:cs="Times New Roman" w:eastAsia="Times New Roman" w:hAnsi="Times New Roman"/>
          <w:sz w:val="17"/>
          <w:szCs w:val="17"/>
          <w:color w:val="auto"/>
        </w:rPr>
      </w:pPr>
    </w:p>
    <w:p>
      <w:pPr>
        <w:ind w:left="620" w:hanging="304"/>
        <w:spacing w:after="0" w:line="192"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commercialization and adoption of our existing products, including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protein sequencing instrument, and the success of any product we may offer in the future;</w:t>
      </w:r>
    </w:p>
    <w:p>
      <w:pPr>
        <w:spacing w:after="0" w:line="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regulatory approval for its products, and any related restrictions and limitations of any approved product;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in-license or acquire additional technology;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its existing lease, license, manufacture and supply agreements;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ind w:left="620" w:hanging="304"/>
        <w:spacing w:after="0" w:line="255"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potential of the markets for our products and services, and its ability to serve those markets once commercialized, either alone or in partnership with others;</w:t>
      </w: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future expenses, future revenue, capital requirements and needs for additional financing;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in this Annual Report on Form 10-K as filed with the Securities and Exchange Commissions (the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References in the summary below to “we”, “us”, “our” the “Company” and “Quantum-Si” refer to Quantum-Si and its subsidiaries.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22" w:lineRule="exact"/>
        <w:rPr>
          <w:sz w:val="20"/>
          <w:szCs w:val="20"/>
          <w:color w:val="auto"/>
        </w:rPr>
      </w:pPr>
    </w:p>
    <w:p>
      <w:pPr>
        <w:ind w:left="620" w:hanging="304"/>
        <w:spacing w:after="0" w:line="266"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ind w:left="620" w:hanging="304"/>
        <w:spacing w:after="0" w:line="255"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ind w:left="620" w:hanging="304"/>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additional capital to fund ongoing research and development, operating activities, and commercialization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22" w:lineRule="exact"/>
        <w:rPr>
          <w:sz w:val="20"/>
          <w:szCs w:val="20"/>
          <w:color w:val="auto"/>
        </w:rPr>
      </w:pPr>
    </w:p>
    <w:p>
      <w:pPr>
        <w:ind w:left="620" w:hanging="30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recently commercially launched our first product, but we may not be able to successfully commercially launch other future products.</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sales and marketing capabilities, we may not be successful in commercializing our products.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markets for our products may be smaller than estimated, and new market opportunities may not develop as quickly as we expect, or at all, limiting our ability to successfully sell our products.</w:t>
      </w:r>
    </w:p>
    <w:p>
      <w:pPr>
        <w:ind w:left="620" w:hanging="30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global economic conditions could adversely affect our business, financial condition or results of operations.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sustain or successfully manage our anticipated growth, our business and prospects will be harmed.</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Recently and in the past, we have undergone leadership transitions and an internal restructuring, and we depend on our key personnel and other highly qualified personnel, and if we are unable to recruit, train and retain our personnel in the future, we may not achieve our goals.</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jc w:val="both"/>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certain contract manufacturers to manufacture and supply our instruments, components of our instruments, and certain components of our consumable offerings. If these manufacturers should fail or not perform satisfactorily, our ability to commercialize and supply our instruments and consumable offerings would be adversely affected.</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internal manufacturing equipment is specialized with limited vendor options and long lead times. If these pieces of equipment were to stop working and be unable to be repaired in a timely manner or at all, our ability to manufacturer our semiconductor chips would be adversely affected.</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successfully develop and maintain our Platinum Analysis Software service, our commercialization efforts and therefore business and results of operations could suffer.</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Commercializing our products outside of the United States could expose us to business, regulatory, political, operational, financial, and economic risks associated with doing business outside of the United States.</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foundries to produce wafers, which when packaged and tested internally, lead to our supply of semiconductor chips. If these third-party foundries should fail or not perform satisfactorily, our ability to supply semiconductor chips would be negatively and adversely affected.</w:t>
      </w:r>
    </w:p>
    <w:p>
      <w:pPr>
        <w:ind w:left="620" w:hanging="30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life sciences technology market is highly competitive. If we fail to compete effectively, our business and results of operations will suffer.</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other companies or technologies which could divert our management’s attention, result in additional dilution to our stockholders and otherwise disrupt our operations and harm our operating results.</w:t>
      </w:r>
    </w:p>
    <w:p>
      <w:pPr>
        <w:ind w:left="620" w:hanging="304"/>
        <w:spacing w:after="0" w:line="255"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ind w:left="620" w:hanging="304"/>
        <w:spacing w:after="0" w:line="270"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experience a significant disruption in our information technology systems, including our Platinum Analysis Software services, or cybersecurity incidents, our business could be adversely affected.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222" w:lineRule="exact"/>
        <w:rPr>
          <w:sz w:val="20"/>
          <w:szCs w:val="20"/>
          <w:color w:val="auto"/>
        </w:rPr>
      </w:pPr>
    </w:p>
    <w:p>
      <w:pPr>
        <w:jc w:val="both"/>
        <w:ind w:left="620" w:hanging="304"/>
        <w:spacing w:after="0" w:line="262"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research use only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reagents may be used by clinical laboratories to create LDTs, which could, in the future, become subject to some form of FDA regulatory requirements, which could materially and adversely affect our business and results of operations.</w:t>
      </w:r>
    </w:p>
    <w:p>
      <w:pPr>
        <w:jc w:val="both"/>
        <w:ind w:left="620" w:hanging="304"/>
        <w:spacing w:after="0" w:line="255"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jc w:val="both"/>
        <w:ind w:left="620" w:hanging="304"/>
        <w:spacing w:after="0" w:line="260"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subject to, and may in the future become subject to, both U.S. federal and state laws and regulations as well as international laws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22" w:lineRule="exact"/>
        <w:rPr>
          <w:sz w:val="20"/>
          <w:szCs w:val="20"/>
          <w:color w:val="auto"/>
        </w:rPr>
      </w:pPr>
    </w:p>
    <w:p>
      <w:pPr>
        <w:jc w:val="both"/>
        <w:ind w:left="620" w:hanging="304"/>
        <w:spacing w:after="0" w:line="262"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the confidentiality of our trade secrets, the value of our technology could be materially adversely affected, and our business could be harmed.</w:t>
      </w: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terms may be inadequate to protect our competitive position on our products for an adequate amount of time.</w:t>
      </w:r>
    </w:p>
    <w:p>
      <w:pPr>
        <w:spacing w:after="0" w:line="12" w:lineRule="exact"/>
        <w:rPr>
          <w:rFonts w:ascii="Times New Roman" w:cs="Times New Roman" w:eastAsia="Times New Roman" w:hAnsi="Times New Roman"/>
          <w:sz w:val="17"/>
          <w:szCs w:val="17"/>
          <w:color w:val="auto"/>
        </w:rPr>
      </w:pPr>
    </w:p>
    <w:p>
      <w:pPr>
        <w:jc w:val="both"/>
        <w:ind w:left="620" w:hanging="304"/>
        <w:spacing w:after="0" w:line="262"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 and to Being a Public Company</w:t>
      </w:r>
    </w:p>
    <w:p>
      <w:pPr>
        <w:spacing w:after="0" w:line="222" w:lineRule="exact"/>
        <w:rPr>
          <w:sz w:val="20"/>
          <w:szCs w:val="20"/>
          <w:color w:val="auto"/>
        </w:rPr>
      </w:pPr>
    </w:p>
    <w:p>
      <w:pPr>
        <w:ind w:left="620" w:hanging="304"/>
        <w:spacing w:after="0" w:line="266"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outstanding warrants became exercisable for our Class A common stock in September 2021, which increased the number of shares eligible for future resale in the public market and resulted in dilution to our stockholders.</w:t>
      </w:r>
    </w:p>
    <w:p>
      <w:pPr>
        <w:jc w:val="both"/>
        <w:ind w:left="620" w:hanging="304"/>
        <w:spacing w:after="0" w:line="255"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ind w:left="620" w:hanging="304"/>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disclosure controls and procedures may not prevent or detect all errors or acts of fraud.</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are a “controlled company” within the meaning of the Nasdaq rules, our stockholders may not have certain corporate governance protections that are available to stockholders of companies that are not controlled companies.</w:t>
      </w:r>
    </w:p>
    <w:p>
      <w:pPr>
        <w:ind w:left="620" w:hanging="304"/>
        <w:spacing w:after="0" w:line="270"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has the effect of concentrating voting power with our Chairman of the Board and Founder, which will limit an investor’s ability to influence the outcome of important transactions, including a change in control.</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Prior to June 10, 2021, we were a blank check company, incorporated in Delaware, formed for the purpose of effecting a merger, capital stock exchange, asset acquisition, stock purchase, reorganization or similar business combination with one or more businesses. On June 10, 2021, we completed a business combination (the “Business Combination”) pursuant to the terms of the Business Combination Agreement dated February 18, 2021 (the “Business Combination Agreement”), by and among HighCape Capital Acquisition LLC (“HighCape”), Tenet Merger Sub, Inc., a Delaware corporation (“Merger Sub”), and Quantum-Si Incorporated, a Delaware corporation (“Legacy Quantum-Si”). Immediately upon the consummation of the Business Combination and the other transactions contemplated by the Business Combination Agreement (the “Closing”), Merger Sub merged with and into Legacy Quantum-Si, with Legacy Quantum-Si surviving the Business Combination as a wholly owned subsidiary of HighCape. In connection with the Closing, HighCape changed its name to “Quantum-Si Incorporated” (the parent company) and Legacy Quantum-Si changed its name to “Q-SI Operations Inc.” (a wholly-owned subsidiary of Quantum-Si Incorporated).</w:t>
      </w:r>
    </w:p>
    <w:p>
      <w:pPr>
        <w:spacing w:after="0" w:line="177"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7"/>
          <w:szCs w:val="17"/>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(“NGPS”), to sequence proteins in a massively parallel fashion (rather than sequentially, one at a time), which can also be used for the study of nucleic acids. We believe that the ability to sequence proteins in a massively parallel fashion and offer a simplified workflow with a faster turnaround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Our platform, as originally planned, was designed to offer an end-to-end workflow including both sample preparation and sequencing and was comprised of Carbon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our automated sample preparation instrument,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NGPS instrument, the Platinum Analysis Software service, and reagent kits and proprietary semiconductor chips for use with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In 2021, we introduced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early access program to sites with participation from leading academic centers and key industry partners. The early access program introduced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single-molecule sequencing system to key opinion leaders across the globe for both expansion and development of applications and workflows. We began a controlled launch of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and started to take orders in December 2022, and subsequently began limited commercial shipments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January 2023.</w:t>
      </w:r>
    </w:p>
    <w:p>
      <w:pPr>
        <w:spacing w:after="0" w:line="42" w:lineRule="exact"/>
        <w:rPr>
          <w:sz w:val="20"/>
          <w:szCs w:val="20"/>
          <w:color w:val="auto"/>
        </w:rPr>
      </w:pPr>
    </w:p>
    <w:p>
      <w:pPr>
        <w:jc w:val="both"/>
        <w:spacing w:after="0" w:line="186" w:lineRule="auto"/>
        <w:rPr>
          <w:sz w:val="20"/>
          <w:szCs w:val="20"/>
          <w:color w:val="auto"/>
        </w:rPr>
      </w:pPr>
      <w:r>
        <w:rPr>
          <w:rFonts w:ascii="Times New Roman" w:cs="Times New Roman" w:eastAsia="Times New Roman" w:hAnsi="Times New Roman"/>
          <w:sz w:val="17"/>
          <w:szCs w:val="17"/>
          <w:color w:val="auto"/>
        </w:rPr>
        <w:t>Since our initial launch of the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instrument, we have found that, consistent with other proteomics detection technologies, customers select the biological sample type and sample preparation method they use. The range of sample types and sample preparation methods utilized in proteomics is extensive and often some level of optimization is required to make them compatible with the downstream detection technology. Our initial platform contemplated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as an automated sample preparation instrument. While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could help reduce sample preparation variation and streamline the end-to-end workflow in utilizing our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protein sequencing instrument, it is not an absolute requirement, and may not be the best solution long-term. To this end, in October 2023, we completed an evaluation of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as it relates to the workflow and in comparison to other potential liquid handler and sample preparation solutions. This evaluation concluded that pursuing efforts to continue development of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was not the most effective use of our research and development efforts. As a result, we paused development related to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to focus efforts on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our reagent kits and semiconductor chips for use on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and our Platinum Analysis Software environment as our go forward platform to maximize value.</w:t>
      </w:r>
    </w:p>
    <w:p>
      <w:pPr>
        <w:spacing w:after="0" w:line="18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Now that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Platinum Analysis Software service have launched, we intend to follow a systematic, phased approach to continue to successfully launch updates to our platform. We believe we are the first company to successfully enable NGPS on a semiconductor chip, thus digitizing a massive proteomics opportunity, which allows for a vast parallel solution at the ultimate level of sensitivity -single-molecule detection.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our platform offers a differentiated workflow solution in a rapidly evolving proteomics tools market. Within our initial focus market of proteomics, our workflow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According to SVB Leerink Research, proteomics represented a $75 billion market opportunity spanning from life science research through diagnostics in 2021. Within this, proteomics research represented $20 billion, while proteomic diagnostics and personalized medicine represented the remaining $55 billion. Within the $20 billion current addressable target market, we are focusing on an initial target market of approximately $8 billion that includes protein identification (approximately $3 billion), protein expression and quantification (approximately $3 billion) and proteoforms and post translational modifications (approximately $1.5 billion).</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team has decades of cumulative experience in developing, commercializing and scaling tools in the life sciences industry. Our management team has previously employed similar approaches at other companies to launch other disruptive technologies, including market leading next generation DNA sequencing technologies. We believe this experience will allow us to introduce our platform in a structured manner to demonstrate its use, value and practicality, while working directly with our key customers, to help ensure a positive experience.</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were founded in 2013 by Dr. Jonathan Rothberg, a serial entrepreneur who received the Presidential Medal of Technology &amp; Innovation in 2016 for inventing next generation DNA sequencing. Dr. Rothberg has founded more than 10 healthcare technology companies, including 454 Life Sciences, Ion Torrent, Hyperfine and Butterfly Network. We received net proceeds of $512.8 million from the Closing of the Business Combination in 2021 to help support our platform development.</w:t>
      </w:r>
    </w:p>
    <w:p>
      <w:pPr>
        <w:spacing w:after="0" w:line="160"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We began a controlled launch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December 2022, operated under this controlled commercial launch in 2023 and anticipate a full commercial launch in early 2024. Revenue for the year ended December 31, 2023 was $1.1 million. There was no revenue for years ended December 31, 2022 and 2021. We incurred net losses of $96.0 million, $132.4 million and $95.0 million for the fiscal years ended December 31, 2023, 2022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Importance of Proteomics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Central Dogma of Biology</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central dogma of biology describes the flow of information within a cell, first originating with information encoded as deoxyribonucleic acid (“DNA”), subsequent transcription to ribonucleic acid (“RNA”), and ultimate translation to proteins. While our genomes contain approximately 20,000 genes, current estimates are that these genes ultimately code for more than 1,000,000 different protein variants called proteoforms. Thus, the majority of diversity that exists in our cells comes from proteins. Proteins are organic compounds made up of amino acids. Aside from water, the majority of the molecules in our bodies are comprised of proteins. They are found throughout the body and play a central role in the body’s biological processes, from the immune system response, signalizing pathways to transporting oxygen molecules and providing our cells with structure. Proteins or a group of interacting proteins are responsible for virtually every biological function within a living organism. Unlike the genome, the proteome is in constant flux depending on the state of the cell. However, even with the knowledge of the proteome’s influence, the proteome remains largely unexplored relative to the genome. Over the past decades, genomics has ushered in a greater understanding of human biology and disease through the decoding of the human genome, providing a greater understanding of the genes that lay out the instructions for the function, development and reproduction of organisms. While genomics has allowed the interrogation of genetic variation, protein variants hold information yet to be explored or connected to the network of genomic knowledge to better understand cellular function and disease. The protein’s elaborate structure, complicated composition, and vast number of variants, provide a dynamic look into the functions they provide. For example, proteins function as antibodies that bind to specific particles like viruses to protect the body; they act as enzymes to carry out chemical reactions in cells; they act as messengers like hormones to transmit signals; they exist as structural components; and form the basis for storage to carry additional molecules throughout the body.</w:t>
      </w:r>
    </w:p>
    <w:p>
      <w:pPr>
        <w:spacing w:after="0" w:line="3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Proteomic discovery provides insight into what is immediately happening biologically. This insight may be based on both genetic and environmental factors that influence protein structure and function. Given their dynamic nature, proteins, while complex structures, are an excellent indicator that we believe can be used to track therapeutic response, disease progression and a person’s overall health. In a sense, DNA tells us “what could happen” and proteins tell us “what is happening.”</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Proteomics tools have been broadly used across a wide range of applications, including:</w:t>
      </w:r>
    </w:p>
    <w:p>
      <w:pPr>
        <w:spacing w:after="0" w:line="218" w:lineRule="exact"/>
        <w:rPr>
          <w:sz w:val="20"/>
          <w:szCs w:val="20"/>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Personalized medicine</w:t>
      </w:r>
      <w:r>
        <w:rPr>
          <w:rFonts w:ascii="Times New Roman" w:cs="Times New Roman" w:eastAsia="Times New Roman" w:hAnsi="Times New Roman"/>
          <w:sz w:val="17"/>
          <w:szCs w:val="17"/>
          <w:color w:val="auto"/>
        </w:rPr>
        <w:t>: tailoring of disease treatment based real-time proteomic data;</w:t>
      </w:r>
    </w:p>
    <w:p>
      <w:pPr>
        <w:spacing w:after="0" w:line="3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Biomarker discovery</w:t>
      </w:r>
      <w:r>
        <w:rPr>
          <w:rFonts w:ascii="Times New Roman" w:cs="Times New Roman" w:eastAsia="Times New Roman" w:hAnsi="Times New Roman"/>
          <w:sz w:val="17"/>
          <w:szCs w:val="17"/>
          <w:color w:val="auto"/>
        </w:rPr>
        <w:t>: identification of protein markers for disease identification;</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Drug discovery and development</w:t>
      </w:r>
      <w:r>
        <w:rPr>
          <w:rFonts w:ascii="Times New Roman" w:cs="Times New Roman" w:eastAsia="Times New Roman" w:hAnsi="Times New Roman"/>
          <w:sz w:val="17"/>
          <w:szCs w:val="17"/>
          <w:color w:val="auto"/>
        </w:rPr>
        <w:t>: identification of potential drug candidates and aid in the development of the drug;</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Systems biology</w:t>
      </w:r>
      <w:r>
        <w:rPr>
          <w:rFonts w:ascii="Times New Roman" w:cs="Times New Roman" w:eastAsia="Times New Roman" w:hAnsi="Times New Roman"/>
          <w:sz w:val="17"/>
          <w:szCs w:val="17"/>
          <w:color w:val="auto"/>
        </w:rPr>
        <w:t>: system-wide investigations of disease pathways to identify biomarkers, drug action, toxicity, efficacy and resistance;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Industry / agriculture</w:t>
      </w:r>
      <w:r>
        <w:rPr>
          <w:rFonts w:ascii="Times New Roman" w:cs="Times New Roman" w:eastAsia="Times New Roman" w:hAnsi="Times New Roman"/>
          <w:sz w:val="17"/>
          <w:szCs w:val="17"/>
          <w:color w:val="auto"/>
        </w:rPr>
        <w:t>: bioproduction and study of plant-pathogen interaction (e.g. crop engineering for drought resistance);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Food science</w:t>
      </w:r>
      <w:r>
        <w:rPr>
          <w:rFonts w:ascii="Times New Roman" w:cs="Times New Roman" w:eastAsia="Times New Roman" w:hAnsi="Times New Roman"/>
          <w:sz w:val="17"/>
          <w:szCs w:val="17"/>
          <w:color w:val="auto"/>
        </w:rPr>
        <w:t>: identification of allergies, understanding an improvement of nutritional values and food quality and safety control.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Proteomic Technologies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There is higher diversity and level of complexity related to proteins than genes. Depending on the combination of genes, specific proteins are built to perform specialized functions in the body. A single gene can encode multiple proteoforms depending on the role the protein will ultimately play in the cell. Protein synthesis happens in two stages. First is transcription, where DNA is converted into messenger RNA. Second is translation, where a cell’s ribosomes read the RNA instructions to assemble the protein. An increase in the complexity of the proteome is facilitated by post translational modifications (“PTMs”) where pieces of the protein are modified to either activate or inactivate the protein as part of a signaling pathway to localize the protein to a certain cellular compartment. Legacy proteomic techniques can be grouped into various lower-plex and higher-plex methods to better analyze complex proteins:</w:t>
      </w:r>
    </w:p>
    <w:p>
      <w:pPr>
        <w:spacing w:after="0" w:line="173" w:lineRule="exact"/>
        <w:rPr>
          <w:sz w:val="20"/>
          <w:szCs w:val="20"/>
          <w:color w:val="auto"/>
        </w:rPr>
      </w:pPr>
    </w:p>
    <w:p>
      <w:pPr>
        <w:jc w:val="both"/>
        <w:ind w:left="620" w:hanging="304"/>
        <w:spacing w:after="0" w:line="263"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Lower-plex methods. </w:t>
      </w:r>
      <w:r>
        <w:rPr>
          <w:rFonts w:ascii="Times New Roman" w:cs="Times New Roman" w:eastAsia="Times New Roman" w:hAnsi="Times New Roman"/>
          <w:sz w:val="17"/>
          <w:szCs w:val="17"/>
          <w:color w:val="auto"/>
        </w:rPr>
        <w:t>Lower-plex proteomic analysis methods include immunoassay, gel, and chromatography-based methods. Immunoassay 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methods rely on the availability of antibodies targeting specific proteins or epitopes as a way to identify and quantify protein expression levels. Changes or modifications to the protein may prevent the antibody from binding, resulting in missed identification. Gel based methods like western blots were the first proteomic technique developed. They utilize an electric current to separate proteins in a gel based on their size and charge, prior to further analysis by a MS instrument. Chromatography based methods use ion-exchange chromatography to separate and purify proteins from complex biological mixtures. The purified proteins can then be analyzed using a MS.</w:t>
      </w:r>
    </w:p>
    <w:p>
      <w:pPr>
        <w:spacing w:after="0" w:line="170" w:lineRule="exact"/>
        <w:rPr>
          <w:rFonts w:ascii="Times New Roman" w:cs="Times New Roman" w:eastAsia="Times New Roman" w:hAnsi="Times New Roman"/>
          <w:sz w:val="17"/>
          <w:szCs w:val="17"/>
          <w:color w:val="auto"/>
        </w:rPr>
      </w:pPr>
    </w:p>
    <w:p>
      <w:pPr>
        <w:jc w:val="both"/>
        <w:ind w:left="620" w:hanging="304"/>
        <w:spacing w:after="0" w:line="259"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Higher-plex methods. </w:t>
      </w:r>
      <w:r>
        <w:rPr>
          <w:rFonts w:ascii="Times New Roman" w:cs="Times New Roman" w:eastAsia="Times New Roman" w:hAnsi="Times New Roman"/>
          <w:sz w:val="17"/>
          <w:szCs w:val="17"/>
          <w:color w:val="auto"/>
        </w:rPr>
        <w:t>Higher-plex proteomic analysis methods include protein microarrays and MS instruments. Existing high-plex proteomic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technologies, however, often have tradeoffs between sensitivity and dynamic range- current technologies that are able to analyze the proteome at higher plex, often do so with lower sensitivity and resolution. Specificity is also a key consideration when multiplexing (analyzing multiple proteins in the same sample). Protein microarrays apply small amounts of sample to a glass semiconductor chip where specific antibodies are used to capture target proteins to measure the expression levels and binding affinities of proteins. The most common way researchers currently analyze proteins is through the use of MS. MS is a method for the mass determination and characterization of proteins, and its direct applications include protein identification and post translational modifications, elucidation of protein complexes, their subunits and functional interactions, as well as global measurement of proteins in proteomics. Some newer technologies have addressed certain limitations of these methods, yet still require separate peptide drying or are reliant on existing MS instruments. With an estimated 16,000 MS instruments installed worldwide specifically for proteomics analysis, we believe the cost of $250,000 to $1,000,000 or more per new instrument, according to research by DeciBio, LLC, limits access to proteomics research and we believe currently limits the size and growth of the overall proteomics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Legacy Proteomic Techniques</w:t>
      </w:r>
    </w:p>
    <w:p>
      <w:pPr>
        <w:spacing w:after="0" w:line="222" w:lineRule="exact"/>
        <w:rPr>
          <w:sz w:val="20"/>
          <w:szCs w:val="20"/>
          <w:color w:val="auto"/>
        </w:rPr>
      </w:pPr>
    </w:p>
    <w:p>
      <w:pPr>
        <w:jc w:val="both"/>
        <w:ind w:left="620" w:hanging="304"/>
        <w:spacing w:after="0" w:line="26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Limitations of biased approaches. </w:t>
      </w:r>
      <w:r>
        <w:rPr>
          <w:rFonts w:ascii="Times New Roman" w:cs="Times New Roman" w:eastAsia="Times New Roman" w:hAnsi="Times New Roman"/>
          <w:sz w:val="17"/>
          <w:szCs w:val="17"/>
          <w:color w:val="auto"/>
        </w:rPr>
        <w:t>Typical workflows rely on a specific reagent for protein detection. ASRs comprise a variety of molecules, such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antibodies or aptamers, which bind to specific regions, rather than individual amino acids, and therefore may not detect the presence of a known protein variants. For instance, the average binding site of an ASR is an epitope with a length of five (5) to eight (8) amino acids, whereas the average length of a human protein is approximately 470 amino acids. While ASRs are prevalent and readily available, inherent limitations in how these molecules interact with proteins for various detection platforms limit their use for resolving protein sequences at single amino acid resolution.</w:t>
      </w:r>
    </w:p>
    <w:p>
      <w:pPr>
        <w:spacing w:after="0" w:line="168" w:lineRule="exact"/>
        <w:rPr>
          <w:rFonts w:ascii="Times New Roman" w:cs="Times New Roman" w:eastAsia="Times New Roman" w:hAnsi="Times New Roman"/>
          <w:sz w:val="17"/>
          <w:szCs w:val="17"/>
          <w:color w:val="auto"/>
        </w:rPr>
      </w:pPr>
    </w:p>
    <w:p>
      <w:pPr>
        <w:jc w:val="both"/>
        <w:ind w:left="620" w:hanging="304"/>
        <w:spacing w:after="0" w:line="261"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Mass spectrometry tools have a high cost of purchase and ownership. </w:t>
      </w:r>
      <w:r>
        <w:rPr>
          <w:rFonts w:ascii="Times New Roman" w:cs="Times New Roman" w:eastAsia="Times New Roman" w:hAnsi="Times New Roman"/>
          <w:sz w:val="17"/>
          <w:szCs w:val="17"/>
          <w:color w:val="auto"/>
        </w:rPr>
        <w:t>For more than a decade, MS has been the dominant tool for an unbiased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approach to protein analysis. Shotgun proteomics, the studying of pieces of proteins that have been broken apart, typically utilizes MS and MS workflows, allowing for the interrogation of individual peptides and protein sequences. However, these techniques are generally complex, lengthy, expensive, laborious and require extensive data analysis. Taken together, these factors limit the scalability of this approach and broad adoption of the technology in the market. Comparatively, targeted or biased methods like protein arrays are scalable but only enable interrogation of a fixed number of targeted proteins per sample. Biased approaches lack the capabilities necessary to catalog new protein variants. Users are therefore forced to choose between breadth with MS or scalability with other biased technologies, or limited alternatives that can address both needs.</w:t>
      </w:r>
    </w:p>
    <w:p>
      <w:pPr>
        <w:spacing w:after="0" w:line="175"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Low levels of resolution and sensitivity. </w:t>
      </w:r>
      <w:r>
        <w:rPr>
          <w:rFonts w:ascii="Times New Roman" w:cs="Times New Roman" w:eastAsia="Times New Roman" w:hAnsi="Times New Roman"/>
          <w:sz w:val="17"/>
          <w:szCs w:val="17"/>
          <w:color w:val="auto"/>
        </w:rPr>
        <w:t>We believe successful technologies for use in broad proteomic and clinical testing generally require high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levels of specificity and sensitivity as well as the ability to scale to reliably meet volume demand. Current sensitivity and dynamic range restrictions make legacy technologies, such as MS, difficult to use with liquid samples and restrict the ability to analyze at single molecule resolution or ability to deeply integrate a protein.</w:t>
      </w:r>
    </w:p>
    <w:p>
      <w:pPr>
        <w:spacing w:after="0" w:line="166"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Costly and complex data analysis. </w:t>
      </w:r>
      <w:r>
        <w:rPr>
          <w:rFonts w:ascii="Times New Roman" w:cs="Times New Roman" w:eastAsia="Times New Roman" w:hAnsi="Times New Roman"/>
          <w:sz w:val="17"/>
          <w:szCs w:val="17"/>
          <w:color w:val="auto"/>
        </w:rPr>
        <w:t>We believe the critical unmet needs remaining in proteomic analysis relate to cost, accessibility and simplicity.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Given the complex and dynamic aspects of proteins, proteomic analysis can generate vast amounts of data that can be difficult to analyze to arrive at a biologically relevant answer. Currently, the complexity of the analysis is also costly, due to the data processing and analysis infrastructure that is often required.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proteomic market is dynamic and includes legacy solutions and new entrants all aiming to become market leaders. The proteomics market is less concentrated, with no single technology dominating the majority of the market.</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Proteomics is an emerging research area and highly fragmented with numerous technologies that address a variety of points along a typical protein analysis workflow, such as sample preparation, analysis, target number, dynamic range and sample throughput.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Proteomics Landscape</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protein sequencing platform is currently intended for RUO applications, and most potential future use of our products for clinical use would require regulatory authorization. Many technologies across these segments are decades old with limitations that have prevented broad spread adoption of proteomics research. We believe our products and technologies have the potential to provide users across life sciences research market access to the proteome in a simple, cost effective, unbiased, and scalable manner.</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Today, legacy proteomics users generally rely on MS for high throughput protein characterization. Typical MS workflows are disaggregated, expensive, and require significant training to perform, which ultimately limits access to specialty facilities or core MS labs. A primary mission of our technology platform is to provide broad access to proteomics tools across academic research labs, core labs, and biopharma R&amp;D labs. Our price point and simplicity of workflow are designed to attract users who seek to replace a legacy technology or are entering the proteomics market as new customers. Some of our potential customers may have an existing MS system but may choose our products to supplement their system. Some users may wish to add proteomics analysis capacity, particularly for low throughput needs. We believe these customers value the speed, data driven analytical insights, deeper insights, affordability, and simplicity we expect our platform to provide to them.</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Additionally, we believe that our proteomics platform may appeal to existing users of DNA sequencing technologies to directly augment their research and discovery of biomarkers and further deepen their understanding of biology. We believe our benchtop proteomics instruments will allow genomics users the ability to pursue multi-omic approaches to tackle basic and applied research questions.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 we expect users within the analyte testing segment to adopt our technologies for a variety of clinical research and translational applications. The analyte testing market comprises multiple technologies ranging from basic enzyme-linked immunosorbent assay (“ELISA”) tests for interrogating a small number of targets to more complex, high throughput protein analyzers. Successful technologies for use in broad clinical testing generally require specificity and sensitivity as well as the ability to scale to reliably meet volume demand. Developed to be a true single molecule detection platform, our products are designed to achieve the highest level of resolution for sensitivity by sequencing information at the individual amino acid level, and therefore the specificity to meet the requirements of clinical testing, if our products are ultimately authorized for such use. In addition, because our technology utilizes semiconductor chip technology and is positioned to make use of the supply chain and fabrication of the semiconductor industry, our platform has the potential to scale to meet demand on a global scale.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designed and developed a hardware, consumable and software solution to provide a solution for protein detection and analysis.</w:t>
      </w:r>
    </w:p>
    <w:p>
      <w:pPr>
        <w:spacing w:after="0" w:line="22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Collectively, we believe our products provide a comprehensive and flexible platform. We believe that our universal unbiased single molecule detection platform will enable a proteomics solution at an affordable cost and provide users the opportunity to perform proteomics studies. Our launched product consists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the Platinum Analysis Software and consumables. We believe we are the first company to successfully enable NGPS for a scalable and parallel solution at the level of single molecule sensitivity.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Launch Platform Consists of Platinum</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b w:val="1"/>
          <w:bCs w:val="1"/>
          <w:color w:val="auto"/>
        </w:rPr>
        <w:t>, Platinum Analysis Software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-52705</wp:posOffset>
            </wp:positionV>
            <wp:extent cx="5602605" cy="1559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2605"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Platinum</w:t>
      </w:r>
      <w:r>
        <w:rPr>
          <w:rFonts w:ascii="Times New Roman" w:cs="Times New Roman" w:eastAsia="Times New Roman" w:hAnsi="Times New Roman"/>
          <w:sz w:val="28"/>
          <w:szCs w:val="28"/>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 Single Molecule Detection Instrument</w:t>
      </w:r>
    </w:p>
    <w:p>
      <w:pPr>
        <w:spacing w:after="0" w:line="98"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7"/>
          <w:szCs w:val="17"/>
          <w:color w:val="auto"/>
        </w:rPr>
        <w:t>Our flagship protein sequencing instrument,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is designed to make the power of single-molecule detection and NGPS broadly accessible. While traditional instruments like mass spectrometers may cost anywhere from $250,000 to over $1,000,000 per new instrument,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device is currently priced at approximately $85,000.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is designed to provide a streamlined rapid workflow compared to legacy MS workflows.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uses our proprietary semiconductor chip that leverages Time-Domain Sequencing™ with an initial focus on NGPS for an unbiased view of the proteome. We believe the nature of the sequencing readout could enable users to answer three key questions:</w:t>
      </w:r>
    </w:p>
    <w:p>
      <w:pPr>
        <w:spacing w:after="0" w:line="192" w:lineRule="exact"/>
        <w:rPr>
          <w:sz w:val="20"/>
          <w:szCs w:val="20"/>
          <w:color w:val="auto"/>
        </w:rPr>
      </w:pPr>
    </w:p>
    <w:p>
      <w:pPr>
        <w:ind w:left="620" w:hanging="304"/>
        <w:spacing w:after="0" w:line="295"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What protein is present? </w:t>
      </w:r>
      <w:r>
        <w:rPr>
          <w:rFonts w:ascii="Times New Roman" w:cs="Times New Roman" w:eastAsia="Times New Roman" w:hAnsi="Times New Roman"/>
          <w:sz w:val="17"/>
          <w:szCs w:val="17"/>
          <w:color w:val="auto"/>
        </w:rPr>
        <w:t>Amino acid resolution can provide insight into more than just whether a protein is present or absent. The sequence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could also indicate what version of the protein is present and how it has been changed from the normal version.</w:t>
      </w:r>
    </w:p>
    <w:p>
      <w:pPr>
        <w:spacing w:after="0" w:line="14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How much of the protein is present? </w:t>
      </w:r>
      <w:r>
        <w:rPr>
          <w:rFonts w:ascii="Times New Roman" w:cs="Times New Roman" w:eastAsia="Times New Roman" w:hAnsi="Times New Roman"/>
          <w:sz w:val="17"/>
          <w:szCs w:val="17"/>
          <w:color w:val="auto"/>
        </w:rPr>
        <w:t>A quantification provides precise protein abundance based on a colorimetric or mass abundance readout.</w:t>
      </w:r>
    </w:p>
    <w:p>
      <w:pPr>
        <w:spacing w:after="0" w:line="220" w:lineRule="exact"/>
        <w:rPr>
          <w:rFonts w:ascii="Times New Roman" w:cs="Times New Roman" w:eastAsia="Times New Roman" w:hAnsi="Times New Roman"/>
          <w:sz w:val="17"/>
          <w:szCs w:val="17"/>
          <w:color w:val="auto"/>
        </w:rPr>
      </w:pPr>
    </w:p>
    <w:p>
      <w:pPr>
        <w:ind w:left="620" w:hanging="304"/>
        <w:spacing w:after="0" w:line="295"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How has the protein been modified? </w:t>
      </w:r>
      <w:r>
        <w:rPr>
          <w:rFonts w:ascii="Times New Roman" w:cs="Times New Roman" w:eastAsia="Times New Roman" w:hAnsi="Times New Roman"/>
          <w:sz w:val="17"/>
          <w:szCs w:val="17"/>
          <w:color w:val="auto"/>
        </w:rPr>
        <w:t>Single-molecule sensitivity could show how the protein has been post-translationally modified thus providing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greater insights to its role in the context of biological processes within the cell.</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semiconductor chip is the core of our technology. By leveraging developments in the semiconductor industry, we are developing our scalable single-molecule next-generation protein sequencer. Our semiconductor chip is produced in standard semiconductor foundries and is designed to provide insight into biology. The power of our approach is that rather than analyzing proteins one at a time, our semiconductor chip is designed to enable parallel sequencing across millions of independent chambers, and for the number of parallel sequencing reactions to be rapidly scalable. Each independent sequencing reaction takes place at the ultimate level of sensitivity and specificity, single molecules, which is critical to protein detection because there is no way to amplify protein, preventing existing amplification-based technologies to enable protein sequencing.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122555</wp:posOffset>
            </wp:positionV>
            <wp:extent cx="1278890" cy="1097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889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Pictured above: An Individual Semiconductor Chip</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team has considerable experience in the complex fabrication processes for semiconductor chips and has successfully utilized semiconductor chips to advance next-generation sequencing (“NGS”) previously at other companies. We have developed and optimized processes with the third-party foundry that supplies our wafers, allowing us to manufacture integrated semiconductor chips using standard foundry processes with sufficient and scalable performance for our commercial needs and customer demand. We believe our proprietary semiconductor chip is a core component in our ability to scale. Our current research and development focus includes expanding the capabilities of our current semiconductor chip through manufacturing technology improvements and enhancements in chemistry.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November 2021, we acquired Majelac Technologies LLC (“Majelac”), a semiconductor assembly company based in Garnet Valley, Pennsylvania. The acquisition brought our semiconductor microchip assembly capabilities in-house in order to secure our supply chain and support our commercialization efforts.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 for Use in Platinum</w:t>
      </w:r>
      <w:r>
        <w:rPr>
          <w:rFonts w:ascii="Times New Roman" w:cs="Times New Roman" w:eastAsia="Times New Roman" w:hAnsi="Times New Roman"/>
          <w:sz w:val="28"/>
          <w:szCs w:val="28"/>
          <w:b w:val="1"/>
          <w:bCs w:val="1"/>
          <w:i w:val="1"/>
          <w:iCs w:val="1"/>
          <w:color w:val="auto"/>
          <w:vertAlign w:val="superscript"/>
        </w:rPr>
        <w:t>®</w:t>
      </w:r>
    </w:p>
    <w:p>
      <w:pPr>
        <w:spacing w:after="0" w:line="98"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7"/>
          <w:szCs w:val="17"/>
          <w:color w:val="auto"/>
        </w:rPr>
        <w:t>We expect to derive recurring revenue from the sale of consumables that are required to run samples through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Consumables consist of our reagent kits and semiconductor chips and are designed for use only with our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Platinum Analysis Software</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Platinum Analysis Software platform is designed to integrate a cloud-based solution into the instrument to provide data to the cloud where analytical workflows can then interpret the data. Our Platinum Analysis Software solution is designed to map peptide sequences to proteins and facilitate the required counting for protein identification and quantitation in the cloud.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also developing our cloud-based solution to include the following features:</w:t>
      </w:r>
    </w:p>
    <w:p>
      <w:pPr>
        <w:spacing w:after="0" w:line="220" w:lineRule="exact"/>
        <w:rPr>
          <w:sz w:val="20"/>
          <w:szCs w:val="20"/>
          <w:color w:val="auto"/>
        </w:rPr>
      </w:pPr>
    </w:p>
    <w:p>
      <w:pPr>
        <w:ind w:left="940" w:hanging="31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 management for secured data access; and</w:t>
      </w:r>
    </w:p>
    <w:p>
      <w:pPr>
        <w:spacing w:after="0" w:line="30"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Light-weight library information management system for data management.</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believe our Platinum Analysis Software solution is designed to address the key needs of researchers today and includes a solution for potential bottlenecks that might otherwise limit customer satisfaction and routine use of our instruments.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Time-Domain Sequencing™ and Next Generation Protein Sequencing</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Within proteins it is widely accepted there are there are 20 naturally occurring amino acids. Technologies that use color alone to detect amino acids would not be able to scale to that number of characters. Our proprietary semiconductor chip is designed to use time, instead of color, to detect amino acids. We combine time with intensity and single-molecule kinetics to capture three dimensions of data. We expect that three dimensions of data will enable us to cover all 20 amino acids.</w:t>
      </w:r>
    </w:p>
    <w:p>
      <w:pPr>
        <w:spacing w:after="0" w:line="3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core of our proprietary detection method, which we refer to as Time-Domain Sequencing™, is based on the fluorescence lifetime of dyes. Fluorescence lifetime is a measure of the time a fluorophore dye spends in the excited state before returning to the ground state by emitting a photon of light. Different dyes emit photons of light at different rates that follow a known distribution.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Example Photon Emission Distribution of a Dye After Excitation</w:t>
      </w:r>
    </w:p>
    <w:p>
      <w:pPr>
        <w:spacing w:after="0" w:line="21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includes a proprietary mode-locked laser, which provides the excitation light pulse, and our semiconductor chip allows us to reject the laser light and then rapidly collect, bin and measure the arrival time of emitted photons of a fluorescently labeled molecule. By binning and measuring the arrival times of photons we can then calculate the fluorescence lifetime, which can be used as a surrogate for the wavelength/color measurements. By using time instead of color to analyze proteins, we can leverage semiconductors’ ability to measure time.</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NGPS, we fluorescently label recognizer molecules, which are designed to bind to the terminal end of a peptide (piece of a protein) that has been immobilized to the bottom of the reaction chamber. A single recognizer is capable of uniquely identifying more than one amino acid. Our technology is designed to accurately determine the recognizer by leveraging the fluorescent lifetime and intensity of the dye. We believe our technology can accurately identify the amino acid by measuring the on and off rate (kinetic information) of a recognizer as it interacts with the terminal amino acid tens to hundreds of times.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After removing the terminal amino acid, the recognition process repeats until the full peptide chain is sequenced. While traditional single-molecule platforms rely on single measurement for the detection of an event, the advantage of our approach is that our technology can obtain tens to hundreds of data points for each amino acid. Cumulatively, we expect the multiple measurements to deliver high amino acid call accuracy.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the Protein Sequencing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285115</wp:posOffset>
            </wp:positionV>
            <wp:extent cx="5652135" cy="932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2135" cy="93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our competitive strengths include the following:</w:t>
      </w:r>
    </w:p>
    <w:p>
      <w:pPr>
        <w:spacing w:after="0" w:line="218" w:lineRule="exact"/>
        <w:rPr>
          <w:sz w:val="20"/>
          <w:szCs w:val="20"/>
          <w:color w:val="auto"/>
        </w:rPr>
      </w:pPr>
    </w:p>
    <w:p>
      <w:pPr>
        <w:jc w:val="both"/>
        <w:ind w:left="620" w:hanging="304"/>
        <w:spacing w:after="0" w:line="275"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Differentiated single molecule detection providing the ultimate level of protein sensitivity and specificity. </w:t>
      </w:r>
      <w:r>
        <w:rPr>
          <w:rFonts w:ascii="Times New Roman" w:cs="Times New Roman" w:eastAsia="Times New Roman" w:hAnsi="Times New Roman"/>
          <w:sz w:val="17"/>
          <w:szCs w:val="17"/>
          <w:color w:val="auto"/>
        </w:rPr>
        <w:t>Our platform is based on our proprietary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semiconductor chip designed to enable measurements at the ultimate level of sensitivity and specificity, single molecules. By enabling single molecule detection, we are not reliant on ensemble measurements, which can often vary from sample to sample and even run to run.</w:t>
      </w:r>
    </w:p>
    <w:p>
      <w:pPr>
        <w:spacing w:after="0" w:line="159" w:lineRule="exact"/>
        <w:rPr>
          <w:rFonts w:ascii="Times New Roman" w:cs="Times New Roman" w:eastAsia="Times New Roman" w:hAnsi="Times New Roman"/>
          <w:sz w:val="17"/>
          <w:szCs w:val="17"/>
          <w:color w:val="auto"/>
        </w:rPr>
      </w:pPr>
    </w:p>
    <w:p>
      <w:pPr>
        <w:jc w:val="both"/>
        <w:ind w:left="620" w:hanging="304"/>
        <w:spacing w:after="0" w:line="275"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Amino acid resolution and Post-Translational Modification detection. </w:t>
      </w:r>
      <w:r>
        <w:rPr>
          <w:rFonts w:ascii="Times New Roman" w:cs="Times New Roman" w:eastAsia="Times New Roman" w:hAnsi="Times New Roman"/>
          <w:sz w:val="17"/>
          <w:szCs w:val="17"/>
          <w:color w:val="auto"/>
        </w:rPr>
        <w:t>Moving beyond simple confirmatory information provided by affinity-based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platforms, our platform delivers amino acid resolution shifting the output from analog to digital. The ability to also identify PTMs could provide novel insights into how pathways are turned on/off to improve our understanding of the estimated 1 million + proteoforms.</w:t>
      </w:r>
    </w:p>
    <w:p>
      <w:pPr>
        <w:spacing w:after="0" w:line="159" w:lineRule="exact"/>
        <w:rPr>
          <w:rFonts w:ascii="Times New Roman" w:cs="Times New Roman" w:eastAsia="Times New Roman" w:hAnsi="Times New Roman"/>
          <w:sz w:val="17"/>
          <w:szCs w:val="17"/>
          <w:color w:val="auto"/>
        </w:rPr>
      </w:pPr>
    </w:p>
    <w:p>
      <w:pPr>
        <w:ind w:left="620" w:hanging="304"/>
        <w:spacing w:after="0" w:line="295"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Real-time data processing and the Platinum Analysis Software platform provide fast, simple data analysis. </w:t>
      </w:r>
      <w:r>
        <w:rPr>
          <w:rFonts w:ascii="Times New Roman" w:cs="Times New Roman" w:eastAsia="Times New Roman" w:hAnsi="Times New Roman"/>
          <w:sz w:val="17"/>
          <w:szCs w:val="17"/>
          <w:color w:val="auto"/>
        </w:rPr>
        <w:t>We have developed our Platinum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Analysis Software to provide key tools needed to streamline use of the platform such as secure access and data management.</w:t>
      </w:r>
    </w:p>
    <w:p>
      <w:pPr>
        <w:spacing w:after="0" w:line="143"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Innovative proprietary proteomic platform offering differentiated full suite of protein sequencing solutions. </w:t>
      </w:r>
      <w:r>
        <w:rPr>
          <w:rFonts w:ascii="Times New Roman" w:cs="Times New Roman" w:eastAsia="Times New Roman" w:hAnsi="Times New Roman"/>
          <w:sz w:val="17"/>
          <w:szCs w:val="17"/>
          <w:color w:val="auto"/>
        </w:rPr>
        <w:t>We believe that our platform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enable an optimal workflow solution, providing our customers with an opportunity to perform proteomic studies at scale. We also believe that we are the first company to successfully enable NGPS. We believe the digital nature of our readout provides an accurate and repeatable quantification of proteins in the sample and could scale to enable millions of data points working at the ultimate level of sensitivity — single molecule resolution.</w:t>
      </w:r>
    </w:p>
    <w:p>
      <w:pPr>
        <w:spacing w:after="0" w:line="166" w:lineRule="exact"/>
        <w:rPr>
          <w:rFonts w:ascii="Times New Roman" w:cs="Times New Roman" w:eastAsia="Times New Roman" w:hAnsi="Times New Roman"/>
          <w:sz w:val="17"/>
          <w:szCs w:val="17"/>
          <w:color w:val="auto"/>
        </w:rPr>
      </w:pPr>
    </w:p>
    <w:p>
      <w:pPr>
        <w:jc w:val="both"/>
        <w:ind w:left="620" w:hanging="304"/>
        <w:spacing w:after="0" w:line="261"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Platform to enable democratized access to proteomics tools. </w:t>
      </w:r>
      <w:r>
        <w:rPr>
          <w:rFonts w:ascii="Times New Roman" w:cs="Times New Roman" w:eastAsia="Times New Roman" w:hAnsi="Times New Roman"/>
          <w:sz w:val="17"/>
          <w:szCs w:val="17"/>
          <w:color w:val="auto"/>
        </w:rPr>
        <w:t>Our platform is designed to provide an easy-to-use workflow with the potential to enable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users the ability to better characterize and understand the full complexity of the proteome in an unbiased fashion. Current workflows are typically disaggregated, expensive, require significant training to operate, and are often performed in a separate specialty laboratory. We aim for our technology platform to be broadly available across pharmaceutical and academic research centers, basic research labs, and other healthcare centers and RUO clinical laboratories at a price point that is a significant discount to most legacy technologies. The reduction in both cost and complexity could allow for rapid adoption, whether a user is replacing a legacy technology or buying a new instrument. In addition to appealing to users of existing proteomics tools, we believe that our proteomics platform will appeal to users of DNA sequencing technologies who seek to augment their research and discovery of biomarkers and further deepen their understanding of biology.</w:t>
      </w:r>
    </w:p>
    <w:p>
      <w:pPr>
        <w:spacing w:after="0" w:line="163" w:lineRule="exact"/>
        <w:rPr>
          <w:rFonts w:ascii="Times New Roman" w:cs="Times New Roman" w:eastAsia="Times New Roman" w:hAnsi="Times New Roman"/>
          <w:sz w:val="17"/>
          <w:szCs w:val="17"/>
          <w:color w:val="auto"/>
        </w:rPr>
      </w:pPr>
    </w:p>
    <w:p>
      <w:pPr>
        <w:jc w:val="both"/>
        <w:ind w:left="620" w:hanging="304"/>
        <w:spacing w:after="0" w:line="219"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Business model that leverages growing installed base of instruments. </w:t>
      </w:r>
      <w:r>
        <w:rPr>
          <w:rFonts w:ascii="Times New Roman" w:cs="Times New Roman" w:eastAsia="Times New Roman" w:hAnsi="Times New Roman"/>
          <w:sz w:val="17"/>
          <w:szCs w:val="17"/>
          <w:color w:val="auto"/>
        </w:rPr>
        <w:t>In December 2022, we launched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RUO. As part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commercialization efforts, we aim to grow our installed base, optimize workflows, and expand our applications, which we expect will then generate substantial, recurring revenues from our consumables.</w:t>
      </w:r>
    </w:p>
    <w:p>
      <w:pPr>
        <w:spacing w:after="0" w:line="188"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Robust patent protection. </w:t>
      </w:r>
      <w:r>
        <w:rPr>
          <w:rFonts w:ascii="Times New Roman" w:cs="Times New Roman" w:eastAsia="Times New Roman" w:hAnsi="Times New Roman"/>
          <w:sz w:val="17"/>
          <w:szCs w:val="17"/>
          <w:color w:val="auto"/>
        </w:rPr>
        <w:t>We have a strong intellectual property strategy in which we have 293 issued patents and 666 pending applications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31, 2023. Many members of our management team worked directly with our Founder, Dr. Jonathan Rothberg, as he revolutionized the creation of next generation DNA sequencing while founding Ion Torrent, which was acquired by Life Technologies in 2010. Our team has similarly devoted its efforts to revolutionizing unbiased proteomic analysis using a similar scientific and technical validation approach since our founding in 2013.</w:t>
      </w:r>
    </w:p>
    <w:p>
      <w:pPr>
        <w:spacing w:after="0" w:line="166" w:lineRule="exact"/>
        <w:rPr>
          <w:rFonts w:ascii="Times New Roman" w:cs="Times New Roman" w:eastAsia="Times New Roman" w:hAnsi="Times New Roman"/>
          <w:sz w:val="17"/>
          <w:szCs w:val="17"/>
          <w:color w:val="auto"/>
        </w:rPr>
      </w:pPr>
    </w:p>
    <w:p>
      <w:pPr>
        <w:jc w:val="both"/>
        <w:ind w:left="620" w:hanging="304"/>
        <w:spacing w:after="0" w:line="275"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Experienced Life Science Management team with significant experience in healthcare. </w:t>
      </w:r>
      <w:r>
        <w:rPr>
          <w:rFonts w:ascii="Times New Roman" w:cs="Times New Roman" w:eastAsia="Times New Roman" w:hAnsi="Times New Roman"/>
          <w:sz w:val="17"/>
          <w:szCs w:val="17"/>
          <w:color w:val="auto"/>
        </w:rPr>
        <w:t>We have a world-class management team, including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officers and other senior management, with decades of cumulative experience in the healthcare and life sciences end-markets. We believe this leadership team positions us as a potentially disruptive force in creating a new market of next generation protein sequencing.</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strategies include the following:</w:t>
      </w:r>
    </w:p>
    <w:p>
      <w:pPr>
        <w:spacing w:after="0" w:line="211" w:lineRule="exact"/>
        <w:rPr>
          <w:sz w:val="20"/>
          <w:szCs w:val="20"/>
          <w:color w:val="auto"/>
        </w:rPr>
      </w:pPr>
    </w:p>
    <w:p>
      <w:pPr>
        <w:jc w:val="both"/>
        <w:ind w:left="620" w:hanging="304"/>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Systematic and phased approach to broad commercialization and adoption. </w:t>
      </w:r>
      <w:r>
        <w:rPr>
          <w:rFonts w:ascii="Times New Roman" w:cs="Times New Roman" w:eastAsia="Times New Roman" w:hAnsi="Times New Roman"/>
          <w:sz w:val="17"/>
          <w:szCs w:val="17"/>
          <w:color w:val="auto"/>
        </w:rPr>
        <w:t>In December 2022, we began a controlled launch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RUO and subsequently began limited commercial shipments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January 2023. Members of our team have previously utilized a systematic approach designed to drive early adoption to successfully launch other disruptive technologies. We believe this approach will allow us to introduce our platform in a structured manner to demonstrate its use and practicality, while working directly with our key potential customers and industry thought leaders to help ensure a positive experience. Our core leadership team has decades of cumulative experience working directly in the life sciences industry with many of the companies and research centers that have the potential to become key customers and that we will seek to build into our prospective customer pipeline.</w:t>
      </w:r>
    </w:p>
    <w:p>
      <w:pPr>
        <w:spacing w:after="0" w:line="244" w:lineRule="exact"/>
        <w:rPr>
          <w:rFonts w:ascii="Times New Roman" w:cs="Times New Roman" w:eastAsia="Times New Roman" w:hAnsi="Times New Roman"/>
          <w:sz w:val="17"/>
          <w:szCs w:val="17"/>
          <w:color w:val="auto"/>
        </w:rPr>
      </w:pPr>
    </w:p>
    <w:p>
      <w:pPr>
        <w:jc w:val="both"/>
        <w:ind w:left="620" w:hanging="304"/>
        <w:spacing w:after="0" w:line="267"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Build our commercial infrastructure to help ensure successful initial commercial launch in the U.S., Europe and limited areas in the rest of the world. </w:t>
      </w:r>
      <w:r>
        <w:rPr>
          <w:rFonts w:ascii="Times New Roman" w:cs="Times New Roman" w:eastAsia="Times New Roman" w:hAnsi="Times New Roman"/>
          <w:sz w:val="17"/>
          <w:szCs w:val="17"/>
          <w:color w:val="auto"/>
        </w:rPr>
        <w:t>We expect to build out our commercial and operational infrastructure to sell and support our platform as we commercialize our technology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gain traction throughout the world. Our initial focus will be direct sales in the United States, with a combined direct and distributor approach in Europe, and opportunistic sales in the rest of the world. We also have manufacturing capabilities and partnerships that we believe will allow us to scale our capacity.</w:t>
      </w:r>
    </w:p>
    <w:p>
      <w:pPr>
        <w:spacing w:after="0" w:line="377" w:lineRule="exact"/>
        <w:rPr>
          <w:rFonts w:ascii="Times New Roman" w:cs="Times New Roman" w:eastAsia="Times New Roman" w:hAnsi="Times New Roman"/>
          <w:sz w:val="17"/>
          <w:szCs w:val="17"/>
          <w:color w:val="auto"/>
        </w:rPr>
      </w:pPr>
    </w:p>
    <w:p>
      <w:pPr>
        <w:jc w:val="both"/>
        <w:ind w:left="620" w:hanging="304"/>
        <w:spacing w:after="0" w:line="263"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Invest in market development activities to increase awareness of the importance of the proteome and the strengths of our platform. </w:t>
      </w:r>
      <w:r>
        <w:rPr>
          <w:rFonts w:ascii="Times New Roman" w:cs="Times New Roman" w:eastAsia="Times New Roman" w:hAnsi="Times New Roman"/>
          <w:sz w:val="17"/>
          <w:szCs w:val="17"/>
          <w:color w:val="auto"/>
        </w:rPr>
        <w:t>We believe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platform has the capability to enable users to generate significant amounts of proteomic information at speed, scale, and simplicity through a solution that until our launch, was not available. We believe the utility of our platform will span basic and discovery applications and translational research in which there is a strong market need for proteomic analysis for novel discoveries and better insights into the complexity of disease. We plan to invest in market development activities and partnerships to increase awareness of the importance and utility of proteomics to expand and accelerate demand for our products.</w:t>
      </w:r>
    </w:p>
    <w:p>
      <w:pPr>
        <w:spacing w:after="0" w:line="170"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Continued technical innovation to drive product enhancements, new products, and additional applications. </w:t>
      </w:r>
      <w:r>
        <w:rPr>
          <w:rFonts w:ascii="Times New Roman" w:cs="Times New Roman" w:eastAsia="Times New Roman" w:hAnsi="Times New Roman"/>
          <w:sz w:val="17"/>
          <w:szCs w:val="17"/>
          <w:color w:val="auto"/>
        </w:rPr>
        <w:t>Our leadership team has deep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expertise in scientific and technological development and commercialization. After we commercialize our initial products, we aim to continually innovate and develop new products, product enhancements, applications, workflows, and other tools to enable our customers to generate unbiased proteomic information at scale.</w:t>
      </w:r>
    </w:p>
    <w:p>
      <w:pPr>
        <w:spacing w:after="0" w:line="166" w:lineRule="exact"/>
        <w:rPr>
          <w:rFonts w:ascii="Times New Roman" w:cs="Times New Roman" w:eastAsia="Times New Roman" w:hAnsi="Times New Roman"/>
          <w:sz w:val="17"/>
          <w:szCs w:val="17"/>
          <w:color w:val="auto"/>
        </w:rPr>
      </w:pPr>
    </w:p>
    <w:p>
      <w:pPr>
        <w:jc w:val="both"/>
        <w:ind w:left="620" w:hanging="304"/>
        <w:spacing w:after="0" w:line="261"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Accessibility and Enablement: Enable broad adoption of protein sequencing. </w:t>
      </w:r>
      <w:r>
        <w:rPr>
          <w:rFonts w:ascii="Times New Roman" w:cs="Times New Roman" w:eastAsia="Times New Roman" w:hAnsi="Times New Roman"/>
          <w:sz w:val="17"/>
          <w:szCs w:val="17"/>
          <w:color w:val="auto"/>
        </w:rPr>
        <w:t>Our mission is to democratize single molecule proteomic analysis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providing a full workflow of solutions at an affordable cost. We believe that our platform will directly address many of the key bottlenecks that exist within legacy proteomic technologies, namely low sensitivity, lack of dynamic range, complex workflow, complex analysis, and high cost. We believe our platform offers the potential for a more practical, affordable, and intuitive workflow solution relative to many legacy proteomic technologies. We have specifically developed our platform to be adopted and integrated into any existing lab. We believe that our platform will have wide utility across the study of proteins, including basic and discovery research and, subject to regulatory authorization, clinical diagnostics, and potentially industrial applications like bioproduction. Our ability to develop our platform such that it will be offered at a discount to many legacy instruments and other proteomic technologies, may allow proteomic analysis to reach new markets and new users, potentially enabling and accelerating innovative discoveries.</w:t>
      </w:r>
    </w:p>
    <w:p>
      <w:pPr>
        <w:spacing w:after="0" w:line="170" w:lineRule="exact"/>
        <w:rPr>
          <w:rFonts w:ascii="Times New Roman" w:cs="Times New Roman" w:eastAsia="Times New Roman" w:hAnsi="Times New Roman"/>
          <w:sz w:val="17"/>
          <w:szCs w:val="17"/>
          <w:color w:val="auto"/>
        </w:rPr>
      </w:pPr>
    </w:p>
    <w:p>
      <w:pPr>
        <w:jc w:val="both"/>
        <w:ind w:left="620" w:hanging="304"/>
        <w:spacing w:after="0" w:line="26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Continue to strengthen our intellectual property portfolio for existing and new technologies. </w:t>
      </w:r>
      <w:r>
        <w:rPr>
          <w:rFonts w:ascii="Times New Roman" w:cs="Times New Roman" w:eastAsia="Times New Roman" w:hAnsi="Times New Roman"/>
          <w:sz w:val="17"/>
          <w:szCs w:val="17"/>
          <w:color w:val="auto"/>
        </w:rPr>
        <w:t>We have a broad and deep patent protection strategy,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includes 293 issued patents and over 666 pending applications as of December 31, 2023. Protection of our intellectual property is a strategic priority for the business. We have taken, and will continue to take, steps to protect our current and future intellectual property and proprietary technology. We believe our broad patent portfolio and continued rigorous patent protection strategy will help to allow us to focus on our key priorities of commercializing our platform, continuing to innovate with new technologies, and preventing fast-followers.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Strategy</w:t>
      </w:r>
    </w:p>
    <w:p>
      <w:pPr>
        <w:spacing w:after="0" w:line="22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Our proprietary platform has been specifically designed to provide deeper insights into the proteome at various scales. Our workflow solution is comprised of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consumables, and software and has been designed at a favorable price point relative to legacy technologies to promote easy adoption, while simplifying and automating the single molecule proteomics workflow. Our commercial strategy is designed to place our instruments initially with a wide variety of customer types, and ultimately to improve our products by increasing throughput and developing additional applications to expand our users and increase the consumable utilization by our installed base. We began a controlled launch of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and started to take orders in December 2022, and subsequently began commercial shipments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January 2023.</w:t>
      </w:r>
    </w:p>
    <w:p>
      <w:pPr>
        <w:spacing w:after="0" w:line="3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Now that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Platinum Analysis Software system has launched, we intend to follow a systematic, phased approach to continue to successfully launch updates to our platform. We believe we are the first company to successfully enable NGPS on a semiconductor chip, thus digitizing a massive proteomics opportunity, which allows for a massively parallel solution at the ultimate level of sensitivity - single-molecule detection.</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we continue to commercialize our platform, we plan to build out our commercial operations infrastructure necessary to sell and support our platform, across a growing number of market segments and geographies. We are focusing our direct sales and marketing efforts primarily on principal investigators, directors, and other core personnel at academic research and biopharma labs that are critical to their organization’s buying decisions, primarily in the United States. In addition, we intend to launch a combined direct and distributor approach in Europe, and opportunistic sales in the rest of the world.</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Members of our team have previously successfully utilized this approach to launch other disruptive technologies at other companies. We believe this approach will allow us to introduce our platform in a structured manner to demonstrate its use and practicality, while working directly with key potential customers to help ensure a positive experience. Our core leadership team has decades of experience working directly in the life sciences industry with many of the companies and research centers that have the potential to become key customers and we expect to build into our prospective customer pipeline.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commercial launch plan is comprised of the following phases following beta testing in product development:</w:t>
      </w:r>
    </w:p>
    <w:p>
      <w:pPr>
        <w:spacing w:after="0" w:line="211" w:lineRule="exact"/>
        <w:rPr>
          <w:sz w:val="20"/>
          <w:szCs w:val="20"/>
          <w:color w:val="auto"/>
        </w:rPr>
      </w:pPr>
    </w:p>
    <w:p>
      <w:pPr>
        <w:jc w:val="both"/>
        <w:ind w:left="620" w:hanging="30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Controlled Launch: </w:t>
      </w:r>
      <w:r>
        <w:rPr>
          <w:rFonts w:ascii="Times New Roman" w:cs="Times New Roman" w:eastAsia="Times New Roman" w:hAnsi="Times New Roman"/>
          <w:sz w:val="17"/>
          <w:szCs w:val="17"/>
          <w:color w:val="auto"/>
        </w:rPr>
        <w:t>In December 2022, we launched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RUO. In our initial launch, we are targeting established academic research centers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pharmaceutical companies in the United States and Europe. During our initial launch phase, we are focusing on driving our technology into research centers. Our platform is currently intended for RUO applications, and it will continue to be marketed as RUO until regulatory authorizations allowing for clinical or diagnostic uses are obtained. We are targeting customers that will directly benefit from the value of our platform across a number of applications, including basic research, biomarker discovery and translational research. We anticipate these customers may already have existing proteomic capabilities through legacy instruments such as a MS, and so will understand the importance of single molecule, unbiased proteomic analysis. During this phase, we expect to continue to strengthen our commercial organization and broaden our commercial footprint to support an increasing number of customers.</w:t>
      </w:r>
    </w:p>
    <w:p>
      <w:pPr>
        <w:spacing w:after="0" w:line="188" w:lineRule="exact"/>
        <w:rPr>
          <w:rFonts w:ascii="Times New Roman" w:cs="Times New Roman" w:eastAsia="Times New Roman" w:hAnsi="Times New Roman"/>
          <w:sz w:val="17"/>
          <w:szCs w:val="17"/>
          <w:color w:val="auto"/>
        </w:rPr>
      </w:pPr>
    </w:p>
    <w:p>
      <w:pPr>
        <w:jc w:val="both"/>
        <w:ind w:left="620" w:hanging="304"/>
        <w:spacing w:after="0" w:line="268"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Product Updates: </w:t>
      </w:r>
      <w:r>
        <w:rPr>
          <w:rFonts w:ascii="Times New Roman" w:cs="Times New Roman" w:eastAsia="Times New Roman" w:hAnsi="Times New Roman"/>
          <w:sz w:val="17"/>
          <w:szCs w:val="17"/>
          <w:color w:val="auto"/>
        </w:rPr>
        <w:t>As we continue commercialization in 2024 and beyond, we expect to focus on building our installed base and expanding global access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our platform. We expect to make product enhancements to our initial platform and to make them available to our new and then existing customers. Potential improvements could include chemistry enhancements to our instruments and deeper insights from our analysis software, which may improve accuracy, coverage, speed and data output.</w:t>
      </w:r>
    </w:p>
    <w:p>
      <w:pPr>
        <w:spacing w:after="0" w:line="159" w:lineRule="exact"/>
        <w:rPr>
          <w:rFonts w:ascii="Times New Roman" w:cs="Times New Roman" w:eastAsia="Times New Roman" w:hAnsi="Times New Roman"/>
          <w:sz w:val="17"/>
          <w:szCs w:val="17"/>
          <w:color w:val="auto"/>
        </w:rPr>
      </w:pPr>
    </w:p>
    <w:p>
      <w:pPr>
        <w:jc w:val="both"/>
        <w:ind w:left="620" w:hanging="304"/>
        <w:spacing w:after="0" w:line="219"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Portfolio Expansion: </w:t>
      </w:r>
      <w:r>
        <w:rPr>
          <w:rFonts w:ascii="Times New Roman" w:cs="Times New Roman" w:eastAsia="Times New Roman" w:hAnsi="Times New Roman"/>
          <w:sz w:val="17"/>
          <w:szCs w:val="17"/>
          <w:color w:val="auto"/>
        </w:rPr>
        <w:t>Ultimately, we plan to advance and develop new products and key applications designed to “scale up”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higher throughput and enable greater levels of data output and broader coverage of the proteome, as well as deeper analysis capabilities, including onboard analysis capabilities.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Roadmap</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product roadmap is designed to position us as a potential leader in the proteomic analysis market. We plan to continue to improve our platform through hardware, chemistry and data analysis related product improvements. Hardware improvement may include enhancements to the existing technology as well as development of next-generation technologies that introduce new platform architectures and could include onboard analysis capabilities. Chemistry-related improvements will likely include iterations of our library preparation and sequencing kits, which will allow for greater coverage, enhanced throughput, deeper insights and broader sample types capabilities.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Now that we have launched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we are focused on building our installed base and expanding global access to our platform. We expect to make product enhancements to our initial platform and to make them available to our new and then existing customers. Potential improvements could include an increase in the capacity of our semiconductor chips or chemistry enhancements to our instruments, which may improve accuracy, coverage, and speed.</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to potential future advancements in hardware, we plan to expand our computational capabilities by developing software enhancements and data analytics tools. We believe that our software solution could be a key differentiating advantage relative to legacy systems. We believe the integration of our Platinum Analysis Software solution directly into the platform can ensure seamless data streaming to the cloud where analytical workflows can help simplify data interpretation.</w:t>
      </w:r>
    </w:p>
    <w:p>
      <w:pPr>
        <w:spacing w:after="0" w:line="3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Through this product roadmap, we have the potential to become a leader in the proteomic analysis market, with the mission of transforming single molecule analysis and democratizing its use by directly enabling researchers and clinicians access to the proteome. We believe we are the first company to successfully enable NGPS on a semiconductor chip, thus digitizing a substantial proteomics opportunity, which allows for a massively parallel solution at the ultimate level of sensitivity - single molecule detection.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Suppliers and Manufacturing</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products are built using both custom-made and off-the-shelf components supplied by outside manufacturers and vendors located in Asia, Europe, and the United States. One key custom-made component is the disposable semiconductor chip. Others include the proprietary mode-locked laser and enzymes, recognizers and buffers used for protein sequencing. The majority of other components for the instruments are off-the-shelf.</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purchase some of our components and materials used in manufacturing, including the underlying wafers for our semiconductor chip as well as other critical manufacturing steps, from single source suppliers. We believe that alternatives would be available; however, it will likely take a significant amount of time to identify and validate replacement components, which could negatively affect our ability to supply our products on a timely basis. To mitigate this future risk, we and our third-party contractors attempt to carry a significant inventory of our critical components. However, any transaction disruptions in these suppliers and potential associated ramp up time of a new supplier would result in a supply disruption that could impact our business.</w:t>
      </w:r>
    </w:p>
    <w:p>
      <w:pPr>
        <w:spacing w:after="0" w:line="16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is developed and designed by us, but has historically been manufactured by a third party manufacturing partner. In November 2023 we began a process of transitioning the manufacturing of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to a new provider. This transition is expected to be completed in 2024. We currently anticipate that this transition will be executed within our expected timeline and will not result in any impact to our business. However, this transition is complex, involves qualifying and onboarding suppliers, technology transfer activities, and other key work streams to ensure an effective and timely ramp up of production. Overall, we believe that our manufacturing strategy is efficient and conserves capital. However, we do not have long-term supply or manufacturing commitments from our suppliers or manufacturers, as our products and components are currently supplied on a purchase order basis. In addition, we will need to increase the supply and manufacturing of our products as we continue to grow. If we are unable to begin manufacturing at these new contract manufacturers in a timely fashion, it will affect our ability to produce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instruments which would harm our research and development efforts and commercial operations. In the event that it becomes necessary to utilize a different contract manufacturer or suppliers for our products, now or in the future, we may experience additional costs, delays and difficulties in doing so, and our business could be harmed.</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Certain processes related to our semiconductor chip technology are developed by us, but manufactured by a third-party partner. Currently, we are in the process of transitioning these activities to a new partner. Though this partner has produced some completed wafers with surface coatings that are usable, this process is not completed or optimized for long-term production. We do have a limited supply of completed semiconductor chip safety stock that addresses near term commercial and development needs, but will need to complete certain further steps of this transition before we have a sustainable process, and, even then, further steps will be required to optimize the process for the highest yield and lowest cost supply. We are targeting the completion of a sustainable process in mid-2024, and a long-term optimized process sometime in the first half of 2025. However, transitioning these processes could take more time than anticipated and may ultimately prove to be unsuccessful. If we are unable to begin consistently manufacturing our semiconductor chip surface coating process at this new contract manufacturer in a timely fashion, it will affect our ability to supply semiconductor chips, affecting our ability to complete development activities that allow us to improve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throughput, and ultimately harm our ability to deliver consumable sequencing kits to our customers, both of which would harm our research and development efforts and commercial operations.</w:t>
      </w:r>
    </w:p>
    <w:p>
      <w:pPr>
        <w:spacing w:after="0" w:line="18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November 2021, we acquired Majelac, a semiconductor packaging company based in Garnet Valley, Pennsylvania. The acquisition brought our semiconductor chip assembly capabilities in-house to simplify our supply chain and support our commercialization efforts.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people are the reason for our success, and we have structured our organization to maximize productivity and performance. Our future success largely depends upon our continued ability to attract and retain highly-skilled employees. As of December 31, 2023, we employed 159 full-time employees in the United States and six full-time employees internationally with the majority of our employees engaged directly in research and development, and are actively building our commercial organization as demand increases; 39% of whom hold PhDs. In addition, we utilize Professional Employment Organizations to provide labor for certain key activities outside the United States, which we consider part of our workforce. None of our employees are covered by collective bargaining agreements. We understand that our success depends on our highly talented employees, and our human capital management practices focus on attracting and retaining a diverse and engaged workforce.</w:t>
      </w:r>
    </w:p>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Mission and Core Values</w:t>
      </w:r>
      <w:r>
        <w:rPr>
          <w:rFonts w:ascii="Times New Roman" w:cs="Times New Roman" w:eastAsia="Times New Roman" w:hAnsi="Times New Roman"/>
          <w:sz w:val="17"/>
          <w:szCs w:val="17"/>
          <w:color w:val="auto"/>
        </w:rPr>
        <w:t>. Our mission is to put the groundbreaking power of protein sequencing in the hands of every scientist, every lab, everywhere.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committed to pioneering a new generation of technology to democratize protein sequencing so that scientists can generate deeper insights faster. Employees are made aware of our values - Embrace Change, Stand Up, Speak Up, Never Settle, and Succeed Together. These values are the basis of our actions and decisions.</w:t>
      </w:r>
    </w:p>
    <w:p>
      <w:pPr>
        <w:spacing w:after="0" w:line="1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Diversity, Equity and Inclusion</w:t>
      </w:r>
      <w:r>
        <w:rPr>
          <w:rFonts w:ascii="Times New Roman" w:cs="Times New Roman" w:eastAsia="Times New Roman" w:hAnsi="Times New Roman"/>
          <w:sz w:val="17"/>
          <w:szCs w:val="17"/>
          <w:color w:val="auto"/>
        </w:rPr>
        <w:t>. Much of our success is rooted in the diversity of our teams and our commitment to inclusion. We value diversity at all levels.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that our business benefits from the different perspectives a diverse workforce brings, and we strive to maintain a strong, inclusive and positive culture based on our shared mission and values.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in attracting, developing, and retaining diverse talent that is inclusive of every age, gender, gender identity, race, sexual orientation, physical capability, ethnicity, belief and perspective. Each individual, regardless of their role makes a difference and impacts our progress. We continue to focus on seeking diverse candidates for all open opportunities.</w:t>
      </w:r>
    </w:p>
    <w:p>
      <w:pPr>
        <w:spacing w:after="0" w:line="16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Employee Engagement</w:t>
      </w:r>
      <w:r>
        <w:rPr>
          <w:rFonts w:ascii="Times New Roman" w:cs="Times New Roman" w:eastAsia="Times New Roman" w:hAnsi="Times New Roman"/>
          <w:sz w:val="17"/>
          <w:szCs w:val="17"/>
          <w:color w:val="auto"/>
        </w:rPr>
        <w:t>. We have established an annual employee survey process to gather feedback from our employees. The feedback received allows us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 stronger as a company and allows us to create an environment where employee contributions matter and employees feel valued.</w:t>
      </w:r>
    </w:p>
    <w:p>
      <w:pPr>
        <w:spacing w:after="0" w:line="14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Training and Development</w:t>
      </w:r>
      <w:r>
        <w:rPr>
          <w:rFonts w:ascii="Times New Roman" w:cs="Times New Roman" w:eastAsia="Times New Roman" w:hAnsi="Times New Roman"/>
          <w:sz w:val="17"/>
          <w:szCs w:val="17"/>
          <w:color w:val="auto"/>
        </w:rPr>
        <w:t>. We listen to our employees to understand their training needs. Employees are encouraged to take advantage of our training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has a plethora of online learning courses. We conduct monthly seminars to update employees on what is happening throughout our Company.</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Compensation and Benefits. </w:t>
      </w:r>
      <w:r>
        <w:rPr>
          <w:rFonts w:ascii="Times New Roman" w:cs="Times New Roman" w:eastAsia="Times New Roman" w:hAnsi="Times New Roman"/>
          <w:sz w:val="17"/>
          <w:szCs w:val="17"/>
          <w:color w:val="auto"/>
        </w:rPr>
        <w:t>Healthcare technology companies, both large and small compete for a limited number of qualified applicants to fill specialized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positions. To attract qualified applicants and retain employees, we offer a total rewards package consisting of base salary, cash bonus, and equity compensation. Bonus opportunity and equity compensation increase as a percentage of total compensation based on level of responsibility. The actual bonus payout is based on performance. In addition, we also provide a comprehensive benefits package inclusive of medical, dental, and vision healthcare coverage including a paid reimbursement account, life insurance and disability coverage, 401(k) investment plans, tax advantaged savings account, generous paid time off and leaves of absence, employee assistance programs, and wellness programs.</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Employee Health and Safety. </w:t>
      </w:r>
      <w:r>
        <w:rPr>
          <w:rFonts w:ascii="Times New Roman" w:cs="Times New Roman" w:eastAsia="Times New Roman" w:hAnsi="Times New Roman"/>
          <w:sz w:val="17"/>
          <w:szCs w:val="17"/>
          <w:color w:val="auto"/>
        </w:rPr>
        <w:t>We have training programs for general, chemical and biological safety. We are continuously evaluating the guidance from federal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local authorities and have created strict policies and guidelines that put our employees’ health and safety first.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 and Directors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persons were our executive officers and directors as of February 29,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08"/>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tc>
        <w:tc>
          <w:tcPr>
            <w:tcW w:w="56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auto"/>
            </w:tcBorders>
            <w:shd w:val="clear" w:color="auto" w:fill="CCEEFF"/>
          </w:tcPr>
          <w:p>
            <w:pPr>
              <w:spacing w:after="0"/>
              <w:rPr>
                <w:sz w:val="18"/>
                <w:szCs w:val="18"/>
                <w:color w:val="auto"/>
              </w:rPr>
            </w:pPr>
          </w:p>
        </w:tc>
      </w:tr>
      <w:tr>
        <w:trPr>
          <w:trHeight w:val="208"/>
        </w:trPr>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Jeffrey Hawkins</w:t>
            </w: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08"/>
        </w:trPr>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Jeffry Keyes</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08"/>
        </w:trPr>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Grace Johnston, Ph.D.</w:t>
            </w: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Chief Commercial Officer</w:t>
            </w:r>
          </w:p>
        </w:tc>
      </w:tr>
      <w:tr>
        <w:trPr>
          <w:trHeight w:val="208"/>
        </w:trPr>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Christian LaPointe, Ph.D.</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Counsel and Corporate Secretary</w:t>
            </w:r>
          </w:p>
        </w:tc>
      </w:tr>
      <w:tr>
        <w:trPr>
          <w:trHeight w:val="208"/>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tc>
        <w:tc>
          <w:tcPr>
            <w:tcW w:w="7040" w:type="dxa"/>
            <w:vAlign w:val="bottom"/>
          </w:tcPr>
          <w:p>
            <w:pPr>
              <w:spacing w:after="0"/>
              <w:rPr>
                <w:sz w:val="18"/>
                <w:szCs w:val="18"/>
                <w:color w:val="auto"/>
              </w:rPr>
            </w:pPr>
          </w:p>
        </w:tc>
      </w:tr>
      <w:tr>
        <w:trPr>
          <w:trHeight w:val="208"/>
        </w:trPr>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Jonathan M. Rothberg, Ph.D.</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of Directors</w:t>
            </w:r>
          </w:p>
        </w:tc>
      </w:tr>
      <w:tr>
        <w:trPr>
          <w:trHeight w:val="190"/>
        </w:trPr>
        <w:tc>
          <w:tcPr>
            <w:tcW w:w="420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7"/>
                <w:szCs w:val="17"/>
                <w:color w:val="auto"/>
              </w:rPr>
              <w:t>Ruth Fattori</w:t>
            </w:r>
          </w:p>
        </w:tc>
        <w:tc>
          <w:tcPr>
            <w:tcW w:w="70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Managing Partner, Pecksland Partners</w:t>
            </w:r>
          </w:p>
        </w:tc>
      </w:tr>
      <w:tr>
        <w:trPr>
          <w:trHeight w:val="226"/>
        </w:trPr>
        <w:tc>
          <w:tcPr>
            <w:tcW w:w="3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Senior Advisor, Boston Consulting Group</w:t>
            </w:r>
          </w:p>
        </w:tc>
      </w:tr>
      <w:tr>
        <w:trPr>
          <w:trHeight w:val="208"/>
        </w:trPr>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Amir Jafri</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Immunicom Inc.</w:t>
            </w:r>
          </w:p>
        </w:tc>
      </w:tr>
      <w:tr>
        <w:trPr>
          <w:trHeight w:val="208"/>
        </w:trPr>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John Patrick Kenny</w:t>
            </w: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 Bioamerica, Inc.</w:t>
            </w:r>
          </w:p>
        </w:tc>
      </w:tr>
      <w:tr>
        <w:trPr>
          <w:trHeight w:val="190"/>
        </w:trPr>
        <w:tc>
          <w:tcPr>
            <w:tcW w:w="4200" w:type="dxa"/>
            <w:vAlign w:val="bottom"/>
            <w:gridSpan w:val="2"/>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Brigid A. Makes</w:t>
            </w:r>
          </w:p>
        </w:tc>
        <w:tc>
          <w:tcPr>
            <w:tcW w:w="7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Chief Financial Officer, Vivani Medical, Inc</w:t>
            </w:r>
          </w:p>
        </w:tc>
      </w:tr>
      <w:tr>
        <w:trPr>
          <w:trHeight w:val="226"/>
        </w:trPr>
        <w:tc>
          <w:tcPr>
            <w:tcW w:w="3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Elutia, Inc.</w:t>
            </w:r>
          </w:p>
        </w:tc>
      </w:tr>
      <w:tr>
        <w:trPr>
          <w:trHeight w:val="208"/>
        </w:trPr>
        <w:tc>
          <w:tcPr>
            <w:tcW w:w="4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Scott Mendel</w:t>
            </w: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Director, Akoya Bioscience, Inc. and Visby Medical, Inc.</w:t>
            </w:r>
          </w:p>
        </w:tc>
      </w:tr>
      <w:tr>
        <w:trPr>
          <w:trHeight w:val="208"/>
        </w:trPr>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Kevin Rakin</w:t>
            </w: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Co-Founder and Partner, HighCape Capital</w:t>
            </w:r>
          </w:p>
        </w:tc>
      </w:tr>
      <w:tr>
        <w:trPr>
          <w:trHeight w:val="416"/>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Competition</w:t>
            </w:r>
          </w:p>
        </w:tc>
        <w:tc>
          <w:tcPr>
            <w:tcW w:w="7040" w:type="dxa"/>
            <w:vAlign w:val="bottom"/>
          </w:tcPr>
          <w:p>
            <w:pPr>
              <w:spacing w:after="0"/>
              <w:rPr>
                <w:sz w:val="24"/>
                <w:szCs w:val="24"/>
                <w:color w:val="auto"/>
              </w:rPr>
            </w:pPr>
          </w:p>
        </w:tc>
      </w:tr>
    </w:tbl>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KGaA (and its subsidiary MilliporeSigma) and Thermo Fisher Scientific.</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also may compete with a number of emerging growth companies that have developed, or are developing, proteomic products and solutions, such as Nautilus Biotechnology, Olink Proteomics, Quanterix, Seer and Standard BioTools. In addition, there are a number of privately-held entities working on similar technologies as ours.</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We believe there are currently no commercially available NGPS platforms beyond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system. The legacy proteomics market today is largely served by companies that offer a variety of analytical instruments, such as MS and microarray instruments and associated reagents and consumables. There are also a number of companies that provide proteomic analysis services and have developed or are developing novel proteomic technologies. Additional competing products may emerge from various sources, including life sciences tools, diagnostics, pharmaceutical and biotechnology companies, third-party service providers, academic research institutions, governmental agencies and/or public and private research institutions, among others. Many of the companies with which we compete have substantially greater resources than we have.</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life science instrumentation industry is highly competitive and expected to grow more competitive with the increasing knowledge gained from ongoing research and development. Given the potential market opportunity and scientific importance of proteomic analysis, we expect increased competition and competitor technologies to emerge in the future. We believe the principal competitive factors in our target markets include:</w:t>
      </w:r>
    </w:p>
    <w:p>
      <w:pPr>
        <w:spacing w:after="0" w:line="162" w:lineRule="exact"/>
        <w:rPr>
          <w:sz w:val="20"/>
          <w:szCs w:val="20"/>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 and sensitivity;</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instruments and consumables;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efficiency and speed of workflows;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scale required to address the complexity and dynamic range of the proteome;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throughput to meet lab testing volume;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 among customers and key thought leaders;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innovation in product offerings;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accuracy and reproducibility of results;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 of intellectual property portfolio;</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and manufacturing footprint;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 infrastructure;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leadership and commercial team with extensive execution and scientific background.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that there are currently no other commercially available products that provide the same level of analysis at the same scale and sensitivity that we expect our platform will provide. Following our commercial launch for RUO, we aim to enhance our position through our ongoing product development, commercial strategy, potential new products and ongoing collaborations and partnerships with key thought leaders.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Protection of our intellectual property is a strategic priority for our business. We rely on a combination of patents, trademark, copyright, trade secret and other intellectual property rights protection and contractual restrictions to protect our proprietary technologies.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Patented Technologies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patents owned and in-licensed by us provide comprehensive coverage of our sample preparation, peptide sequencing and nucleic acid sequencing devices and are directed to aspects including sample preparation, instrument and laser light source architecture, pixel design, waveguide architecture, lifetime discrimination methods, machine learning, and surface chemistry. We have developed a portfolio of issued patents and pending patent applications directed to commercial products and technologies for potential development. We believe that our intellectual property is a core strength of our business, and our strategy includes the continued development of our patent portfolio.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Portfolio</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December 31, 2023, we owned 293 issued patents and 666 pending patent applications. Of our 293 issued patents, 81 were issued U.S. utility patents. Of our 666 pending patent applications, 120 were pending U.S. utility patent applications, 9 of which were allowed. In addition, we owned 212 issued patents in foreign jurisdictions, including Australia, Brazil, China, Europe, Hong Kong, India, Japan, Korea, Mexico, and Taiwan, and 546 pending patent applications in foreign jurisdictions, including Australia, Brazil, Canada, China, Europe, Hong Kong, India, Israel, Japan, Korea, Malaysia, Singapore, Taiwan, and Thailand, 16 of which were allowed. In total, we owned 118 patent families generally directed to our sample preparation, peptide sequencing and nucleic acid sequencing devices. These issued patents and pending patent applications (if they were to issue as patents) have expected expiration dates ranging between 2025 and 2043.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Trademark Portfolio</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also protect important marks through trademark registrations. As of December 31, 2023, we owned 56 trademark registrations and 44 trademark applications, of which 13 are U.S. trademark applications. Four of the U.S. trademark applications have been allowed.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Intellectual Property</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patents, we also rely on trade secrets, technical know-how and continuing innovation to develop and maintain our competitive position. We seek to protect our proprietary information and other intellectual property by generally requiring our employees, consultants, contractors, suppliers, outside scientific collaborators and other advisors to execute non-disclosure and assignment of invention agreements on commencement of their employment or engagement. Agreements with our employees also forbid them from using or incorporating the proprietary rights of third parties during their engagement with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generally require confidentiality or material transfer agreements from third parties that receive our confidential data or materials.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Licensed Intellectual Property</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have entered into exclusive and non-exclusive licenses in the ordinary course of business relating to our technologies or other intellectual property rights or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Life Sciences Research Use Only Technologies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protein sequencing products are currently intended for RUO applications, although the systems may provide data to customers and other third parties that are themselves engaged in the research and development of potential diagnostic and therapeutic products and services for which they may later pursue clearance, authorization or approval from regulatory authorities, such as the U.S. Food and Drug Administration (“FDA”). All our products are labeled “For Research Use Only,” and will be sold to academic and research life sciences institutions that conduct basic and translational research, and biopharmaceutical and biotechnology companies for non-diagnostic and non-clinical purposes.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a long-standing FDA regulation, products that are intended for RUO and are labeled as RUO are not regulated by the FDA as in vitro diagnostic (“IVD”) devices and are not subject to the regulatory requirements discussed below for clinical diagnostic products. RUO products may therefore be used or distributed for research use without first obtaining FDA clearance, authorization, or approval. Such products must bear the statement: “For Research Use Only. Not for Use in Diagnostic Procedures.” RUO products also cannot make any claims related to safety, effectiveness or diagnostic utility, and they cannot be intended for human clinical diagnostic use.</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Accordingly, a product labeled RUO but intended or promoted for clinical diagnostic use may be viewed by the FDA as adulterated and misbranded under the Federal Food, Drug, and Cosmetic Act (“FDCA”) and subject to FDA enforcement action. The FDA will consider the totality of the circumstances surrounding distribution and use of an RUO product, including how the product is marketed and to whom, when determining its intended use. If the FDA disagrees with a company’s RUO status for its product, the company may be subject to FDA enforcement activities, including, without limitation, requiring the company to seek clearance, authorization or approval for the product.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Diagnostics in the United States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United States, medical devices are subject to extensive regulation by the FDA under the FDCA and its implementing regulations, and other federal and state statutes and regulations. The laws and regulations govern, among other things, medical device design and development, non-clinical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Federal Trade Commission (“FTC”) also oversees the advertising and promotion of our current and future products pursuant to its broad authority to police deceptive advertising for goods or services within the United States. Under the Federal Trade Commission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In the context of performance claims for products, compliance with the FTC Act includes ensuring that there is scientific data to substantiate the claims being made, that the advertising is neither false nor misleading, and that any user testimonials or endorsements disseminated related to the goods or services comply with disclosure and other regulatory requirements. In addition, with respect to products that are marketed as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FDCA.</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a product is marketed for clinical or diagnostic uses, it will be regulated by the FDA as an IVD medical devices. The FDCA and FDA’s implementing regulations define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IVDs are a type of medical device and include reagents and instruments used in the diagnosis or detection of diseases, conditions or infections, including, without limitation, the presence of certain chemicals, genetic information or other biomarkers. Predictive, prognostic, and screening tests can also be IVDs. Medical devices, including IVD products, must undergo pre-market review by and receive clearance, authorization, or approval from the FDA prior to commercialization, unless the device is of a type exempted from such review by statute, regulation, or an FDA exercise of enforcement discretion. The FDA classifies medical devices into three classes based on risk. Regulatory control increases from Class I (lowest risk) to Class III (highest risk). The FDA generally must clear or approve the commercial sale of most new medical devices that fall within product categories designated as Class II and III. Commercial sales of most Class II and III medical devices within the United States must be preceded either by pre-market notification and FDA clearance pursuant to Section 510(k) of the FDCA (Class II) or by the granting of a pre-market approval (“PMA”) (Class III), after a pre-market application is submitted. Both 510(k) notifications and PMA applications must be submitted to FDA with significant user fees, although reduced fees for small businesses are available. Class I devices are generally exempt from pre-market review and notification, as are some moderate-risk Class II devices. Manufacturers of all classes of devices must comply with FDA’s Quality System Regulation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may be exempted by regulation from the requirement of compliance with substantially all of the QSR.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Moreover, as electronic and digital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cybersecurity threats. These types of medical devices may be vulnerable to cybersecurity incidents that could potentially impact the safety and effectiveness of the device, and we, as device manufacturers are responsible for identifying cybersecurity risks and hazards associated with our products. In recent years, the FDA has increased its scrutiny of this issue as part of the review and marketing authorization process for new medical devices; the agency also monitors reports of cybersecurity incidents as part of its post-marketing device surveillance activities. In addition, as part of the Consolidated Appropriations Act for 2023, signed into law on December 29, 2022 (P.L. 117-328), Congress created new pre-market requirements for developers of “cyber devices,” defined as medical devices that include software, connect to the Internet, and contain any technological features that could be vulnerable to cybersecurity threats.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510(k) Clearance Pathway</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510(k) pre-market notification must contain information sufficient to demonstrate that the new device is substantially equivalent to a device commercially distributed prior to May 28, 1976 or to a device that has been determined by the FDA to be substantially equivalent to such a so-called “pre-amendments” device. To obtain 510(k) clearance for a non-exempt Class II device, the product developer must submit a pre-market notification to the FDA demonstrating that its product is substantially equivalent to such a predicate device. The FDA’s 510(k) clearance process generally takes from three to twelve months from the date the application is submitted, but it may take significantly longer if FDA has significant questions or needs more information about the new device or its manufacturing or quality controls.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part of the 510(k) notification process for Class II devices that have an existing classification regulation available for purposes of the regulatory filing,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may require the following:</w:t>
      </w:r>
    </w:p>
    <w:p>
      <w:pPr>
        <w:spacing w:after="0" w:line="202" w:lineRule="exact"/>
        <w:rPr>
          <w:sz w:val="20"/>
          <w:szCs w:val="20"/>
          <w:color w:val="auto"/>
        </w:rPr>
      </w:pPr>
    </w:p>
    <w:p>
      <w:pPr>
        <w:ind w:left="620" w:hanging="304"/>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comprehensive product description and indications for use.</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nonclinical tests and/or animal studies, performed in accordance with the FDA’s Good Laboratory Practice (“GLP”) regulations, as well as any performance standards or other testing requirements established by the FDA through regulations or device-specific guidance.</w:t>
      </w:r>
    </w:p>
    <w:p>
      <w:pPr>
        <w:ind w:left="620" w:hanging="304"/>
        <w:spacing w:after="0" w:line="270"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review of one or more predicate devices and development of data supporting the new product’s substantial equivalence to such predicate devices.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Assuming successful completion of all required testing, a detailed 510(k) notification is submitted to the FDA requesting clearance to market the product. This pre-market notification includes all relevant data from pertinent nonclinical studies and clinical trials (if applicable), together with detailed information relating to the product’s manufacturing controls and proposed labeling, and other relevant documentation. The FDA evaluates all 510(k) submissions prior to filing for substantive review based on specific acceptance criteria and may issue a refuse-to-accept notification if the submission is deficient with respect to any of the established criteria. If the FDA determines that the applicant’s device is substantially equivalent to the identified predicate device(s), the agency will issue a 510(k) clearance letter that authorizes commercial marketing of the device for one or more specific indications for use. If the FDA determines that the applicant’s device is not substantially equivalent to the predicate device(s), the agency will issue a not-substantially-equivalent letter stating that the new device may not be commercially distributed.</w:t>
      </w:r>
    </w:p>
    <w:p>
      <w:pPr>
        <w:spacing w:after="0" w:line="3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The FDA requires each manufacturer to make the determination of whether a device modification requires a new 510(k) notification or PMA in the first instance, but the FDA may review any such decision. If the FDA disagrees with a manufacturer’s decision not to seek a new 510(k) clearance or PMA for a particular change, the FDA may retroactively require the manufacturer to submit a 510(k) pre-market notification or a PMA. The FDA may also require the manufacturer to cease U.S. marketing and/or recall the modified device until 510(k) clearance or PMA approval for the modification is obtained.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 Novo Classification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a previously unclassified new medical device does not qualify for the 510(k) pre-market notification process because no predicate device to which it is substantially equivalent can be identified, the device is automatically classified into Class III. However, if such a device would be considered low or moderate risk (in other words, it does not rise to the level of requiring the approval of a PMA),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PMA requirements. If the manufacturer seeks reclassification into Class II, the classification request must include a draft proposal for special controls that are necessary to provide a reasonable assurance of the safety and effectiveness of the medical device.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Under the FDCA, the FDA is required to classify a device within 120 days following receipt of the De Novo classification request from an applicant; however, the most recent FDA performance review goals state that the FDA will attempt to issue a decision within 150 days of receipt on 70% of all De Novo classification requests received during the year. De Novo classification requests are subject to user fees, unless a specific exemption applies (over $145,000 in fiscal year 2024).</w:t>
      </w:r>
    </w:p>
    <w:p>
      <w:pPr>
        <w:spacing w:after="0" w:line="3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with the 510(k) pre-market notification process described above, any modification to a device authorized through the De Novo process that could significantly affect the safety or effectiveness of such device, or that would constitute a major change in its intended use, requires a new 510(k) clearance or could require the submission of a PMA.</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an alternative to the De Novo classification process, a company could also file a reclassification petition seeking to change the automatic Class III designation of a novel post-amendment device under Section 513(f)(3) of the FDCA. The FDA can also initiate reclassification of an existing device type on its own initiative. To reclassify a device under Section 513(e) of the FDCA, the FDA must first publish a proposed reclassification order that includes a summary of the valid scientific evidence that supports the reclassification; convene a device classification panel meeting; and consider comments to the public docket before it then publishes a final reclassification order in the Federal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Pre-market Approval Pathway</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Products classified by the FDA as Class III generally require marketing approval via a PMA. A PMA application must be supported by valid scientific evidence, which typically requires extensive data, including technical, nonclinical, clinical, manufacturing and labeling data, to demonstrate to the FDA’s satisfaction the safety and efficacy of the device for its intended use(s).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it is considered “filed” and the FDA begins an in-depth review of the submitted information. During this substantive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the QSR, which requires manufacturers to implement and follow design, testing, control, documentation and other quality assurance procedures.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FDA review of a PMA application is required to be completed within 180 days of the application’s filing date although the process generally takes between one and three years, but may take significantly longer. The current user fee agreement between the FDA and the medical device industry sets as a target for PMA reviews to be completed in under one year. The FDA can delay, limit or deny approval of a PMA application for many reasons, including:</w:t>
      </w:r>
    </w:p>
    <w:p>
      <w:pPr>
        <w:spacing w:after="0" w:line="162" w:lineRule="exact"/>
        <w:rPr>
          <w:sz w:val="20"/>
          <w:szCs w:val="20"/>
          <w:color w:val="auto"/>
        </w:rPr>
      </w:pPr>
    </w:p>
    <w:p>
      <w:pPr>
        <w:ind w:left="620" w:hanging="30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may not be safe or effective for its intended use(s) to the FDA’s satisfaction;</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from the applicant’s nonclinical studies and clinical trials may be insufficient to support approval;</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process or facilities that the applicant uses may not meet applicable requirements;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FDA approval policies or adoption of new regulations may require additional data to demonstrate the safety or effectiveness of the device.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an FDA evaluation of a PMA application or manufacturing facilities is favorable, the FDA will either issue an approval letter, or approvable letter, which usually contains a number of conditions which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FDA may also determine that additional trials are necessary, in which case the PMA approval may be delayed for several months or years while the trials are conducted and data is submitted in an amendment to the PMA. The PMA process can be expensive, uncertain and lengthy. PMA approval may also be granted with post-approval requirements such as the need for additional patient follow-up for an indefinite period of time.</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New PMA applications or PMA supplements may be required for modifications to the manufacturing process, labeling, device specifications, materials or design of a device that is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clinical data or the convening of an advisory panel.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Investigations Using Devices in Development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Clinical trials are almost always required to support a PMA application and are sometimes required for a De Novo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Institutional Review Board (“IRB”) approval of the proposed investigation. In addition, if the clinical study involves a “significant risk” (as defined by the FDA) to human health, the company sponsoring the investigation (referred to as the “sponsor”) must also submit and obtain FDA approval of an Investigational Device Exemption (“IDE”) application. An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study participants,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 duly-constituted IRB for each clinical trial site. Most clinical studies of IVDs are exempt from the IDE requirements, if certain requirements are met.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FDA’s IDE regulations govern investigational device labeling, prohibit promotion, and specify an array of Good Clinical Practice, or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Consolidated Appropriations Act for 2023 also recently amended the FDCA to require sponsors of most clinical studies of investigational medical devices intended to support marketing authorization to develop and submit a diversity action plan for such clinical trial. The action plan must include the sponsor’s diversity goals for enrollment, as well as a rationale for the goals and a description of how the sponsor will meet them. Depending on the type of medical device investigation, such diversity action plans would be submitted with the sponsor’s IDE application or with the device’s pre-market submission (in the case of human studies that may be IDE exempt). It is unknown at this time how the diversity action plan may affect the planning and timing of medical device investigations or what specific information FDA will expect in such plans, but if FDA objects to a sponsor’s diversity action plan, it may delay trial initiation or review of the pre-market submission.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commencement or completion of any clinical trials may be delayed or halted, or be inadequate to support approval of a PMA application (or FDA’s grant of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 Novo classification request or clearance of a 510(k) notification, as applicable), for numerous reasons, including, but not limited to, the following:</w:t>
      </w:r>
    </w:p>
    <w:p>
      <w:pPr>
        <w:spacing w:after="0" w:line="202" w:lineRule="exact"/>
        <w:rPr>
          <w:sz w:val="20"/>
          <w:szCs w:val="20"/>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the IRB(s), or other regulatory authorities do not approve a clinical trial protocol or a clinical trial, or place a clinical trial on hold;</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or failure to reach, agreement with the FDA on a pivotal study’s mandatory diversity action plan;</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do not enroll in clinical trials at the expected rate;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do not comply with trial protocols;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follow-up is not at the expected rate;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experience adverse side effects;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die during a clinical trial, even though their death may not be related to the investigational products;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clinical investigators decline to participate in a trial or do not perform a trial on the sponsor’s anticipated schedule or consistent with the clinical trial protocol, GCPs or other FDA requirements;</w:t>
      </w:r>
    </w:p>
    <w:p>
      <w:pPr>
        <w:ind w:left="620" w:hanging="304"/>
        <w:spacing w:after="0" w:line="255"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or third-party organizations do not perform data collection, monitoring and analysis in a timely or accurate manner or consistent with the clinical trial protocol or investigational or statistical plans;</w:t>
      </w:r>
    </w:p>
    <w:p>
      <w:pPr>
        <w:ind w:left="620" w:hanging="304"/>
        <w:spacing w:after="0" w:line="255"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clinical investigators have significant financial interests related to the sponsor or the study that the FDA deems to make the study results unreliable, or the sponsor or investigators fail to disclose such interests;</w:t>
      </w:r>
    </w:p>
    <w:p>
      <w:pPr>
        <w:ind w:left="620" w:hanging="304"/>
        <w:spacing w:after="0" w:line="255"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regulatory inspections of the sponsor’s clinical trial sites or manufacturing facilities, which may, among other things, require the sponsor to undertake corrective action or suspend or terminate the sponsor’s clinical trials;</w:t>
      </w: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or administrative actions applicable to the sponsor’s trial protocols;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interim or final results of the clinical trial are inconclusive or unfavorable as to safety or effectiveness;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concludes that the results from the sponsor’s trial and/or trial design are inadequate to demonstrate safety and effectiveness of the product.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Ongoing Post-Market Regulatory Requirements and FDA Enforcement</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After a medical device is authorized for marketing and placed in commercial distribution (or, for 510(k)-exempt products, placed into commerce without first obtaining FDA clearance or approval), numerous regulatory requirements apply. These general controls that must be met for all device classes include:</w:t>
      </w:r>
    </w:p>
    <w:p>
      <w:pPr>
        <w:spacing w:after="0" w:line="146" w:lineRule="exact"/>
        <w:rPr>
          <w:sz w:val="20"/>
          <w:szCs w:val="20"/>
          <w:color w:val="auto"/>
        </w:rPr>
      </w:pPr>
    </w:p>
    <w:p>
      <w:pPr>
        <w:ind w:left="620" w:hanging="30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registration and device listing;</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QSR, which requires manufacturers, including third-party manufacturers, to follow design, testing, control, storage, supplier/contractor selection, complaint handling, documentation and other quality assurance procedures;</w:t>
      </w:r>
    </w:p>
    <w:p>
      <w:pPr>
        <w:ind w:left="620" w:hanging="304"/>
        <w:spacing w:after="0" w:line="2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regulations, which govern the mandatory elements of the device labels and packaging (including Unique Device Identifier markings for certain categories of products);</w:t>
      </w:r>
    </w:p>
    <w:p>
      <w:pPr>
        <w:ind w:left="620" w:hanging="304"/>
        <w:spacing w:after="0" w:line="2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prohibitions against the promotion of products for uncleared, unapproved or “off-label” uses and other requirements related to promotional activities;</w:t>
      </w:r>
    </w:p>
    <w:p>
      <w:pPr>
        <w:ind w:left="620" w:hanging="304"/>
        <w:spacing w:after="0" w:line="2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MDR regulations, which require that manufacturers report to the FDA if a device may have caused or contributed to a death or serious injury or malfunctioned in a way that would likely cause or contribute to a death or serious injury if it were to recur;</w:t>
      </w:r>
    </w:p>
    <w:p>
      <w:pPr>
        <w:ind w:left="620" w:hanging="30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and mandatory device recalls addressing problems when a device is defective and/or could be a risk to health;</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correction and removal reporting regulations, which require that manufacturers report to the FDA field corrections and product recalls or removals if undertaken to reduce a risk to health posed by the device or to remedy a violation of the FDCA that may present a risk to health; and</w:t>
      </w:r>
    </w:p>
    <w:p>
      <w:pPr>
        <w:ind w:left="620" w:hanging="304"/>
        <w:spacing w:after="0" w:line="27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regulations, which apply to certain Class II or III devices when necessary to protect the public health or to provide additional safety and effectiveness data for the device.</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 ensure compliance with regulatory requirements, medical device manufacturers are subject to market surveillance and periodic, pre-scheduled and unannounced inspections by the FDA and certain state authorities. Failure to comply with applicable regulatory requirements can result in enforcement action by the FDA, which may lead to any of the following sanctions:</w:t>
      </w:r>
    </w:p>
    <w:p>
      <w:pPr>
        <w:spacing w:after="0" w:line="162" w:lineRule="exact"/>
        <w:rPr>
          <w:sz w:val="20"/>
          <w:szCs w:val="20"/>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or Untitled Letters that require corrective action;</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and civil penalties;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expenditures;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approving/clearing or refusal to approve/clear any of our future products;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refusal to issue certificates to foreign governments needed to export our products for sale in other countries;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FDA approval or clearance (as may be applicable);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 or seizure;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partial suspension or total shutdown of production;</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consent decrees;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or criminal prosecution.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company, any contract manufacturers, and some suppliers of components or device accessories would also be required to manufacture medical device products in compliance with current Good Manufacturing Practice requirements set forth in the QSR, unless explicitly exempted by regulation, should we develop and seek regulatory authorization for one or more diagnostic intended uses for our products. The QSR requires a quality system for the design, manufacture, packaging, labeling, storage, installation and servicing of marketed devices, and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recently issued a final rule that amends its implementing regulations in order to harmonize the QSR with ISO 13485:2016; the rule changes will become effective on February 2, 2026. Although the harmonization process is not expected to have a significant impact on the quality system compliance operations of device manufacturers because most requirements described in the QSR correspond to requirements set forth in ISO 13485:2016, device manufacturers will likely need to revise certain quality system procedures to ensure compliance with the harmonized regulations. Any failure to make such revisions or adapt to the harmonized regulations, once they become effective, may result in observations of non-compliance during facility inspections by the FDA or comparable regulatory authorities.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FDA evaluates compliance with the QSR, as well as other applicable device regulatory requirements, through periodic pre-scheduled or unannounced inspections that may include registered manufacturing facilities. Following such inspections, FDA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which are notices of intended enforcement actions against the manufacturer. For less serious violations that may not rise to the level of regulatory significance, FDA may issue Untitled Letters. The FDA may take more significant administrative or legal action if a manufacturer continues to be in substantial noncompliance with applicable regulations.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example, if the FDA believes a medical device developer or any of its contract manufacturers or regulated suppliers are not in compliance with these requirements and patients are being subjected to serious risks, the agency can shut down manufacturing operations, require recalls of medical device products, refuse to approve new marketing applications for future products, initiate legal proceedings to detain or seize products, enjoin future violations, or assess civil and criminal penalties against a manufacturer or its officers or other employees.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Fraud and Abuse Laws and Other Compliance Requirements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Successfully commercializing a medical device or technology depends not on only FDA authorization, but also on broad health insurance or third party payor coverage. Government and private payors institute coverage criteria to ensure the appropriate utilization of products and services and to control costs. Limited third party payor coverage for a technology or procedure may limit adoption and commercial viability, while broader coverage supports optimal market uptake. Favorable coverage decisions by government payors like Medicare or Medicaid is critical because private payors typically follow the government’s lead regarding reimbursement. However, manufacturers whose technology is reimbursed by government payors are subject to various U.S. federal and state laws pertaining to healthcare fraud and abuse. These laws can be implicated by inappropriate sales and marketing arrangements with healthcare providers. Many commonly accepted commercial practices are illegal in the healthcare industry and violations of these laws are punishable by criminal and civil sanctions, including, in some instances, exclusion from participation in U.S. federal and state healthcare programs, including Medicare and Medicaid.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Anti-kickback Laws. </w:t>
      </w:r>
      <w:r>
        <w:rPr>
          <w:rFonts w:ascii="Times New Roman" w:cs="Times New Roman" w:eastAsia="Times New Roman" w:hAnsi="Times New Roman"/>
          <w:sz w:val="17"/>
          <w:szCs w:val="17"/>
          <w:color w:val="auto"/>
        </w:rPr>
        <w:t>The federal Anti-Kickback Statute (“AKS”) prohibits persons from knowingly and willfully soliciting, receiving, offering or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remuneration directly or indirectly to induce either the referral of an individual, or the furnishing, recommending, or arranging of a good or service, for which payment may be made under a federal healthcare program such as Medicare and Medicaid. A person or entity does not need to have actual knowledge of the AKS or specific intent to violate it to have committed a violation. Certain arrangements are protected from enforcement through AKS safe harbors and exceptions, but an arrangement must meet every element of the applicable safe harbor or exception in order to obtain this protection. The fact that an arrangement does not meet the requirements of a safe harbor or exception does not mean that it violates the AKS; such arrangements would be subject to a facts and circumstances analysis to determine compliance with the AKS or lack thereof. The definition of “remuneration” has been broadly interpreted to include anything of value, including such items as gifts, discounts, the furnishing of supplies or equipment, credit arrangements, waiver of payments, and providing anything at less than its fair market value. The AKS is broadly interpreted and aggressively enforced with the result that beneficial commercial arrangements can be criminalized in the health care industry because of the AKS. The penalties for violating the federal AKS can be severe, include fines and imprisonment for up to ten years, as well as possible exclusion from federal healthcare programs such as Medicare and Medicaid. Additionally, a claim including items or services resulting from a violation of the AKS constitutes a false or fraudulent claim for purposes of the False Claims Act.</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Federal False Claims Act. </w:t>
      </w:r>
      <w:r>
        <w:rPr>
          <w:rFonts w:ascii="Times New Roman" w:cs="Times New Roman" w:eastAsia="Times New Roman" w:hAnsi="Times New Roman"/>
          <w:sz w:val="17"/>
          <w:szCs w:val="17"/>
          <w:color w:val="auto"/>
        </w:rPr>
        <w:t>The federal False Claims Act (“FCA”) prohibits knowingly presenting or causing to be presented a false claim or the knowing use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false statements or records to obtain payment from the federal government. The FCA also prohibits the knowing retention of overpayments (sometimes referred to as “reverse false claims”). When an entity is determined to have violated the FCA, it must pay three times the actual damages sustained by the government, plus mandatory and substantial civil penalties for each separate false claim. The entity also faces the possibility of exclusion from federal health care programs. Suits filed under the False Claims Act, known as “qui tam” actions, can be brought by any individual on behalf of the government and such individuals (known as “relators” or, more commonly, as “whistleblowers”) may share in any amounts paid by the entity to the government in fines or settlement.</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Civil Monetary Penalties Law</w:t>
      </w:r>
      <w:r>
        <w:rPr>
          <w:rFonts w:ascii="Times New Roman" w:cs="Times New Roman" w:eastAsia="Times New Roman" w:hAnsi="Times New Roman"/>
          <w:sz w:val="17"/>
          <w:szCs w:val="17"/>
          <w:color w:val="auto"/>
        </w:rPr>
        <w:t>. The Civil Monetary Penalties Law (“CMPL”) authorizes the imposition of substantial civil money penalties and the possibility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exclusion against an entity that engages in certain prohibited activities including but not limited to violations of the Stark Law or Anti-Kickback Statute, knowing submission of a false or fraudulent claim, employment of an excluded individual, and the provision or offer of anything of value to a Medicare or Medicaid beneficiary that the transferring party knows or should know is likely to influence beneficiary selection of a particular provider for which payment may be made in whole or part by a federal health care program, commonly known as the Beneficiary Inducement CMP.</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State Analogs of Federal Fraud and Abuse Laws</w:t>
      </w:r>
      <w:r>
        <w:rPr>
          <w:rFonts w:ascii="Times New Roman" w:cs="Times New Roman" w:eastAsia="Times New Roman" w:hAnsi="Times New Roman"/>
          <w:sz w:val="17"/>
          <w:szCs w:val="17"/>
          <w:color w:val="auto"/>
        </w:rPr>
        <w:t>. Many U.S. states have their own laws intended to protect against fraud and abuse in the health care industry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broadly. In some cases, these laws prohibit or regulate additional conduct beyond what federal law affects. Penalties for violating these laws can range from fines to criminal sanctions.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HIPAA. </w:t>
      </w:r>
      <w:r>
        <w:rPr>
          <w:rFonts w:ascii="Times New Roman" w:cs="Times New Roman" w:eastAsia="Times New Roman" w:hAnsi="Times New Roman"/>
          <w:sz w:val="17"/>
          <w:szCs w:val="17"/>
          <w:color w:val="auto"/>
        </w:rPr>
        <w:t>The Health Insurance Portability and Accountability Act of 1996, as amended by the American Recovery and Reinvestment Act of 2009,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implementing regulations (“HIPAA”),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FCPA and Other Anti-Bribery and Anti-Corruption Laws. </w:t>
      </w:r>
      <w:r>
        <w:rPr>
          <w:rFonts w:ascii="Times New Roman" w:cs="Times New Roman" w:eastAsia="Times New Roman" w:hAnsi="Times New Roman"/>
          <w:sz w:val="17"/>
          <w:szCs w:val="17"/>
          <w:color w:val="auto"/>
        </w:rPr>
        <w:t>The U.S. Foreign Corrupt Practices Act (“FCPA”) prohibits U.S. corporations and their representatives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or organizations in many countries. Our present and future business has been and will continue to be subject to various other U.S. and foreign laws, rules and/or regulations.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Physician Payment Sunshine Act. </w:t>
      </w:r>
      <w:r>
        <w:rPr>
          <w:rFonts w:ascii="Times New Roman" w:cs="Times New Roman" w:eastAsia="Times New Roman" w:hAnsi="Times New Roman"/>
          <w:sz w:val="17"/>
          <w:szCs w:val="17"/>
          <w:color w:val="auto"/>
        </w:rPr>
        <w:t>Manufacturers of U.S. FDA-regulated devices reimbursable by federal healthcare programs are subject to the Physician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Sunshine Act, which requires manufacturers to track and annually report certain payments and other transfers of value made to U.S.-licensed physicians, certain advanced non-physician healthcare practitioners, or U.S. teaching hospitals. Manufacturers are also required to report certain ownership interests held by physicians and their immediate family members. The law carries penalties of up to $1.15 million per year for violations, depending on the circumstances, and payments reported also have the potential to draw scrutiny on payments to and relationships with physicians, which may have implications under the Anti-Kickback Statute, Stark Law and other healthcare laws.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there has been a recent trend of increased federal and state regulation of payments and other transfers of value provided to healthcare professionals and entities. Similar to the federal law, certain states also have adopted marketing and/or transparency laws relevant to device manufacturers, some of which are broader in scope. Certain states also mandate that device manufacturers implement compliance programs. Other states impose restrictions on device manufacturer marketing practices and require tracking and reporting of gifts, compensation, and other remuneration to healthcare professionals and entities. The need to build and maintain a robust compliance program and the differing compliance and/or reporting requirements increases the possibility that a healthcare company may violate one or more of the requirements, resulting in fines and penalties.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and European Data Security and Data Privacy Laws</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HIPAA, as well as a number of other federal and state privacy-related laws, extensively regulate the use and disclosure of individually identifiable health information, known as “protected health information” or “PHI” when regulated under HIPAA.</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HIPAA applies to health plans, healthcare providers who engage in certain standard healthcare transactions electronically, such as electronic billing, and healthcare clearinghouses, all of which are referred to as “covered entities” under HIPAA. State imposed health information privacy and security laws typically apply based on licensure, for example, licensed providers or licensed entities are limited in their ability to use and share health information.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Additionally, all U.S. states have enacted legislation protecting the privacy and security of “personal information” such as identifiable financial or health information, social security numbers, credit card information and other personally identifiable information. These laws overlap and apply simultaneously with federal privacy and security requirements and regulated entities must comply with all of them. The California Consumer Privacy Act (“CCPA”) went into effect January 1, 2020, and is one of the most restrictive state privacy laws, protecting a wide variety of personal information and granting significant rights to California residents with respect to their personal information. Regulations under CCPA have been modified several times and continue to be modified. Additionally, a new privacy law, the California Privacy Rights Act, (“CPRA”) was approved by California voters in the election of November 3, 2020 and went into effect in January of 2023. The CPRA modified the CCPA significantly, and may result in further uncertainty, additional costs and expenses stemming from efforts to comply with this law, and increases the potential for harm and liability for failure to comply. Among other things, the CPRA established a new regulatory authority, the California Privacy Protection Agency, which is enacting new regulations and has expanded enforcement authority. Other states in the U.S. have implemented or are considering privacy laws similar to CCPA. Colorado, Connecticut, Delaware, Florida, Indiana, Iowa, Montana, New Jersey, Oregon, Tennessee, Texas, Utah, and Virginia have enacted similar data protection laws to California and other U.S. states have proposals under consideration, increasing the regulatory compliance risk. In dealing with health information for the development of our technology or for commercial purposes, we will be indirectly affected by HIPAA and state-imposed health information privacy and cybersecurity laws because these laws regulate the ability of our potential customers and research collaborators to share health information with us. Additionally, we must identify and comply with all applicable state laws for the protection of personal information with respect to personal information that we collect.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European Union, increasingly stringent data protection and privacy rules that have and will continue to have substantial impact on the use of personal and patient data across the healthcare industry became stronger in May 2018. The GDPR applies across the European Union and includes, among other things, a requirement for prompt notice of data breaches to data subjects and supervisory authorities in certain circumstances and significant fines for non-compliance. The GDPR fine framework can be up to 20 million euros, or up to 4% of the company’s total global turnover of the preceding fiscal year, whichever is higher. The GDPR sets out a number of requirements that must be complied with when handling the personal data of such European Union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the new mandatory data breach regime. In particular, medical or health data, genetic data and biometric data where the latter is used to uniquely identify an individual are all classified as “special category” data under the GDPR and are afforded greater protection and require additional compliance obligations. Noncompliance could result in the imposition of fines, penalties, or orders to stop noncompliant activities. We are be subject to GDPR as we undertake and expand operations in the EU, offer products or services to individuals in the EU, or monitor the behavior of individuals within the EU.</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We could also be subject to evolving European Union laws on data export, for transfers of data outside the EU to us, group companies or third parties. The GDPR only permits exports of data outside the EU to jurisdictions that ensure an adequate level of data protection. The United States has not been deemed to offer an adequate level of protection, so in order for us to transfer personal data from the EU to the United States, we must identify a legal basis for data transfer (e.g., the European Union Commission approved Standard Contractual Clauses or certification under the recently-adopted EU-U.S. Data Privacy Framework). On July 16, 2020, the Court of Justice of the European Union or the CJEU, issued a landmark opinion in the case </w:t>
      </w:r>
      <w:r>
        <w:rPr>
          <w:rFonts w:ascii="Times New Roman" w:cs="Times New Roman" w:eastAsia="Times New Roman" w:hAnsi="Times New Roman"/>
          <w:sz w:val="17"/>
          <w:szCs w:val="17"/>
          <w:i w:val="1"/>
          <w:iCs w:val="1"/>
          <w:color w:val="auto"/>
        </w:rPr>
        <w:t>Maximilian Schrems vs. Facebook</w:t>
      </w:r>
      <w:r>
        <w:rPr>
          <w:rFonts w:ascii="Times New Roman" w:cs="Times New Roman" w:eastAsia="Times New Roman" w:hAnsi="Times New Roman"/>
          <w:sz w:val="17"/>
          <w:szCs w:val="17"/>
          <w:color w:val="auto"/>
        </w:rPr>
        <w:t xml:space="preserve"> (Case C-311/18), called </w:t>
      </w:r>
      <w:r>
        <w:rPr>
          <w:rFonts w:ascii="Times New Roman" w:cs="Times New Roman" w:eastAsia="Times New Roman" w:hAnsi="Times New Roman"/>
          <w:sz w:val="17"/>
          <w:szCs w:val="17"/>
          <w:i w:val="1"/>
          <w:iCs w:val="1"/>
          <w:color w:val="auto"/>
        </w:rPr>
        <w:t xml:space="preserve">Schrems II. </w:t>
      </w:r>
      <w:r>
        <w:rPr>
          <w:rFonts w:ascii="Times New Roman" w:cs="Times New Roman" w:eastAsia="Times New Roman" w:hAnsi="Times New Roman"/>
          <w:sz w:val="17"/>
          <w:szCs w:val="17"/>
          <w:color w:val="auto"/>
        </w:rPr>
        <w:t>This decision (a) calls into question commonly relied upon data transfer mechanisms as between the EU member states and the U.S. (such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Standard Contractual Clauses) and (b) invalidates the EU-U.S. Privacy Shield on which many companies had relied as an acceptable mechanism for transferring such data from the EU to the U.S. The CJEU is the highest court in Europe and the </w:t>
      </w:r>
      <w:r>
        <w:rPr>
          <w:rFonts w:ascii="Times New Roman" w:cs="Times New Roman" w:eastAsia="Times New Roman" w:hAnsi="Times New Roman"/>
          <w:sz w:val="17"/>
          <w:szCs w:val="17"/>
          <w:i w:val="1"/>
          <w:iCs w:val="1"/>
          <w:color w:val="auto"/>
        </w:rPr>
        <w:t>Schrems II</w:t>
      </w:r>
      <w:r>
        <w:rPr>
          <w:rFonts w:ascii="Times New Roman" w:cs="Times New Roman" w:eastAsia="Times New Roman" w:hAnsi="Times New Roman"/>
          <w:sz w:val="17"/>
          <w:szCs w:val="17"/>
          <w:color w:val="auto"/>
        </w:rPr>
        <w:t xml:space="preserve"> decision heightens the burden on data importers to assess U.S. national security laws on their business and future actions of EU data protection authorities are difficult to predict. Consequently, there is some risk of data transfers from the EU being halted. While the recently-adopted EU-U.S. Data Privacy Framework is intended to address the issues and concerns raised by the CJEU in </w:t>
      </w:r>
      <w:r>
        <w:rPr>
          <w:rFonts w:ascii="Times New Roman" w:cs="Times New Roman" w:eastAsia="Times New Roman" w:hAnsi="Times New Roman"/>
          <w:sz w:val="17"/>
          <w:szCs w:val="17"/>
          <w:i w:val="1"/>
          <w:iCs w:val="1"/>
          <w:color w:val="auto"/>
        </w:rPr>
        <w:t>Schrems II</w:t>
      </w:r>
      <w:r>
        <w:rPr>
          <w:rFonts w:ascii="Times New Roman" w:cs="Times New Roman" w:eastAsia="Times New Roman" w:hAnsi="Times New Roman"/>
          <w:sz w:val="17"/>
          <w:szCs w:val="17"/>
          <w:color w:val="auto"/>
        </w:rPr>
        <w:t xml:space="preserve"> and provide an approved method for cross-border data transfer from the EU to the U.S., it will likely be subject to future legal challenges and we have not yet certified to participate in the EU-U.S. Data Privacy Framework. If we have to rely on third parties to carry out services for us, including the processing of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European Economic Area to the United Kingdom will remain lawful under GDPR.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Governmental Regulation</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employers in the United States.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Laws and Regulations for IVD Products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Whether or not we obtain FDA marketing authorization for a clinical diagnostic product in the future, we must still obtain the requisite approvals from regulatory authorities in non-U.S. countries prior to the marketing of any product for clinical diagnostic use in those countries. The regulations in other jurisdictions vary from those in the United States and may be easier or more difficult to satisfy and are subject to change. For example, the European Union (“EU”) recently published new regulations that will result in greater regulation of medical devices and IVDs. This new IVD regulation (the “new IVD Regulation”) is significantly different from the European directive for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products (the “IVD Directive”) that it replaces in that it will ensure that the new requirements apply uniformly and on the same schedule across the member states, include a risk-based classification system and increase the requirements for conformity assessment. The new IVD Regulation became effective in May 2022 and, among other things, it introduces a new risk classification system and requirements for conformity assessments. The major goals of the new IVD Regulation include standardizing diagnostic procedures within the EU, increasing reliability of diagnostic analysis, and enhancing patient safety. In January 2024, the European Commission proposed more time for companies to apply the new IVD Regulation, under certain conditions. The additional time granted to companies depends on the type of device; for example the new rules would apply from May 26, 2025 for high risk IVDs and from May 26, 2027 for lower risk IVDs. The Commission’s proposal also requires manufacturers to give prior notice if they foresee the interruption of supply of IVDs or medical devices, so that member states have more time to take action to ensure patient care.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Outside of the European Union, regulatory authorization needs to be sought on a country-by-country basis in order for us to market any clinical diagnostic products. Some countries have adopted medical device regulatory regimes, such as the Classification Rules for Medical Devices published by the Hong Kong Department of Health, the Health Sciences Authority of Singapore regulation of medical devices under the Health Products Act, and Health Canada’s risk classification system for invasive devices, among others, that incorporate IVD products like the FDA’s current system. Each country may have its own processes and requirements for IVD licensing, approval/clearance, and regulation, therefore requiring us to seek any regulatory approvals on a country- by-country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HighCape was incorporated in Delaware in June 2020. It was formed for the purpose of entering into a merger, capital stock exchange, asset acquisition, stock purchase, reorganization or similar business combination with one or more businesses. Legacy Quantum-Si was incorporated under the laws of the State of Delaware on June 24, 2013. On June 10, 2021, HighCape and Legacy Quantum-Si completed the Business Combination, pursuant to which Legacy Quantum-Si became a wholly owned subsidiary of HighCape, HighCape’s corporate name was changed to Quantum-Si Incorporated and the business of Legacy Quantum-Si became the business of the Company. Our principal executive offices are located at 29 Business Park Drive, Branford, Connecticut 06405, and our telephone number is (866) 688-7374.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In April 2023, we informed the contract manufacturer that had manufactured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Carbon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instruments that we intended to wind down the relationship and transition to a different contract manufacturer. In October 2023, we were informed the contract manufacturer had filed a complaint in the state of Texas alleging breach of contract and made claims for economic damage under the contract as well as attorney costs. In January 2024 the suit was withdrawn and refiled in the state of Minnesota alleging similar claims. Although it is not possible to determine the potential financial exposure associated with the alleged claim at this time given its early stage, we believe we have a meritorious defense and intend to vigorously defend against all claims asserted in the complaint.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Available on the Internet</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internet address is https://www.quantum-si.com,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 Form 10-K only as an inactive textual reference. The information contained in our website does not constitute a part of this report or our other filings with the SEC.</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Careful consideration should be given to the following risk factors, in addition to the other information set forth in this Annual Report, including the section of this Annual Report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Annual Report on Form 10-K.</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Unless the context otherwise requires, references in this section to “we”, “us”, “our,”, the “Company” and “Quantum-Si” refer to Quantum-Si Incorporated and its subsidiaries following the Business Combination, or to Legacy Quantum-Si or HighCape prior to the Business Combination, as the case may be.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4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are an early-stage life sciences technology company and have incurred significant losses since Quantum-Si was formed in 2013, and expect to continue to incur losses in the future. We incurred net losses of $96.0 million, $132.4 million and $95.0 million in the years ended December 31, 2023, 2022 and 2021, respectively. As of December 31, 2023, we had an accumulated deficit of $495.6 million. These losses and accumulated deficit were primarily due to the substantial investments made to develop and improve our technology. Over the next several years, we expect to continue to devote substantially all of our resources towards development and commercialization of our products and research and development efforts for additional products. These efforts may prove more costly than we currently anticipate. In December 2022, we initiated a controlled launch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for RUO, and to date we have generated limited product revenue and may never generate revenue sufficient to offset our expenses or produce enough cash to sustain operations. Accordingly, we cannot assure you that we will achieve profitability or positive cash flow production in the future or that, if we do become profitable and cash flow positive, we will sustain these levels.</w:t>
      </w:r>
    </w:p>
    <w:p>
      <w:pPr>
        <w:spacing w:after="0" w:line="38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We recently commercialized our first product and have generated limited revenue to date. Even with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 launch, our operations to date have been primarily limited to developing our technology and products. Our prospects must be considered in light of the uncertainties, risks, expenses, and difficulties frequently encountered by companies in their early stages of operations. We have not yet produced our products at scale, established sales models, or conducted sales and marketing activities necessary for widespread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as a business with a limited operating history, we may encounter unforeseen expenses, difficulties, complications, delays and other known and unknown obstacles. We are transitioning from a company that previously had a sole focus on research and development to a company capable of supporting commercial activities and we may not be successful in such a transition. We have encountered in the past, and we expect to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results of operations and cash flows could be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or other third parties may provide.</w:t>
      </w:r>
    </w:p>
    <w:p>
      <w:pPr>
        <w:spacing w:after="0" w:line="1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6" w:lineRule="exact"/>
        <w:rPr>
          <w:sz w:val="20"/>
          <w:szCs w:val="20"/>
          <w:color w:val="auto"/>
        </w:rPr>
      </w:pPr>
    </w:p>
    <w:p>
      <w:pPr>
        <w:ind w:left="620" w:hanging="304"/>
        <w:spacing w:after="0" w:line="266"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expenditures that we may incur to develop, commercialize or acquire additional products and technologies or for other purposes, such as the expansion of our facilities;</w:t>
      </w:r>
    </w:p>
    <w:p>
      <w:pPr>
        <w:ind w:left="620" w:hanging="30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funding of life sciences research and development or changes that impact budgets or budget cycles;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spending patterns of our customers;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when we recognize any revenues;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future litigation or governmental investigations involving us, our industry or both;</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service, replacement and warranty costs;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past or future epidemics or pandemics on the economy, investment in life sciences and research industries, our business operations, and resources and operations of our suppliers, distributors and potential customers; and</w:t>
      </w:r>
    </w:p>
    <w:p>
      <w:pPr>
        <w:ind w:left="620" w:hanging="304"/>
        <w:spacing w:after="0" w:line="270"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industry, economic and market conditions and other factors, including factors unrelated to our operating performance or the operating performance of our competitors.</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us failing to meet the expectations of industry or financial analysts or investors for any period. If we are unable to realize our objectives associated with commercializing our products, or if our operating results fall below the expectations of analysts or investors or below any guidance we may provide, or if any guidance we provide is below the expectations of analysts or investors, it could cause the market price of our Class A common stock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to fund ongoing research and development, operating activities, and commercialization activities.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operations have consumed substantial amounts of cash since inception. We expect to spend substantial additional amounts to continue the commercialization of our products and to develop new products. We expect to use our funds on hand to further develop and commercialize our products, develop new products, and for working capital and general corporate purposes. As of December 31, 2023, we had cash and cash equivalents and investments in marketable securities totaling $257.7 million. We expect our cash and cash equivalents and investments in marketable securities will be able to fund our operations for at least the next twelve months. However, this does not reflect the possibility that we may not be able to access a portion of our existing cash and cash equivalents and investments in marketable securities due to market conditions. For example, on March 10, 2023, the Federal Deposit Insurance Corporation, or the FDIC, took control and was appointed receiver of Silicon Valley Bank. If other banks and financial institutions enter receivership or become insolvent in the future in response to financial conditions affecting the banking system and financial markets, our ability to access our cash and cash equivalents and investments in marketable securities may be threatened and could have a material adverse effect on our business and financial condition.</w:t>
      </w:r>
    </w:p>
    <w:p>
      <w:pPr>
        <w:spacing w:after="0" w:line="18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may require additional capital to develop and commercialize our products and to develop new products. In addition, our operating plans may change as a result of many factors that may currently be unknown to us, and we may need to seek additional funds sooner than planned.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debt securities would cause dilution to holders of our equity securities and/or increased fixed payment obligations, and may affect the rights of then-existing holders of our equity securities. Furthermore, these securities may have rights senior to those of our Class A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Even if we believe that we have sufficient funds for our current or future operating plans, we may seek additional capital if market conditions are favorable or if we have specific strategic considerations.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recently commercially launched our first product, but we may not be able to successfully commercially launch other future products.</w:t>
      </w:r>
    </w:p>
    <w:p>
      <w:pPr>
        <w:spacing w:after="0" w:line="21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We recently commercially launched our first product,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for RUO. We are following a three-phase launch plan for commercialization, which includes an early access limited release phase, the current controlled commercial launch phase, and a broad commercial availability phase. Our commercial launch plan may not progress as planned due to:</w:t>
      </w:r>
    </w:p>
    <w:p>
      <w:pPr>
        <w:spacing w:after="0" w:line="190" w:lineRule="exact"/>
        <w:rPr>
          <w:sz w:val="20"/>
          <w:szCs w:val="20"/>
          <w:color w:val="auto"/>
        </w:rPr>
      </w:pPr>
    </w:p>
    <w:p>
      <w:pPr>
        <w:ind w:left="620" w:hanging="30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establish the capabilities and value proposition of our products with key opinion leaders in a timely fashion;</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need or desire to modify aspects of our products throughout our commercial launch plan;</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industry or market conditions, customer requirements or competitor offerings over the span of our commercial launch plan;</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building out our sales, customer support and marketing organization as needed for each of the phases of our commercial launch plan; and</w:t>
      </w:r>
    </w:p>
    <w:p>
      <w:pPr>
        <w:spacing w:after="0" w:line="12" w:lineRule="exact"/>
        <w:rPr>
          <w:rFonts w:ascii="Times New Roman" w:cs="Times New Roman" w:eastAsia="Times New Roman" w:hAnsi="Times New Roman"/>
          <w:sz w:val="17"/>
          <w:szCs w:val="17"/>
          <w:color w:val="auto"/>
        </w:rPr>
      </w:pPr>
    </w:p>
    <w:p>
      <w:pPr>
        <w:ind w:left="620" w:hanging="304"/>
        <w:spacing w:after="0" w:line="270"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ramping up manufacturing, either internally or through our suppliers to meet the expected demand in each of the phases of our commercial launch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our commercial launch plan is unsuccessful, our financial results will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on broad scientific and market acceptance, which we may fail to achieve.</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ability to achieve and maintain scientific and commercial market acceptance of our products depends and will depend on a number of factors. Our products are and will be subject to market forces and adoption curves common to other new technologies. The market for proteomics and genomics technologies and products is in its early stages of development and if widespread adoption of our products takes longer than anticipated, we will continue to experience operating losses.</w:t>
      </w:r>
    </w:p>
    <w:p>
      <w:pPr>
        <w:spacing w:after="0" w:line="3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products. During the early access limited release phase of our commercialization launch plan, we collaborated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during the early access limited release phase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factors in achieving commercial market acceptance, include:</w:t>
      </w:r>
    </w:p>
    <w:p>
      <w:pPr>
        <w:spacing w:after="0" w:line="220" w:lineRule="exact"/>
        <w:rPr>
          <w:sz w:val="20"/>
          <w:szCs w:val="20"/>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market and increase awareness of the capabilities of our products;</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products to demonstrate comparable performance in intended use applications broadly in the hands of customers consistent with the early access limited release phase of our commercialization plan;</w:t>
      </w: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customers’ willingness to adopt new products and workflows;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ease of use and whether it reliably provides advantages over other alternative technologies;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adoption of our products by academic institutions, laboratories, biopharmaceutical companies and others;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we charge for our products;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workflows and solutions for customers;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competitors develop and commercialize products that perform similar functions as our products;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investments in product innovation and commercial growth.</w:t>
      </w:r>
    </w:p>
    <w:p>
      <w:pPr>
        <w:spacing w:after="0" w:line="19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We may not be successful in addressing each of these criteria or other criteria that might affect the market acceptance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any other products we commercialize. If we are unsuccessful in achieving and maintaining market acceptance of our products, our business, financial condition, results of operations and cash flows will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and marketing capabilities, we may not be successful in commercializing our products.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limited experience as a company in sales and marketing and our ability to achieve revenue growth depends on us being able to attract customers for our products. Although members of our management team have considerable industry experience, we will be required to expand our sales, marketing, distribution and customer service and support capabilities with the appropriate technical expertise to gain market share and revenue growth. To perform sales, marketing, distribution, and customer service and support successfully, we will face a number of risks, including:</w:t>
      </w:r>
    </w:p>
    <w:p>
      <w:pPr>
        <w:spacing w:after="0" w:line="170" w:lineRule="exact"/>
        <w:rPr>
          <w:sz w:val="20"/>
          <w:szCs w:val="20"/>
          <w:color w:val="auto"/>
        </w:rPr>
      </w:pPr>
    </w:p>
    <w:p>
      <w:pPr>
        <w:ind w:left="620" w:hanging="304"/>
        <w:spacing w:after="0" w:line="266"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and manage the sales, marketing and customer service and support force necessary to commercialize and gain market acceptance of our products;</w:t>
      </w:r>
    </w:p>
    <w:p>
      <w:pPr>
        <w:ind w:left="620" w:hanging="30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 of establishing a specialized sales, marketing and customer service and support force;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customer service and support force may be unable to initiate and execute successful commercialization activities.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may seek to enlist certain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an ongoing basis on favorable terms. If our sales and marketing efforts, or those of any third-party sales and distribution partners, are not successful, our products may not gain market acceptance, which could materially impact our business operations.</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size of the markets for our products may be smaller than estimated, and new market opportunities may not develop as quickly as we expect, or at all, limiting our ability to successfully sell our products.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market for proteomics and genomics technologies and products is evolving, making it difficult to predict with any accuracy the size of the markets for our current and future products.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products are innovative new products,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it has used, may change at any time, thereby reducing the accuracy of our estimates. As a result, our estimates of the total addressable market for our products may be incorrect.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Epidemics, pandemics or other public health crises, including COVID-19, could adversely affect our business.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operations could be significantly adversely affected by the effects of a widespread outbreak of epidemics, pandemics or other health crises, including COVID-19. We cannot accurately predict the impact of epidemics and pandemics would have on our operations and the ability of third-parties to meet their obligations under contracts or arrangements with us, including uncertainties relating to the ultimate geographic spread of epidemics and pandemics, the severity of the underlying diseases, the duration of outbreaks, and the length of travel and quarantine restrictions imposed by governments of affected countries. In addition, a significant outbreak of contagious diseases in the human population could result in a widespread health crisis that could adversely affect the economies and financial markets of many countries, resulting in an economic downturn that could further affect our operations and ability to finance our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social and governance matters may impact our business and reputation.</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variety of organizations measure the performance of companies on such ESG topics, and the results of these assessments are widely publicized. In addition, investment in funds that specialize in companies that perform well in such assessments are becoming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business and results of operations. Our suppliers, vendors and business partners also face similar risks, and any disruption to their operations could have an adverse effect on our supply and manufacturing chain.</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Climate change has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results of operations or cash flows, including the sustainability of our business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or results of operations.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including changes in inflation, interest rates and overall economic conditions and uncertainties. We have experienced pricing increases from our suppliers. To the extent inflation or other factors increase our business costs, it may not be feasible to pass price increases on to our customers or offset higher costs through manufacturing efficiencies. Inflation could also adversely affect the ability of our customers to purchase our products. An economic downturn could result in a variety of risks to our business, including weakened demand for our products and our inability to raise additional capital when needed on acceptable terms, if at all. A weak or declining economy could also result in further constraints on our suppliers or cause future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Geopolitical conflicts could potentially affect our sales and disrupt our operations and could have a material adverse impact on our business.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Geopolitical conflicts, including the ongoing conflicts in Ukraine and Israel and Gaza, could adversely impact our operations or those of our suppliers, manufacturers or customers. The extent to which these events impact our operations will depend on future developments, which are highly uncertain and cannot be predicted with confidence. If the uncertainty surrounding geopolitical conflicts and in the global marketplace continues, or if we, or any of our suppliers, manufacturers or customers encounter any disruptions to our or their respective operations or facilities, then we or they may be prevented or delayed from effectively operating our or their business, respectively, and the marketing and sale of our products and our financial results could be adversely affected.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sustain or successfully manage our anticipated growth, our business and prospects will be harmed.</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2023, we had 165 employees.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If we do not successfully manage our anticipated growth, our business, results of operations, financial condition and prospects will be harmed.</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Recently and in the past, we have undergone leadership transitions and an internal restructuring, and we depend on our key personnel and other highly qualified personnel, and if we are unable to recruit, train and retain our personnel in the future, we may not achieve our goals.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January and August 2023, we committed to organizational restructurings designed to decrease our costs and create a more streamlined organization to support our business. In connection with these activities, we reduced our workforce by approximately 12% and 16% effective in January and August 2023, respectively. We believe this re-prioritized strategic focus is the best way to optimize our financial and other resources to advance our goal of developing and commercializing our products and services. There can be no assurance that our restructuring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operations. Further, our restructuring may result in unexpected expenses or liabilities and/or write-offs. If our restructuring fails to achieve some or all of the expected benefits therefrom, our cash resources may not last as long as estimated and our business, results of operations and financial condition could be materially and adversely affected.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our future success depends upon our ability to recruit, train, retain and motivate key personnel, including our senior management team, as well as our research and development team and manufacturing and sales and marketing personnel. Our senior management team is critical to our vision, strategic direction, product development and commercialization efforts. 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continued growth and ability to successfully transition from a company primarily focused on research and development to commercialization depends, in part, on attracting, retaining and motivating qualified personnel, including highly-trained sales personnel with the necessary scientific background and ability to understand our products and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our industry, we may continue to utilize foreign nationals to fill part of our recruiting needs. As a result, changes to U.S. immigration policies could restrain the flow of technical and professional talent into the United States and may inhibit our ability to hire qualified personnel.</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do not maintain fixed term employment contracts with any of our employees. As a result, our employees could leave the company with little or no prior notice and may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3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expect to be dependent upon revenue generated from the sales of our initial products from the time they are commercialized through the foreseeable future.</w:t>
      </w:r>
    </w:p>
    <w:p>
      <w:pPr>
        <w:spacing w:after="0" w:line="3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 December 2022, we initiated a controlled launch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for RUO. Prior to that, in 2021 we initiated our early access limited release to enable key thought leaders early access to our platform. If we are able to successfully commercialize our products, we expect that we will generate substantially all of our revenue from the sale of our instruments and consumables. There can be no assurance that we will be able to successfully commercialize our products,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products in order to keep up with the latest technology. To date, we have limited experience simultaneously designing, testing, manufacturing and selling products and there can be no assurance we will be able to do so. Our sales expectations are based in part on the assumption that our products will increase study sizes for our future customers and their associated purchases of our consumables. If sales of our instruments fail to materialize, so will the related consumable sales and associated revenue.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our development and commercialization plans for our products,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products or product enhancements would have a substantial adverse effect on our business and results of operations.</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expect that substantially all of our revenue in the near term will be generated from sales of RUO protein sequencing products to academic institutions and other research institutions. Much of these customers’ funding will be, in turn, provided by various state, federal and international government agencies. As a result, the demand for our products will depend upon the research and development budgets of these customers, which are impacted by factors beyond our control, such as:</w:t>
      </w:r>
    </w:p>
    <w:p>
      <w:pPr>
        <w:spacing w:after="0" w:line="377" w:lineRule="exact"/>
        <w:rPr>
          <w:sz w:val="20"/>
          <w:szCs w:val="20"/>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government funding of research and development;</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and the political climate;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changes in the regulatory environment;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budgetary cycles, especially government or grant-funded customers, whose cycles often coincide with government fiscal year ends;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 product offerings or pricing;</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market-driven pressures to consolidate operations and reduce costs;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relatively new technologies.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A decrease in the amount of, or delay in the approval of, appropriations to National Institutes of Health (“NIH”) or other similar U.S.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potential customers to reduce or delay purchases of our products.</w:t>
      </w:r>
    </w:p>
    <w:p>
      <w:pPr>
        <w:spacing w:after="0" w:line="37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use biological and hazardous materials in a manner that causes injury or violates laws or regulations, we could be liable for damages or subject to enforcement actions.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research and product development activities currently require the controlled use of potentially harmful biological and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We generally use third-party vendors to dispose of regulated medical waste, hazardous waste and radioactive materials that we may use during our research. The cost of compliance with these laws and regulations may become significant and could have a material adverse effect on our financial condition, results of operations and cash flows.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rely on certain contract manufacturers to manufacture and supply our instruments, components of our instruments, and certain components of our consumable offerings. If these manufacturers should fail or not perform satisfactorily, our ability to commercialize and supply our instruments and consumable offerings would be adversely affected.</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We rely on certain contract manufacturers to manufacture and supply our instruments, components of our instruments, and certain components of our consumable offerings. Since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For example, in November 2023 we began a process of transitioning the manufacturing of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to a new provider, and are currently executing a process to move our wafer photonics process to a new provider. Transitioning these processes could take more time than anticipated and run into technical challenges, and may ultimately prove to be unsuccessful. If we are unable to begin manufacturing at these new contract manufacturers in a timely fashion, it will affect our ability to produce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instruments and semiconductor chips which would harm our research and development efforts and commercial operations.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event it becomes necessary to utilize a different contract manufacturer for our products or components of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consumable offerings, and our business would suffer. In addition, if our products are authorized for use by the FDA as medical devices, we will need to contract with FDA-registered device establishments that are able to comply with current Good Manufacturing Practice requirements that are set forth in the QSR, unless explicitly exempted by regulation.</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certain of the components and consumables used in our instruments and consumable offerings are sourced from a limited number, or sole source suppliers. If we were to lose such a supplier, there can be no assurance that we will be able to identify or enter into an agreement with an alternative supplier on a timely basis on acceptable terms, if at all. An interruption in our ability to sell and deliver instruments or consumable offerings to customers could occur if we encounter delays or difficulties in securing these components or consumables, or if the quality of the components or consumables supplied do not meet specifications, or if we cannot then obtain an acceptable substitute. Our suppliers have also been impacted by the COVID-19 pandemic, and in the past, we have experienced supply delays for critical hardware and instrumentation as a result. If any of these events occur, our business, results of operations, financial condition and prospects could be harmed.</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internal manufacturing equipment is specialized with limited vendor options and long lead times. If these pieces of equipment were to stop working and be unable to be repaired in a timely manner or at all, our ability to manufacturer our semiconductor chips would be adversely affected.</w:t>
      </w:r>
    </w:p>
    <w:p>
      <w:pPr>
        <w:spacing w:after="0" w:line="1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Our internal manufacturing equipment is specialized with limited vendor options and long lead times. If these pieces of equipment were to stop working and be unable to be repaired in a timely manner or at all, our ability to manufacturer our semiconductor chips could be adversely affected.</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event it becomes necessary to utilize other equipment for our semiconductor chip manufacturing, we would experience additional costs, delays and difficulties in manufacturing our semiconductor chips, and our business would suffer. There can be no assurance that we would be able to obtain alternative equipment on a timely basis on acceptable terms, if at all. An interruption in our ability to manufacture our semiconductor chips could occur if we encounter delays or difficulties in securing this equipment or if we cannot then obtain an acceptable substitute. If any of these events occur, our business, results of operations, financial condition and prospects could be harmed.</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do not successfully develop and maintain our Platinum Analysis Software service, our commercialization efforts and therefore business and results of operations could suffer.</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success of our products depends, in part, on our ability to design and deploy our Platinum Analysis Software service in a manner that enables the integration with potential customers’ systems and accommodates potential customers’ needs. Without our software, the depth of the analysis provided for data generated by our system could be limited and utilization of our products could be hindered.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and will continue to spend significant amounts of effort developing our software, and potential enhanced versions over time, to meet our potential customers’ evolving needs. There is no assurance that the development or deployment of our software, or any potential enhancements, will be compelling to our customers. In addition, we may experience delays in our release dates of our software, and there can be no assurance that our software will be released according to schedule. If our software development and deployment plan does not accurately anticipate customer demands or if we fail to develop our software in a manner that satisfies customer preferences in a timely and cost-effective manner, our products may fail to gain market acceptance.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Commercializing our products outside of the United States could expose us to business, regulatory, political, operational, financial, and economic risks associated with doing business outside of the 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Engaging in international business inherently involves a number of difficulties and risks, including:</w:t>
      </w:r>
    </w:p>
    <w:p>
      <w:pPr>
        <w:spacing w:after="0" w:line="220" w:lineRule="exact"/>
        <w:rPr>
          <w:sz w:val="20"/>
          <w:szCs w:val="20"/>
          <w:color w:val="auto"/>
        </w:rPr>
      </w:pPr>
    </w:p>
    <w:p>
      <w:pPr>
        <w:jc w:val="both"/>
        <w:ind w:left="620" w:hanging="304"/>
        <w:spacing w:after="0" w:line="260"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compliance with existing and changing foreign regulatory requirements and laws that are or may be applicable to our business in the future, such as the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compliance with U.S. laws such as the Foreign Corrupt Practices Act, and other U.S. federal laws and regulations established by the Office of Foreign Assets Control of the U.S. Department of the Treasury;</w:t>
      </w: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requirements and import or trade restrictions;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companies;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longer payment cycles and difficulties in enforcing agreements and collecting receivables through certain foreign legal systems;</w:t>
      </w:r>
    </w:p>
    <w:p>
      <w:pPr>
        <w:spacing w:after="0" w:line="208" w:lineRule="exact"/>
        <w:rPr>
          <w:rFonts w:ascii="Times New Roman" w:cs="Times New Roman" w:eastAsia="Times New Roman" w:hAnsi="Times New Roman"/>
          <w:sz w:val="17"/>
          <w:szCs w:val="17"/>
          <w:color w:val="auto"/>
        </w:rPr>
      </w:pPr>
    </w:p>
    <w:p>
      <w:pPr>
        <w:jc w:val="both"/>
        <w:ind w:left="620" w:hanging="304"/>
        <w:spacing w:after="0" w:line="255"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it may sell our products including as a result of the separation of the United Kingdom from the European Union (“Brexit”);</w:t>
      </w: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tariffs, customs charges, bureaucratic requirements, and other trade barriers;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of staffing and managing foreign operations;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protecting, maintaining, enforcing or procuring intellectual property rights.</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products provide a solution with many different components that work together. As such, a quality defect in a single component can compromise the performance of the entire solution. In order to successfully generate revenue from our products, we need to supply our customers with products that meet their expectations for quality and functionality in accordance with established specifications on a timely basis. Certain of our products or components of our products are manufactured by a third-party contract manufacturer at our facility using complex processes, sophisticated equipment and strict adherence to specifications and quality systems procedures. Given the complexity of our devices, individual units may occasionally require additional installation and service time prior to becoming available for customer use.</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and our manufacturing partners procure certain components of our instruments and consumables from third-party manufacturers, which includes the commonly-available raw materials needed for manufacturing as well as proprietary components. These manufacturing processes are complex. If we are not able to repeatedly produce our kits at commercial scale or source them from third-party suppliers, or encounter unexpected difficulties in packaging our consumables, our business will be adversely impacted.</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will be able to continue to manufacture our instruments so that we consistently achieve the product specifications and produce results with acceptable quality. Our kits, semiconductor chips,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our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as we commercialize our Platinum Analysis Software service, we will also need to make corresponding improvements to other operational functions, such as our customer support, service and billing systems, compliance programs and our internal quality assurance programs. As we develop additional products, we may need to bring new equipment online, implement new systems, technology, controls and procedures and hire personnel with different qualifications.</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foundries to produce wafers, which when packaged and tested internally, lead to our supply of semiconductor chips. If these third-party foundries should fail or not perform satisfactorily, our ability to supply semiconductor chips would be negatively and adversely affected.</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currently rely on third-party foundries for the production of wafers, and we may not be able to obtain adequate supplies in a timely manner or on commercially reasonable terms. If any of these third parties were not able to supply our wafers, our semiconductor chip supply would be negatively impacted and our business would be harmed.</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it becomes necessary to utilize a different third party for the production of wafers, we would experience additional costs and significant delays, including identifying and entering into an agreement with a new foundry partner as well as preparing such new foundry partner to meet the logistical requirements associated with producing our wafers, which would further harm our business.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if we were to lose such third-party foundries, there can be no assurance that we will be able to identify or enter into agreements with alternative foundries on a timely basis on acceptable terms, if at all. An interruption in our ability to sell and deliver semiconductor chips to customers could occur if we encounter delays or difficulties in securing these wafers, if the quality of the wafers supplied do not meet specifications, or if we cannot then obtain an acceptable substitute. If any of these events occur, our business and operating results could be harmed.</w:t>
      </w:r>
    </w:p>
    <w:p>
      <w:pPr>
        <w:spacing w:after="0" w:line="1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have defects or errors, which may give rise to claims against us and adversely affect our business, financial condition, results of operations and cash flows.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products utilize novel and complex technology and may develop or contain undetected defects or errors. Material performance problems, defects, or errors may arise, and as we commercialize our products,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manufacturing our products, we depend upon third parties for the supply of our instruments and various components, many of which require a significant degree of technical expertise to produce. If our suppliers fail to produce our products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our products contain defects, we may experience:</w:t>
      </w:r>
    </w:p>
    <w:p>
      <w:pPr>
        <w:spacing w:after="0" w:line="220" w:lineRule="exact"/>
        <w:rPr>
          <w:sz w:val="20"/>
          <w:szCs w:val="20"/>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achieve market acceptance for our products or expansion of our product sales;</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customer orders and delay in order fulfillment;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brand reputation;</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warranty and customer service and support costs due to product repair or replacement;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replacements;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attract new customers;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resources from our manufacturing and research and development team into our service team;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claims against us, including product liability claims, which could be costly and time consuming to defend and result in substantial damages.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life sciences technology market is highly competitive. If we fail to compete effectively, our business and results of operations will suffer.</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but are not limited to: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Seer and Standard BioTools (including its recent acquisition of SomaLogic). Finally, we compete with a number of privately held companies that are developing technology that may compete with our products.</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Some of our current competitors are large publicly-traded companies, or are divisions of large publicly-traded companies, and may enjoy a number of competitive advantages over us, including:</w:t>
      </w:r>
    </w:p>
    <w:p>
      <w:pPr>
        <w:spacing w:after="0" w:line="146" w:lineRule="exact"/>
        <w:rPr>
          <w:sz w:val="20"/>
          <w:szCs w:val="20"/>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name and brand recognition;</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financial and human resources;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broader product lines;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sales forces and more established distributor networks;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intellectual property portfolios;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and more established customer bases and relationships;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better established, larger scale and lower cost manufacturing capabilities.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the Company. This is particularly true for the largest research centers and laboratories that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products may not compete favorably, and we may not be successful in the face of increasing competition from products and technologies introduced by our existing or future competitors, companies entering our markets or developed by our customers internally. In addition, our competitors may have or may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results of operations and cash flows.</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are party to Technology and Services Exchange Agreements by and among us and certain affiliated companies, pursuant to which the parties agreed to share personnel and certain non-core technologies. The sharing arrangements under the agreements may prevent us from fully utilizing our personnel and/or the technologies shared under the agreements. Furthermore, if these agreements were to terminate, or if we were to lose access to these technologies and services, our business could be adversely affected.</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Technology and Services Exchange Agreements (the “TSEAs”) by and among us and other participant companies controlled by the Rothberg family, consisting of Butterfly Network, Inc., OrphAI Therapeutics, Inc., Hyperfine, Inc., 4Bionics LLC, identifeye HEALTH Inc. (f/k/a Tesseract Health, Inc.), Liminal Sciences, Inc. and Detect, Inc. The TSEA with Butterfly Network, Inc. was signed in November 2020, and the TSEA with the remaining participant companies was signed in February 2021 and became effective upon the Closing of the Business Combination. Under the TSEAs, we and the other participant companies may, in our or their discretion, permit the use of certain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with the other participant companies. The TSEAs provide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technology and personnel-sharing arrangements under the TSEAs may prevent us from fully utilizing our personnel if such personnel are also being used by the other participant companies and may also cause our personnel to enter into agreements with or provide services to other companies that interfere with their obligations to us. Created IP under the TSEAs may be relevant to our business and created by our personnel but owned by the other participant companies. Furthermore, if the TSEAs were to terminate, or if we were to lose access to the technologies and services available pursuant to the TSEAs, our business could be adversely affected.</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in the future seek to acquire or invest in businesses, applications or technologies that we believe could complement or expand our existing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Other than the acquisition of Majelac, 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37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seek to enter into strategic collaborations and licensing arrangements with third parties, but we may not be successful in establishing or maintaining such arrangements.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seek to enter into strategic collaborations and licensing agreements with third parties to develop products, such as the creation and identification of content and development of new applications.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they may never result in the successful development or commercialization of products.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net operating losses to offset future taxable income may be subject to certain limitations.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December 31, 2023, we had federal net operating loss carryforwards (“NOLs”) to offset future taxable income of approximately $336.8 million, of which $65.5 million will begin to expire in 2033 if not utilized.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pre-change NOLs and other pre-change tax attributes (such as research tax credits) to offset post-change taxable income.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Our existing NOLs may be subject to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to the limitations discussed above under Sections 382 of the Code, the utilization of NOLs incurred in taxable years beginning after December 31, 2017, are subject to limitations adopted by the Tax Cuts and Jobs Act, as modified by the Coronavirus Aid, Relief, and Economic Security Act (“CARES Act”). Under the TCJA, in general, NOLs generated in taxable years beginning after December 31, 2017 may offset no more than 80 percent of such year’s taxable income and there is no ability for such NOLs to be carried back to a prior taxable year. The CARES Act modifies the TCJA with respect to the TCJA’s limitation on the deduction of NOLs and provides that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percent of current year taxable income for taxable years beginning before January 1, 2021. As a result of such limitation, we may be required to pay federal income tax in some future year notwithstanding that we had a net loss for all years in the aggregate.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Branford, Connecticut facilities primarily house our corporate headquarters as well as research and development activities, and we have a product development and operations facility located in San Diego, California, and a semiconductor chip manufacturing location in Garnett Valley, Pennsylvania. In December 2021, we entered into a lease for a facility in New Haven, Connecticut, which commenced in January 2022. Our products are manufactured at our third-party manufacturer’s facilities in the United States and internationally, and our consumables are manufactured at various locations in the United States including at our facilities in San Diego, California and Garnet Valley, Pennsylvania, and internationally.</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facilities in Branford, San Diego and those of our third-party manufacturers are vulnerable to natural disasters, public health crises and catastrophic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facilities given the specialized equipment housed within them. The inability to manufacture our instruments or consumables, combined with limited inventory of manufactured instruments and consumables, may result in the loss of future customers or harm our reputation, and we may be unable to re-establish relationships with those customers in the future.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our research and development program or commercialization program were disrupted by a disaster or catastrophe, the launch of new products and the timing of improvements to our products could be significantly delayed and could adversely impact our ability to compete with other available products and solutions. If we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6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experience a significant disruption in our information technology systems, including our Platinum Analysis Software services, or cybersecurity incidents, our business could be adversely affected.</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rely, and will continue to rely on, information technology systems to keep financial and employment records, facilitate our research and development initiatives, manage our manufacturing operations, maintain quality control, fulfill customer orders, maintain corporate records, communicate with staff, provide our Platinum Analysis Software services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especially in the health care industry. Methods of attacks on information technology systems and data security breaches change frequently, are increasingly complex and sophisticated, including deployment of harmful malware and key loggers, ransomware, a malicious website, social engineering and phishing scams, and other means to affect the confidentiality, integrity and availability of our technology systems and data, and can originate from a wide variety of sources. In addition to traditional computer “hackers,” malicious code, such as viruses and worms, denial-of-service attacks and sophisticated nation-state and nation-state supported actors present a constant threat, including advanced persistent threat intrusions.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incidents becoming commonplace. Despite our efforts to create security barriers to such threats, it is virtually impossible for us to completely mitigate these risks. In August 2020, we discovered ransomware on a server and engaged third-party forensics experts and outside counsel for incident response. We did not pay ransom to the attacker because the documents that were encrypted by the attacker were sufficiently backed up and the investigation further confirmed that no employee data or other personal information was accessed. We implemented a number of security enhancements as the incident unfolded and continue to implement short- and long-term security enhancements to further secure our network.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our security measures, or those of our vendors and partners, are compromised due to any cybersecurity attacks or incidents, including as a result of third-party action, employee or customer error, malfeasance, stolen or fraudulently obtained log-in credentials, power outages, hardware failures, telecommunication or utility failures, catastrophes, other unforeseen events or otherwise, our reputation could be damaged, our business may be harmed, we could become subject to litigation and we could incur significant expense and liability. If we were to experience a prolonged system disruption in our information technology systems or those of certain of our vendors and partners, it could adversely impact our business and operations, and could result in financial, legal, operational or reputational harm to us, loss of competitive advantage or loss of consumer confidence. If our operations are disrupted, it may cause a material disruption in our business if we do not restore functionality in an acceptable timeframe. In addition, cybersecurity incidents could lead to the loss of trade secrets or other intellectual property, or could lead to the unauthorized access or loss of personal information, including sensitive personal information, of our employees, customers and other third parties, any of which could have a material adverse effect on our business and result in financial, legal, operational or reputational harm to us, loss of competitive advantage or loss of consumer confidence.</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cybersecurity incidents could result in legal claims or proceedings, including class action lawsuits, regulatory investigations or actions, and other types of liability under laws that protect the privacy and security of personal information, including federal, state and foreign data protection and privacy rules and regulations, violations of which could result in material penalties and fines. In addition, although we seek to detect and investigate all cybersecurity incidents, bad actors have become increasingly proficient at operating undetected within an information system, making cybersecurity incidents involving unauthorized access to our information technology systems and data difficult to detect and any delay in identifying such incidents may lead to increased harm and legal exposure of the type described above. Moreover, we may be required to make public announcements regarding any cybersecurity incidents involving the Company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cost of protecting against, investigating, mitigating and responding to potential breaches of information technology systems and cybersecurity incidents and complying with applicable breach notification obligations to individuals, regulators, partners and others can be significant. As cybersecurity incidents and regulatory requirements continue to evolve, we may be required to expend significant additional resources to continue to modify or enhance our protective measures or to investigate and remediate any security vulnerabilities. The inability to implement, maintain and upgrade adequate safeguards could have a material effect on our business, financial condition, results of operations and ability to operate the business as a going concern . While we currently maintain cybersecurity insurance, our insurance policies may not provide adequate coverage to compensate us for the potential costs and other losses arising from such disruptions, failures or security incidents. In addition, such insurance may not be available to us in the future on economically reasonable terms, or at all, and it is possible that an insurer may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and result in financial, legal, operational or reputational harm to us, loss of competitive advantage or loss of consumer confidence.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become subject to various litigation claims and legal proceedings.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as well as certain of our directors and officers, may become subject to claims or lawsuits during the ordinary course of business. If any such claim or lawsuit was brought, regardless of the outcome, such claim or lawsuit could result in significant legal fees and expenses and could divert management’s time and other resources. If any such claims or lawsuits are successfully asserted against us, we could be liable for damages and be required to alter or cease certain of our business practices. Any of these outcomes could cause our business, financial performance and cash position to be negatively impacted.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2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elect to label and promote any of our products as clinical diagnostics or medical devices, we would be required to obtain prior marketing authorization from the FDA, which would take significant time and expense and could fail to result in FDA marketing authorization of the device for the intended use or uses we believe are commercially attractive.</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protein sequencing products are currently labeled, promoted, and sold primarily to academic and research institutions and research companies as RUO products. They are not currently designed, or intended to be used, for clinical diagnostic purposes or as medical devices. If we elect to label and market our products for use as, or in the performance of, clinical diagnostics in the United States, thereby subjecting them to FDA regulation as medical devices, we would be required to obtain pre-market authorization from the FDA, unless an exception applies.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future, if we choose to develop and market our products for clinical or diagnostic uses in the United States, we will be required to comply with FDA’s regulations for in vitro diagnostic (“IVD”) medical devices. Complying with FDA’s medical device regulations may be expensive, time-consuming, and subject us to significant and/or unanticipated delays. There can be no guarantee that we will be able to obtain the appropriate marketing authorization for our protein sequencing products that may be developed for clinical or diagnostic intended uses in the future.</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may in the future register with the FDA as a specification developer and list some of our ancillary products with the FDA as Class I general purpose laboratory equipment, subjecting us to ongoing inspections by the FDA. While this regulatory classification is exempt from certain FDA requirements, such as the need to submit a pre-market notification commonly known as a 510(k), and some of the requirements of the FDA’s Quality System Regulations (“QSR”), those device products would be subject to mandatory general controls that apply to all classes of medical devices. In addition to establishment registration, device listing and compliance with applicable QSR, general controls include compliance with FDA regulations for labeling, reporting adverse events or malfunctions for the products, and general prohibitions against misbranding and adulteration.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us failing to obtain regulatory clearance or approval to market such products, which would significantly harm our business, results of operations, reputation, and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we sought and received regulatory marketing authorization for certain of our protein sequencing products, we would be subject to ongoing FDA obligations and continued regulatory oversight and review, including the general controls listed above. In addition, we could be required to obtain a new clearance or approval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we could decide to seek regulatory clearance or approval for certain of our future clinical diagnostic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marketing authorization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Although our current protein sequencing products are labeled, promoted, and sold as RUO products that are therefore not regulated as IVD medical devices, the FDA or comparable agencies of other countries could disagree with our conclusion that our products are intended for RUO or deem our sales, marketing and promotional efforts as being inconsistent with the criteria for RUO products. For example, our customers may independently elect to use our RUO labeled products in their own lab-developed tests (“LDTs”) for clinical diagnostic uses, which could subject our products to government regulation, and regulatory requirements related to marketing, selling, and distribution of RUO products could change or be uncertain, even if clinical uses of our RUO products by our customers were done without our consent. FDA reviews the totality of the circumstances when it comes to evaluating whether equipment and testing components are properly labeled as RUO and takes the position that merely including a labeling statement that the product is for research purposes only will not necessarily render the device exempt from the FDA’s device regulatory requirements if the circumstances surrounding the distribution, marketing and promotional practices indicate that the manufacturer knows its products are, or intends for its products to be, used for clinical diagnostic purposes. If the FDA or other regulatory authorities assert that any of our RUO products are subject to regulatory clearance or approval, our business, financial condition, results of operations or cash flows could be adversely affected.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For a number of years, the FDA has exercised its regulatory enforcement discretion not to regulate LDTs as medical devices if the tests are created and used within a single laboratory.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although more details are expected to be provided with the upcoming final rule. The likelihood of the FDA finalizing the proposed rule in April 2024 (as currently projected), as well as potential litigation challenging the agency’s authority to take such action, is uncertain at this time. Affected entities continue to press for a comprehensive legislative solution instead of implementation of the proposed FDA administrative action, which may be disruptive to the industry and to patient access to certain diagnostic tests, and litigation against FDA is expected to be initiated following issuance of the final rule. Separately, federal legislators have been working with stakeholders for several years on a possible bill to reform the regulation of in vitro clinical tests including LDTs. For example, as drafted and re-introduced for consideration by the current Congress, the Verifying Accurate, Leading-edge IVCT Development Act (“VALID Act”) would codify into law the term “in vitro clinical test” (“IVCT”) to create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Any legislative or administrative rule making or new federal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modernized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the Health Insurance Portability and Accountability Act of 1996 (“HIPAA”), the Physician Payments Sunshine Act and related transparency and manufacturer reporting laws, and other laws and regulations applicable to medical device manufacturers.</w:t>
      </w:r>
    </w:p>
    <w:p>
      <w:pPr>
        <w:spacing w:after="0" w:line="1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reagents may be used by clinical laboratories to create LDTs, which could, in the future, become subject to some form of FDA regulatory requirements, which could materially and adversely affect our business and results of operations.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in the future register with the FDA as a specification developer and list ancillary products such as customized reagents with the FDA as Class I general purpose laboratory equipment and reagents. A clinical laboratory could potentially use our custom-manufactured reagents to create what is called an LDT. LDTs are diagnostic tests that are developed, validated and performed by a single clinical laboratory operating in compliance with the Clinical Laboratory Improvement Amendments (“CLIA”), and under the oversight of the Centers for Medicare &amp; Medicaid Services (“CMS”). Historically, FDA has generally exercised enforcement discretion not to regulate LDTs as medical devices, although as discussed above in October 2023 it issued a proposed rule to regulate LDTs under the current medical device framework and phase out its existing enforcement discretion policy for LDTs. The FDA initiated this rulemaking following several years of inaction by Congress and in light of public health concerns the agency perceives to exist with certain marketed LDTs, in part as a result of the growth in the volume and complexity of testing services utilizing LDTs, such as genetic testing services over the past four decades Congress also continues to face pressure from stakeholders to enact a comprehensive legislative solution to create a harmonized paradigm for oversight of LDTs by both the FDA and CMS. Any legislative or administrative rule making or new federal oversight of LDTs, if and when finalized, could decrease demand for our reagents by affecting how customers can use those products. Additionally, compliance with additional regulatory burdens could be time consuming and costly for our customers. We cannot predict how these various efforts will be resolved, how Congress or the FDA will regulate LDTs in the future, or how that modernized regulatory system will impact our business.</w:t>
      </w:r>
    </w:p>
    <w:p>
      <w:pPr>
        <w:spacing w:after="0" w:line="38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Further, the FDA may disagree that such products are Class 1 medical devices and require us to obtain pre-market clearance or approval before we can continue to sell our reagent products to certain customers.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of concern as we develop and begin to commercialize products include:</w:t>
      </w:r>
    </w:p>
    <w:p>
      <w:pPr>
        <w:spacing w:after="0" w:line="170" w:lineRule="exact"/>
        <w:rPr>
          <w:sz w:val="20"/>
          <w:szCs w:val="20"/>
          <w:color w:val="auto"/>
        </w:rPr>
      </w:pPr>
    </w:p>
    <w:p>
      <w:pPr>
        <w:jc w:val="both"/>
        <w:ind w:left="620" w:hanging="304"/>
        <w:spacing w:after="0" w:line="260"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2" w:lineRule="exact"/>
        <w:rPr>
          <w:rFonts w:ascii="Times New Roman" w:cs="Times New Roman" w:eastAsia="Times New Roman" w:hAnsi="Times New Roman"/>
          <w:sz w:val="17"/>
          <w:szCs w:val="17"/>
          <w:color w:val="auto"/>
        </w:rPr>
      </w:pPr>
    </w:p>
    <w:p>
      <w:pPr>
        <w:jc w:val="both"/>
        <w:ind w:left="620" w:hanging="304"/>
        <w:spacing w:after="0" w:line="255"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w:t>
      </w:r>
    </w:p>
    <w:p>
      <w:pPr>
        <w:jc w:val="both"/>
        <w:ind w:left="620" w:hanging="304"/>
        <w:spacing w:after="0" w:line="255"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ind w:left="620" w:hanging="304"/>
        <w:spacing w:after="0" w:line="255"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which created additional federal criminal statutes that prohibit, among other things, executing a scheme to defraud any healthcare benefit program and making false statements relating to healthcare matters;</w:t>
      </w:r>
    </w:p>
    <w:p>
      <w:pPr>
        <w:jc w:val="both"/>
        <w:ind w:left="620" w:hanging="304"/>
        <w:spacing w:after="0" w:line="255"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Sunshine Act, which requires certain manufacturers of drugs, devices, biologics and medical supplies for which payment is available under Medicare, Medicaid or the Children’s Health Insurance Program, to report annually to CMS, information related to payments and other transfers of value to physicians (defined broadly to include doctors, dentists, optometrists, podiatrists and chiropractors), teaching hospitals and certain advanced non-physician healthcare practitioners, as well as ownership interests held by physicians and their immediate family members; and</w:t>
      </w:r>
    </w:p>
    <w:p>
      <w:pPr>
        <w:ind w:left="620" w:hanging="304"/>
        <w:spacing w:after="0" w:line="270"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 equivalents of each of the above federal laws, such as anti-kickback and false claims laws, which may apply to items or services reimbursed by any third-party payor, including commercial insurers or patients.</w:t>
      </w:r>
    </w:p>
    <w:p>
      <w:pPr>
        <w:spacing w:after="0" w:line="1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These laws and regulations, among other things, constrain our business, marketing and other promotional activities by limiting the kinds of financial arrangements we may have with hospitals, physicians or other developers or potential purchasers of our products.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addition, members of our management and companies with which they are affiliated or have been affiliated with in the past, have been, and may in the future be, involved in investigations, prosecutions, convictions or settlements in the healthcare industry. For example, Kevin Rakin, a member of our board of directors (the “Board”), was named as a defendant in </w:t>
      </w:r>
      <w:r>
        <w:rPr>
          <w:rFonts w:ascii="Times New Roman" w:cs="Times New Roman" w:eastAsia="Times New Roman" w:hAnsi="Times New Roman"/>
          <w:sz w:val="17"/>
          <w:szCs w:val="17"/>
          <w:i w:val="1"/>
          <w:iCs w:val="1"/>
          <w:color w:val="auto"/>
        </w:rPr>
        <w:t>United States ex rel. Webb v. Advanced BioHealing, Inc.</w:t>
      </w:r>
      <w:r>
        <w:rPr>
          <w:rFonts w:ascii="Times New Roman" w:cs="Times New Roman" w:eastAsia="Times New Roman" w:hAnsi="Times New Roman"/>
          <w:sz w:val="17"/>
          <w:szCs w:val="17"/>
          <w:color w:val="auto"/>
        </w:rPr>
        <w:t xml:space="preserve">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results of operations and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are currently subject to, and may in the future become subject to, both U.S. federal and state laws and regulations as well as international laws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ordinary course of our business, we currently, and in the future will, collect, store, transfer, use or process sensitive data, including personally identifiable information of employees.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complicates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disclosures regarding information practices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the California Privacy Rights Act (“CPRA”), was approved by California voters in the election of November 3, 2020 and went into effect in January of 2023 modifying the CCPA significantly, potentially resulting in further uncertainty and requiring us to incur additional costs and expenses in an effort to comply. In addition, similar laws and regulations in other U.S. states, such as Colorado, Connecticut, New Jersey, Delaware, Utah, Virginia, Oregon, Indiana, Iowa, Tennessee, Montana, Florida and Texas and other international jurisdictions have been applied to protect individuals’ privacy (including laws regarding unfair and deceptive practices in the United States and GDPR in the European Union) and may be subject to evolving interpretations or applications. Furthermore, defending a suit for the wrongful use or disclosure of health or personal information, regardless of its merit, could be costly, divert management’s attention and harm our reputation.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federal level, regulations promulgated pursuant to HIPAA as amended by the Health Information Technology for Economic and Clinical Health Act (“HITECH”) establish privacy and security standards that limit the use and disclosure of individually identifiable health information (known as “protected health information” when protected under HIPAA) and require the implementation of administrative, physical and technological safeguards to protect the privacy and security of protected health information and ensure the confidentiality, integrity and availability of electronic protected health information. Determining HIPAA applicability to our operations as our operations evolve, obligations under applicable privacy standards and our contractual obligations may require complex factual and regulatory analyses and may be subject to differing or changing interpretations. Although we take measures to protect sensitive data from unauthorized access, use or disclosure, our information technology and infrastructure may be vulnerable to attacks by hackers or viruses or accessed due to employee error, malfeasance or other malicious or inadvertent disruptions. Any such breach, incident or interruption could compromise our networks and the information stored there could be accessed by unauthorized parties, manipulated, acquired, publicly disclosed, lost or stolen. Any such access or other loss of information could result in legal claims or proceedings, and liability for us or our customers under international or U.S. federal or state laws that protect the privacy of health information, such as HIPAA, and regulatory penalties. Notice of certain incidents may be required to be provided to affected individuals, the Secretary of the Department of Health and Human Services, and for extensive breaches, notice may also need to be made to the media. Additionally, state law may require notice to the applicable state Attorney General. Such notices could result in financial, legal, operational or reputational harm to us, loss of competitive advantage or loss of consumer confidence.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continue to evaluate our compliance obligations,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and cybersecurity practices and any policies that we have implemented,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international laws and regulations relating to data privacy and security, could result in damage to our reputation, as well as proceedings or litigation by governmental agencies or other third parties, including class action litigation in certain jurisdictions, which would subject us to significant expense, as well as potential fines, sanctions, awards, penalties or judgments, all of which could have a material adverse effect on our business, financial condition, reputation,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be adversely affected by alleged violations of the Federal Trade Commission Act or other truth-in-advertising and consumer protection laws.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advertising for current and future products is subject to federal truth-in-advertising laws enforced by the Federal Trade Commission (“FTC”), as well as comparable state consumer protection laws.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material adverse effects on our business.</w:t>
      </w:r>
    </w:p>
    <w:p>
      <w:pPr>
        <w:spacing w:after="0" w:line="1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addition, with respect to any of our future products that are marketed as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Federal Food, Drug, and Cosmetic Act (“FDCA”).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product manufacturers’ use of social media platforms presents new risks.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potential customer base for future clinical diagnostic applications of our protein sequencing technologies may be active on social media. We intend to engage through those platforms to elevate our national marketing presence, both for our RUO product offerings and any future medical device product offerings. Social media practices in the medical device and biopharmaceutical industries are evolving, which creates uncertainty and risk of non-compliance with regulations applicable to our business. For example, there is a risk of inappropriate disclosure of sensitive information or negative or inaccurate posts or comments about us or our products on any social networking website. If these events were to occur or we otherwise fail to comply with any applicable regulations, we could incur liability, face restrictive regulatory actions or experience other harm to our business.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be issued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a reasonably limited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results of operations and cash flows.</w:t>
      </w:r>
    </w:p>
    <w:p>
      <w:pPr>
        <w:spacing w:after="0" w:line="1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Various courts, including the U.S. Supreme Court, have rendered decisions that impact the scope of patentability of certain inventions or discoveries relating to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U.S. Supreme Court rulings have narrowed the scope of patent protection available in certain circumstances and weakened the rights of patent owners in certain situations. In addition to some degree of uncertainty with regard to our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patent portfolio may be negatively impacted by current uncertainties in the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We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other countries are not as favorable as the United States in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entities or companies headquartered in particular jurisdictions over our first-in-time patents and other intellectual property protection. The absence of harmonized intellectual property protection laws and effective enforcement makes it difficult to ensure consistent respect for patents, trade secrets, and other intellectual property rights on a worldwide basis. As a result, it is possible that we will not be able to enforce our rights against third parties that misappropriate our proprietary technology in those countries.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Issued patents covering our products could be found invalid or unenforceable if challenged.</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Our owned and licensed patents and patent applications may be subject to validity, enforceability and priority disputes. The issuance of a patent is not conclusive as to our inventorship, scope, validity or enforceability. Some of our patents or patent applications (including licensed patents and patent applications) may be challenged at a future point in time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7"/>
          <w:szCs w:val="17"/>
          <w:i w:val="1"/>
          <w:iCs w:val="1"/>
          <w:color w:val="auto"/>
        </w:rPr>
        <w:t>ex 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they are successful, we could experience significant costs and our management may be distracted. Any of the foregoing events could have a material adverse effect on our business, financial condition, results of operations and prospects.</w:t>
      </w:r>
    </w:p>
    <w:p>
      <w:pPr>
        <w:spacing w:after="0" w:line="1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rely heavily on trade secrets and confidentiality agreements to protect our unpatented know-how, technology and other proprietary information,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and our business, financial condition, results of operations and prospects.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of our patents and other intellectual property.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alleged inventors such as employees, consultants or others who are involved in developing our products, some of whom may have conflicting IP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such third parties were to succeed in registering or developing common law rights in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results of operations and cash flows.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products for an adequate amount of time.</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additional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results of operations and cash flows.</w:t>
      </w:r>
    </w:p>
    <w:p>
      <w:pPr>
        <w:spacing w:after="0" w:line="1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to us alleged trade secrets of their other clients or former employers, which could subject us to costly litigation.</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spacing w:after="0" w:line="1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Our commercial success depends in part on our ability and the ability of future collaborators to develop, manufacture, market and sell our products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be issued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third parties, including our competitors, believe that our products or technologies infringe, misappropriate or otherwise violate their intellectual property, such third parties may seek to enforce against us their intellectual property, including patents,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license is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Third parties, including our competitors, could be infringing, misappropriating or otherwise violating our solely owned and/or in-licensed intellectual property rights. Monitoring unauthorized use of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will take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Alternatively or additionally, such proceeding could result in requiring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unpredictable.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Regardless of whether we are defending against or asserting an intellectual property-related claim in an intellectual property-related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3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licenses from third parties, and in the future may rely on additional licenses from other third parties, and if we lose any of these licenses, then we may be subjected to future litigation.</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results of operations or cash flows.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Moreover, disputes may also arise between us and our licensors regarding intellectual property subject to a license agreement, including:</w:t>
      </w:r>
    </w:p>
    <w:p>
      <w:pPr>
        <w:spacing w:after="0" w:line="220" w:lineRule="exact"/>
        <w:rPr>
          <w:sz w:val="20"/>
          <w:szCs w:val="20"/>
          <w:color w:val="auto"/>
        </w:rPr>
      </w:pPr>
    </w:p>
    <w:p>
      <w:pPr>
        <w:ind w:left="620" w:hanging="30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or other obligations under the license agreement;</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products, technology and processes infringe on intellectual property of the licensor that is not subject to the licensing agreement;</w:t>
      </w:r>
    </w:p>
    <w:p>
      <w:pPr>
        <w:ind w:left="620" w:hanging="30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and ownership of inventions and know-how resulting from the joint creation or use of intellectual property by our licensor(s);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Boreal and the University of British Columbia.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our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7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third-party open-source software components and failure to comply with the terms of the underlying open-source software licenses could restrict our ability to sell our products and provide third parties access to our proprietary software.</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products may contain software licensed by third parties under open-source software licenses. Use and distribution of open-source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the open-source software, depending on the type of open-source software the licensee uses and how the licensee uses it. If we combine our proprietary software with open-source software in a certain manner, we could, under certain open-source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open-source software have faced claims challenging their use of such open-source software and their compliance with the terms of the applicable open-source license. We may be subject to suits by third parties claiming ownership of what they believe to be open-source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systems.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we review our use of open-source software to avoid subjecting our proprietary software to conditions we do not intend, the terms of many open source-software licenses have not been interpreted by U.S. courts, and there is a risk that these licenses could be construed in a way that could impose unanticipated conditions or restrictions on our ability to commercialize our products and proprietary software. Moreover, our processes for monitoring and controlling our use of open-source software in our products may not be effective. If we are held to have breached the terms of an open-source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46" w:lineRule="exact"/>
        <w:rPr>
          <w:sz w:val="20"/>
          <w:szCs w:val="20"/>
          <w:color w:val="auto"/>
        </w:rPr>
      </w:pPr>
    </w:p>
    <w:p>
      <w:pPr>
        <w:ind w:left="620" w:hanging="304"/>
        <w:spacing w:after="0" w:line="266"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ind w:left="620" w:hanging="304"/>
        <w:spacing w:after="0" w:line="255"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might not have been the first to make the inventions covered by the issued patent or pending patent application that we license or may own in the future;</w:t>
      </w:r>
    </w:p>
    <w:p>
      <w:pPr>
        <w:ind w:left="620" w:hanging="30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might not have been the first to file patent applications covering certain of our or their inventions;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ind w:left="620" w:hanging="30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licensed patent applications or those that we may own in the future will not lead to issued patents;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hold rights to may be held invalid or unenforceable, including as a result of legal challenges by our competitors;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620" w:hanging="30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harm our business; and</w:t>
      </w:r>
    </w:p>
    <w:p>
      <w:pPr>
        <w:spacing w:after="0" w:line="12" w:lineRule="exact"/>
        <w:rPr>
          <w:rFonts w:ascii="Times New Roman" w:cs="Times New Roman" w:eastAsia="Times New Roman" w:hAnsi="Times New Roman"/>
          <w:sz w:val="17"/>
          <w:szCs w:val="17"/>
          <w:color w:val="auto"/>
        </w:rPr>
      </w:pPr>
    </w:p>
    <w:p>
      <w:pPr>
        <w:ind w:left="620" w:hanging="304"/>
        <w:spacing w:after="0" w:line="270"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for certain trade secrets or know-how, and a third party may subsequently file a patent covering such intellectual property.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any of these events occur, they could materially adversely affect our business, financial condition, results of operations and prospects.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 and to Being a Public Company</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outstanding warrants became exercisable for our Class A common stock in September 2021, which increased the number of shares eligible for future resale in the public market and resulted in dilution to our stockholders.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Business Combination, there were 3,833,319 outstanding warrants issued in connection with the initial public offering of HighCape (the “Public Warrants”) to purchase 3,833,319 shares of our Class A common stock at an exercise price of $11.50 per share, which warrants became exercisable on September 9, 2021. In addition, there are 135,000 private placement warrants (the “Private Warrants”) to purchase 135,000 shares of our Class A common stock at an exercise price of $11.50 per share. In certain circumstances, the Public Warrants and Private Warrants may be exercised on a cashless basis. To the extent such warrants are exercised, additional shares of our Class A common stock will be issued, which will result in dilution to the holders of our Class A common stock and increase the number of shares eligible for resale in the public market. Sales of substantial numbers of such shares in the public market could adversely affect the market price of our Class A common stock, the impact of which is increased as the value of our stock price increases.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warrants are accounted for as liabilities and changes in the value of our warrants could have a material effect on our financial results.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HighCape reevaluated the accounting treatment of its Public Warrants and Private Warrants and determined to classify the warrants as derivative liabilities measured at fair value, with changes in fair value each period reported in earnings.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As a result, included on our balance sheets as of December 31, 2023 and December 31, 2022 are derivative liabilities related to our warrants. Accounting Standards Codification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the warrants will be in the money prior to their expiration, and they may expire worthless.</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exercise price for our outstanding warrants is $11.50 per share of our Class A common stock. There can be no assurance that the warrants will be in the money prior to their expiration, and as such, the warrants may expire worthless.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There are currently outstanding an aggregate of 3,968,319 warrants to acquire shares of our Class A common stock, which comprise 135,000 Private Warrants held by HighCape’s initial stockholders at the time of HighCape’s initial public offering and 3,833,319 Public Warrants. Each of our outstanding whole warrants is exercisable as of September 9, 2021, for one share of our Class A common stock in accordance with its terms. Therefore, as of December 31, 2023, if we assume that each outstanding whole warrant is exercised and one share of HighCape Class A common stock is issued as a result of such exercise, with payment of the exercise price of $11.50 per share, our fully-diluted share capital would increase by a total of 3,968,319 shares, with approximately $45.6 million paid to us to exercise the warrants.</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experienced material weaknesses in our internal control over financial reporting, and if we experience such material weaknesses in our internal control over financial reporting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and corrected on a timely basis.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and prevent fraud. Material weaknesses could result in material misstatements to our annual or interim financial statements that might not be prevented or detected on a timely basis, or in delayed filing of required periodic reports. If we are unable to assert that our internal control over financing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reporting,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identify any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we may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We can provide no assurance that such litigation or dispute will not arise in the future. Any such litigation or dispute, whether successful or not, could have a material adverse effect on our business, financial condition, results of operations and cash flows.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We design our disclosure controls and procedures to reasonably assure that information we are required to disclose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or insufficient disclosure due to error or fraud may occur and we may not detect them.</w:t>
      </w:r>
    </w:p>
    <w:p>
      <w:pPr>
        <w:spacing w:after="0" w:line="1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Any failure to maintain effective internal controls and procedures over financial reporting could severely inhibit our ability to accurately report our financial condition, results of operations or cash flows.</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 long as more than 50% of the voting power for the election of our directors is held by an individual, a group or another company, we will qualify as a “controlled company” within the meaning of the Nasdaq listing rules. As of February 20, 2024, Dr. Rothberg controlled 79.9% of the voting power of our outstanding capital stock, including our Class A common stock and Class B common stock. As a result, we are a “controlled company” within the meaning of the Nasdaq corporate governance standards and are not subject to the requirements that would otherwise require us to have: (i) a majority of independent directors;</w:t>
      </w:r>
    </w:p>
    <w:p>
      <w:pPr>
        <w:spacing w:after="0" w:line="3" w:lineRule="exact"/>
        <w:rPr>
          <w:sz w:val="20"/>
          <w:szCs w:val="20"/>
          <w:color w:val="auto"/>
        </w:rPr>
      </w:pPr>
    </w:p>
    <w:p>
      <w:pPr>
        <w:ind w:firstLine="4"/>
        <w:spacing w:after="0" w:line="270" w:lineRule="auto"/>
        <w:tabs>
          <w:tab w:leader="none" w:pos="26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compensation committee comprised solely of independent directors; and (iii) director nominees selected, or recommended for our Board’s selection, either by a majority of the independent directors or a nominating committee comprised solely of independent directors.</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Dr. Rothberg may have his interest in us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requirements.</w:t>
      </w:r>
    </w:p>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has the effect of concentrating voting power with our Chairman of the Board and Founder, which will limit an investor’s ability to influence the outcome of important transactions, including a change in control.</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Shares of our Class B common stock have 20 votes per share, while shares of our Class A common stock have one vote per share. Dr. Rothberg and his affiliates hold all of the issued and outstanding shares of our Class B common stock, and as of February 20, 2024, Dr. Rothberg and his affiliates held 79.9% of the voting power of our capital stock, including our Class A common stock and Class B common stock and is able to control matters submitted to our stockholders for approval, including the election of directors, amendments to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If additional shares of our Class B common stock are issued, your shares and your votes may be significantly diluted.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predict the impact our dual class structure may have on the stock price of our Class A common stock.</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would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certificate of incorporation and bylaws could make a takeover proposal more difficult.</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organizational documents are governed by Delaware law. Certain provisions of Delaware law and of our certificate of incorporation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spacing w:after="0" w:line="170" w:lineRule="exact"/>
        <w:rPr>
          <w:sz w:val="20"/>
          <w:szCs w:val="20"/>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to issue one or more series of preferred stock;</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action by written consent only until the first time when Dr. Rothberg ceases to beneficially own a majority of the voting power of our capital stock;</w:t>
      </w: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limitations on convening special stockholder meetings;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for nominations of directors by stockholders and for stockholders to include matters to be considered at our annual meetings;</w:t>
      </w:r>
    </w:p>
    <w:p>
      <w:pPr>
        <w:spacing w:after="0" w:line="12" w:lineRule="exact"/>
        <w:rPr>
          <w:rFonts w:ascii="Times New Roman" w:cs="Times New Roman" w:eastAsia="Times New Roman" w:hAnsi="Times New Roman"/>
          <w:sz w:val="17"/>
          <w:szCs w:val="17"/>
          <w:color w:val="auto"/>
        </w:rPr>
      </w:pPr>
    </w:p>
    <w:p>
      <w:pPr>
        <w:jc w:val="both"/>
        <w:ind w:left="620" w:hanging="304"/>
        <w:spacing w:after="0" w:line="255"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of certain provisions of the organizational documents only by the affirmative vote of (i) a majority of the voting power of our capital stock so long as Dr. Rothberg beneficially owns shares representing a majority of the voting power of our capital stock and (ii) at least two-thirds of the voting power of the capital stock from and after the time that Dr. Rothberg ceases to beneficially own shares representing a majority of our voting power; and</w:t>
      </w:r>
    </w:p>
    <w:p>
      <w:pPr>
        <w:jc w:val="both"/>
        <w:ind w:left="620" w:hanging="304"/>
        <w:spacing w:after="0" w:line="270"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spacing w:after="0" w:line="3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Class A common stock. These provisions could also discourage proxy contests and make it more difficult for our stockholders to elect directors of their choosing and to cause us to take other corporate actions that our stockholders desire.</w:t>
      </w:r>
    </w:p>
    <w:p>
      <w:pPr>
        <w:spacing w:after="0" w:line="1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to the selection of an alternative forum, any (i) derivative action or proceeding brought on behalf of us; (ii) action asserting a claim of breach of a fiduciary duty owed by, or any other wrongdoing by, any current or former director, officer or other employee or stockholder of ours; (iii) action asserting a claim against us or any director or officer arising pursuant to any provision of the General Corporation Law of the State of Delaware (“DGCL”) or our certificate of incorporation or our bylaws; or (iv) action to interpret, apply, enforce, or determine the validity of any provisions in the certificate of incorporation of bylaws; or (v) action asserting a claim against us or any director or officer of ours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an interest in any shares of our capital stock shall be deemed to have notice of and to have consented to the forum provisions in our certificate of incorporation. These choice-of-forum provisions may limit a stockholder’s ability to bring a claim in a judicial forum that he, she or it believes to be favorable for disputes with us or our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3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Alternatively, if a court were to find these provisions of our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results of operations and cash flows and result in a diversion of the time and resources of our management and Board.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Creating and maintaining a secure information infrastructure is of paramount importance to Quantum-Si, and we have invested, and will continue to invest significant resources to ensure we maintain the most secure environment reasonably possible to protect our assets, customers and employees. Our Board of Directors, through our Audit Committee, is actively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other applicable industry standards. We address cybersecurity risks through a comprehensive, cross-functional approach that is focused on preserving the confidentiality, security and availability of the information we maintain by identifying, preventing and mitigating cybersecurity threats and effectively responding to cybersecurity incidents when they occur.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face a variety of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cybersecurity program to ensure our systems are effective and prepared for information security risks, including regular oversight of our programs for security monitoring for internal and external threats to ensure the confidentiality and integrity of our information assets. We employ a range of tools and services, including regular network and endpoint monitoring utilizing leading market monitoring tools, audits and vulnerability assessments including penetration testing to inform our risk identification and assessment. Our Audit Committee of the Board of Directors provides oversight of our cybersecurity risk management and strategy processes, which is led by our Chief Financial Officer.</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also identify our cybersecurity threat risks by comparing our processes to standards set by NIST as well as by engaging experts to attempt to penetrate our information systems. To provide for the availability of critical data and systems, manage our material risks from cybersecurity threats, and protect against and respond to cybersecurity incidents, we undertake the following activities:</w:t>
      </w:r>
    </w:p>
    <w:p>
      <w:pPr>
        <w:spacing w:after="0" w:line="162" w:lineRule="exact"/>
        <w:rPr>
          <w:sz w:val="20"/>
          <w:szCs w:val="20"/>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emerging data protection laws and implement changes to our processes that are designed to comply with such laws;</w:t>
      </w:r>
    </w:p>
    <w:p>
      <w:pPr>
        <w:spacing w:after="0" w:line="30"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our policies, practices and contracts (as applicable), require employees, as well as third parties that provide services on our behalf, to treat confidential information and data with care;</w:t>
      </w:r>
    </w:p>
    <w:p>
      <w:pPr>
        <w:jc w:val="both"/>
        <w:ind w:left="620" w:hanging="304"/>
        <w:spacing w:after="0" w:line="255"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ind w:left="620" w:hanging="304"/>
        <w:spacing w:after="0" w:line="255"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ind w:left="620" w:hanging="304"/>
        <w:spacing w:after="0" w:line="255"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regular phishing email simulations for all employees and contractors with access to our email systems to enhance awareness and responsiveness to possible threats;</w:t>
      </w:r>
    </w:p>
    <w:p>
      <w:pPr>
        <w:ind w:left="620" w:hanging="304"/>
        <w:spacing w:after="0" w:line="255"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the NIST incident handling framework to help us identify, protect, detect, respond and recover when there is an actual or potential cybersecurity incident; and</w:t>
      </w: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carry information security risk insurance that provides protection against the potential losses arising from a cybersecurity incident.</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part of the above processes, we regularly engage with consultants, auditors and other third parties in assisting in review our cybersecurity program to help identify areas for continued focus, improvement and compliance.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7"/>
          <w:szCs w:val="17"/>
          <w:i w:val="1"/>
          <w:iCs w:val="1"/>
          <w:color w:val="auto"/>
        </w:rPr>
        <w:t>If we experience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disruption in our information technology systems, including our Platinum Analysis Software services, or cybersecurity incidents, our business could be adversely affected”</w:t>
      </w:r>
      <w:r>
        <w:rPr>
          <w:rFonts w:ascii="Times New Roman" w:cs="Times New Roman" w:eastAsia="Times New Roman" w:hAnsi="Times New Roman"/>
          <w:sz w:val="17"/>
          <w:szCs w:val="17"/>
          <w:color w:val="auto"/>
        </w:rPr>
        <w:t>, which disclosures are incorporated by reference herein.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Despite our efforts to create security barriers to such threats, it is virtually impossible for us to completely mitigate these risks. In August 2020, we discovered ransomware on a server and engaged third-party forensics experts and outside counsel for incident response. We did not pay ransom to the attacker because the documents that were encrypted by the attacker were sufficiently backed up and the investigation further confirmed that no employee data or other personal information was accessed. We implemented a number of security enhancements as the incident unfolded and continue to implement short- and long-term security enhancements to further secure our network.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Governance; Management</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Cybersecurity is an important part of our broader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plan for our Chief Financial Officer to provide our Audit Committee with quarterly general risk assessment updates, which shall cover cyber risk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Our Audit Committee is also involved in the reporting function of our incident response plan which includes communication of any cybersecurity incident that meets our reporting thresholds, as well as ongoing updates regarding any such incident, until such incident has been resolved.</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cybersecurity risk management and strategy processes, which are discussed in greater detail above, are led by our Chief Financial Officer in conjunction with our General Counsel and our Head of Information Technology and report to our Audit Committee. In addition, we maintain an Information Technology Steering Committee, which is comprised of several senior members of the Company. Our Chief Financial Officer has over 10 years of experience in leading Information Technology departments at various companies. Our General Counsel has over 10 years of experience related to general legal matters, including in the capacity of understanding and guiding companies on Information Technology matters and the related risks. Our Head of Information Technology has over 30 years of relevant experience, including managing information security, developing cybersecurity strategy, implementing effective information and cybersecurity programs.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17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lease our executive office at 29 Business Park Drive, Branford, Connecticut 06405. We also lease office, laboratory and manufacturing space in San Diego, California and office space in Santa Clara, California and New Haven, Connecticut. Our semiconductor chip assembly and packaging business is located in Garnet Valley, Pennsylvania. Our leases expire at various dates through 2032. We believe that our current office, laboratory and assembly and packaging locations are sufficient to meet our needs at existing volume levels for the foreseeable future. For further information, please refer to Note 9. Leases, in the accompanying notes to our Consolidated Financial Statements included elsewhere in the Annual Report on Form 10-K.</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In April 2023, we informed the contract manufacturer that had manufactured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Carbon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instruments that we intended to wind down the relationship and transition to a different contract manufacturer. In October 2023, we were informed the contract manufacturer had filed a complaint in the state of Texas alleging breach of contract and made claims for economic damage under the contract as well as attorney costs. In January 2024 the suit was withdrawn and refiled in the state of Minnesota alleging similar claims. Although it is not possible to determine the potential financial exposure associated with the alleged claim at this time given its early stage, we believe we have a meritorious defense and intend to vigorously defend against all claims asserted in the complaint.</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jc w:val="both"/>
        <w:ind w:left="940" w:hanging="935"/>
        <w:spacing w:after="0" w:line="295" w:lineRule="auto"/>
        <w:tabs>
          <w:tab w:leader="none" w:pos="92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Class A common stock and warrants to purchase Class A common stock are listed on Nasdaq under the symbols “QSI” and “QSIAW”,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February 20, 2024, we had approximately 121,832,417 shares of Class A common stock issued and outstanding held of record by 75 holders, approximately 19,937,500 shares of Class B common stock issued and outstanding held of record by two holders, 3,833,319 public warrants held of record by two holders and 135,000 private placement warrants issued in connection with HighCape’s initial public offering held of record by three holders, each exercisable for one share of Class A Common Stock at a price of $11.50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no public market for our Class B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or Class B common stock to date, and we do not anticipate paying any cash dividends in the foreseeable future.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management believes is relevant to an assessment and understanding of our consolidated results of operations and financial condition. The discussion should be read in conjunction with the Consolidated Financial Statements and Notes thereto contained in this Annual Report on Form 10-K. This discussion contains forward looking statements and involves numerous risks and uncertainties, including, but not limited to, those described in the “Risk Factors” section of this Annual Report on Form 10-K. Actual results may differ materially from those contained in any forward-looking statements. For a discussion on forward-looking statements, see the information set forth in the introductory note to this Annual Report under the caption “Cautionary Note Regarding Forward Looking Statements,” which information is incorporated herein by reference. Unless the context otherwise requires, references to “we”, “us”, “our”, the “Company” or “Quantum-Si” are intended to mean the business and operations of Quantum-Si Incorporated and its consolidated subsidiaries. For discussion and analysis pertaining to the year ended December 31, 2022 overview and highlights as compared to the year ended December 31, 2021, please refer to the Company’s Annual Report on Form 10-K, as filed with the SEC on March 17,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7"/>
          <w:szCs w:val="17"/>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NGPS, the ability to sequence proteins in a massively parallel fashion (rather than sequentially, one at a time), that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as originally planned, was designed to offer an end-to-end workflow including both sample preparation and sequencing and was comprised of Carbon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our automated sample preparation instrument,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NGPS instrument, the Platinum Analysis Software service, and reagent kits and proprietary semiconductor chips for use with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In 2021, we introduced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early access program to sites with participation from leading academic centers and key industry partners. The early access program introduced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single-molecule sequencing system to key opinion leaders across the globe, for both expansion and development of applications and workflows. We began a controlled launch of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and started to take orders in December 2022, and subsequently began limited commercial shipments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January 2023.</w:t>
      </w:r>
    </w:p>
    <w:p>
      <w:pPr>
        <w:spacing w:after="0" w:line="42" w:lineRule="exact"/>
        <w:rPr>
          <w:sz w:val="20"/>
          <w:szCs w:val="20"/>
          <w:color w:val="auto"/>
        </w:rPr>
      </w:pPr>
    </w:p>
    <w:p>
      <w:pPr>
        <w:jc w:val="both"/>
        <w:spacing w:after="0" w:line="186" w:lineRule="auto"/>
        <w:rPr>
          <w:sz w:val="20"/>
          <w:szCs w:val="20"/>
          <w:color w:val="auto"/>
        </w:rPr>
      </w:pPr>
      <w:r>
        <w:rPr>
          <w:rFonts w:ascii="Times New Roman" w:cs="Times New Roman" w:eastAsia="Times New Roman" w:hAnsi="Times New Roman"/>
          <w:sz w:val="17"/>
          <w:szCs w:val="17"/>
          <w:color w:val="auto"/>
        </w:rPr>
        <w:t>Since our initial launch of the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instrument, we have found that, consistent with other proteomics detection technologies, customers select the biological sample type and sample preparation method they use. The range of sample types and sample preparation methods utilized in proteomics is extensive and often some level of optimization is required to make them compatible with the downstream detection technology. Our initial platform contemplated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as an automated sample preparation instrument. While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could help reduce sample preparation variation and streamline the end-to-end workflow in utilizing our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protein sequencing instrument, it is not an absolute requirement, and may not be the best solution long-term. To this end, in October 2023, we completed an evaluation of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as it relates to the workflow and in comparison to other potential liquid handler and sample preparation solutions. This evaluation concluded that pursuing efforts to continue development of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was not the most effective use of our research and development efforts and therefore, we paused development related to Carbon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7"/>
          <w:szCs w:val="17"/>
          <w:color w:val="auto"/>
        </w:rPr>
        <w:t xml:space="preserve"> to focus efforts on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our reagent kits and semiconductor chips for use on Platinum</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and our Platinum Analysis Software environment as our go forward platform to maximize value.</w:t>
      </w:r>
    </w:p>
    <w:p>
      <w:pPr>
        <w:spacing w:after="0" w:line="18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Now that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Platinum Analysis Software system has launched, we intend to follow a systematic, phased approach to continue to successfully launch updates to our platform. We believe we are the first company to successfully enable NGPS on a semiconductor chip, thus digitizing a massive proteomics opportunity, which allows for a massively parallel solution at the ultimate level of sensitivity -single-molecule detection.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our platform offers a differentiated workflow solution in a rapidly evolving proteomics tools market. Within our initial focus market of proteomics, our workflow is designed to provide users a seamless opportunity to gain key insights into the immediate state of biological pathways and cell state. Our platform aims to address many of the key challenges and bottlenecks with legacy proteomic solutions, such as MS, high instrument costs both in terms of acquisition and ownership and complexity with data analysis, which together prevent broad adoption. We believe our platform, which is designed to streamline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On May 11, 2023, the federal public health emergency for COVID-19, declared under Section 319 of the Public Health Service Act, expired.</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not incurred significant impairment losses in the carrying values of our assets as a result of the COVID-19 pandemic and are not aware of any specific related event or circumstance that would require us to revise our estimates reflected in the Consolidated Financial Statements. We will continue to evaluate the impact of the COVID-19 pandemic on our industry. We have concluded that, while it is possible that the virus could have a future negative effect on our financial position, results of operations and cash flows in the Consolidated Financial Statements, the specific future impact is not readily determinable as of the date of the filing of this Annual Report on Form 10-K. The Consolidated Financial Statements do not include any adjustments that might result from the outcome of this uncertainty.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Global Developments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Throughout 2022 and 2023, various central banks around the world, including the Federal Reserve in the United States, raised interest rates. While these rate increases have not had a significant adverse impact to date, the impact of such rate increases on the overall financial markets and the economy may adversely impact us in the future.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3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Although we do not expect to be significantly impacted by the conflicts in Ukraine or Israel and Gaza, we have experienced some constraints in product and material availability and increasing costs required to obtain some materials and supplies as a result of these conflicts on the global economy. To date, our business has not been materially impacted by the conflicts, however, as the conflicts continue or worsen, it may impact our business, financial condition or results of operations.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June 10, 2021, we consummated the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 on the day of the Closing. For further details on the impact of the Business Combination, please refer to Note 3. Business Combination, in the accompanying notes to our Consolidated Financial Statements included elsewhere in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In April 2023, we informed the contract manufacturer that had manufactured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Carbon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instruments that we intended to wind down the relationship and transition to a different contract manufacturer. In October 2023, we were informed the contract manufacturer had filed a complaint in the state of Texas alleging breach of contract and made claims for economic damage under the contract as well as attorney costs. In January 2024 the suit was withdrawn and refiled in the state of Minnesota alleging similar claims. Although it is not possible to determine the potential financial exposure associated with the alleged claim at this time given its early stage, we believe we have a meritorious defense and intend to vigorously defend against all claims asserted in the complaint.</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August 2023, we filed a universal shelf registration statement on Form S-3 (the “Shelf Registration Statement”), which became effective on August 22, 2023, covering the offering of Class A common stock, preferred stock, debt securities, warrants, rights and units.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August 2023, we also entered into an Equity Distribution Agreement (“EDA”) with an outside placement agent (the “Agent”), under which we may, from time to time, sell shares of our Class A common stock having an aggregate offering price of up to $75.0 million in “at-the-market” offerings through the Agent (the “ATM Offering”). The Shelf Registration Statement included a prospectus supplement covering the offering, issuance and sale of up to $75.0 million of our Class A common stock, from time to time, through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 results may differ from these estimates under different assumptions or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We recognize revenue when or as a customer obtains control of the promised goods and services. The amount of revenue recognized reflects the consideration to which we expect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We have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allocate transaction price to the performance obligations in a contract with a customer based on the relative standalone selling price of each performance obligation. We determine standalone selling price based on the price at which the performance obligation is sold separately. If the standalone selling price is not observable through past transactions, we estimate the standalone selling price taking into account available information and specific factors such as competitive positioning, internal costs, profit objectives, and internally approved pricing guidelines related to the performance obligation.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consider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We typically provide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Consolidated Statements of Operations and Comprehensive Loss. We have determined this standard first-year warranty is not a distinct performance obligation.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Stock-based Compensation</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non-financing event performance conditions on an accelerated basis is recognized as though each vesting portion of the award was, in substance, a separate award.</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Prior to the Business Combination, the fair value of the shares of common stock underlying stock options had historically been determined by the Board, with input from management and contemporaneous third-party valuations, as there was no public market for the common stock. Given the absence of a public trading market for our common stock, the Board exercised reasonable judgment and considered numerous objective and subjective factors to determine the best estimate of the fair value of our common stock at each option grant date.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After the completion of the Business Combination, we measure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we expense stock-based compensation using the straight-line method over the requisite service period for the entire award. For awards with a market condition, we expense the grant date fair value at the target over the vesting period regardless of the value the award recipients ultimately receive. The fair value of restricted stock without a market condition is estimated using the current market price of our common stock on the date of grant. The fair value of stock option grants with a market condition is estimated at the date of grant using the Monte Carlo simulation model (“Monte Carlo”). The fair values of stock option grants are estimated as of the date of grant by applying the Black-Scholes option valuation model (“Black-Scholes”). The Black-Scholes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Black-Scholes is affected by the stock price on the date of the grant as well as assumptions regarding a number of highly complex and subjective variables. These variables include the expected term of the option, expected risk-free interest rate, the expected volatility of common stock, and expected dividend yield; each of which is described below. The assumptions for expected term and expected volatility are the two assumptions that significantly affect the grant date fair value.</w:t>
      </w:r>
    </w:p>
    <w:p>
      <w:pPr>
        <w:spacing w:after="0" w:line="160" w:lineRule="exact"/>
        <w:rPr>
          <w:sz w:val="20"/>
          <w:szCs w:val="20"/>
          <w:color w:val="auto"/>
        </w:rPr>
      </w:pPr>
    </w:p>
    <w:p>
      <w:pPr>
        <w:ind w:left="620" w:hanging="304"/>
        <w:spacing w:after="0" w:line="267"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We calculate the expected term using the “simplified” method, which is the simple average of the vesting period and the contractual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w:t>
      </w:r>
    </w:p>
    <w:p>
      <w:pPr>
        <w:spacing w:after="0" w:line="218"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risk-free interest rate for periods within the expected term of the awards is based on the U.S. Treasury yield curve in effect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of the grant.</w:t>
      </w:r>
    </w:p>
    <w:p>
      <w:pPr>
        <w:ind w:left="620" w:hanging="304"/>
        <w:spacing w:after="0" w:line="255"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Stock Price Volatility</w:t>
      </w:r>
      <w:r>
        <w:rPr>
          <w:rFonts w:ascii="Times New Roman" w:cs="Times New Roman" w:eastAsia="Times New Roman" w:hAnsi="Times New Roman"/>
          <w:sz w:val="17"/>
          <w:szCs w:val="17"/>
          <w:color w:val="auto"/>
        </w:rPr>
        <w:t>: We determined expected annual equity volatility based on the combination of the historical volatility of our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and the historical volatility of the common stock comparable to our common stock.</w:t>
      </w:r>
    </w:p>
    <w:p>
      <w:pPr>
        <w:ind w:left="620" w:hanging="304"/>
        <w:spacing w:after="0" w:line="255"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Dividend Yield</w:t>
      </w:r>
      <w:r>
        <w:rPr>
          <w:rFonts w:ascii="Times New Roman" w:cs="Times New Roman" w:eastAsia="Times New Roman" w:hAnsi="Times New Roman"/>
          <w:sz w:val="17"/>
          <w:szCs w:val="17"/>
          <w:color w:val="auto"/>
        </w:rPr>
        <w:t>: Because we have never paid a dividend and do not expect to begin doing so in the foreseeable future, we assume no dividend yield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valuing the stock-based awards.</w:t>
      </w: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The exercise price is taken directly from the grant notice issued to employees and nonemployees.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Stock options granted to non-employees are accounted for based on their fair value on the measurement date using the Black-Scholes option-pricing model. For further information regarding our stock-based compensation and equity incentive plans, please refer to Note 2. Summary of Significant Accounting Policies, and Note 12. Stock-based Compensation, in the accompanying notes to our Consolidated Financial Statements included elsewhere in this Annual Report on Form 10-K.</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Warrant Liability</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Outstanding warrants include Public Warrants which were issued as one-third of one redeemable warrant per unit during HighCape’s initial public offering on September 9, 2020, and Private Warrants sold to the Sponsor. The Public Warrants and Private Warrants meet the definition of a derivative and we recorded these warrants as long-term liabilities in the Consolidated Balance Sheets at fair value upon the Closing of the Business Combination, with subsequent changes in their respective fair values recognized in the Consolidated Statements of Operations and Comprehensive Loss at each reporting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Inventory</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 During the year ended December 31, 2023, we identified $3.4 million of product that no longer had an alternative future use and therefore was included as part of research and development expense.</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assessment of the recoverability of capitalized inventory is performed during each reporting period and, if needed, we record a reserve for any excess and obsolete inventory to record inventory at its estimated net realizable value in the period it is identified. We also recorded an immaterial inventory excess and obsolescence reserve related to cost of revenue. There were no such reserves recorded against inventory for the years ended December 31, 2022 or 2021.</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For further information regarding our significant accounting policies and estimates, please refer to Note 2. Summary of Significant Accounting Policies, in the accompanying notes to our Consolidated Financial Statements included elsewhere in this Annual Report on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Recently Issued Accounting Pronouncements</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For a discussion of recently adopted accounting pronouncements and accounting pronouncements pending adoption, please refer to Note 2. Summary of Significant Accounting Policies, in the Consolidated Financial Statements included elsewhere in this Annual Report on Form 10-K.</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year ended December 31, 2023 as compared with the year ended December 31, 2022</w:t>
      </w:r>
    </w:p>
    <w:p>
      <w:pPr>
        <w:spacing w:after="0" w:line="222"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Consolidated Statements of Operations and Comprehensive Loss for the years ended December 31, 2023 and 2023 (dollars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7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20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r>
      <w:tr>
        <w:trPr>
          <w:trHeight w:val="208"/>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r>
      <w:tr>
        <w:trPr>
          <w:trHeight w:val="26"/>
        </w:trPr>
        <w:tc>
          <w:tcPr>
            <w:tcW w:w="7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8"/>
        </w:trPr>
        <w:tc>
          <w:tcPr>
            <w:tcW w:w="7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r>
      <w:tr>
        <w:trPr>
          <w:trHeight w:val="208"/>
        </w:trPr>
        <w:tc>
          <w:tcPr>
            <w:tcW w:w="7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4"/>
        </w:trPr>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r>
      <w:tr>
        <w:trPr>
          <w:trHeight w:val="214"/>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r>
      <w:tr>
        <w:trPr>
          <w:trHeight w:val="208"/>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72,062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8"/>
        </w:trPr>
        <w:tc>
          <w:tcPr>
            <w:tcW w:w="7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42,296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w:t>
            </w:r>
          </w:p>
        </w:tc>
      </w:tr>
      <w:tr>
        <w:trPr>
          <w:trHeight w:val="208"/>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Goodwill impairment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9,483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6"/>
        </w:trPr>
        <w:tc>
          <w:tcPr>
            <w:tcW w:w="7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4"/>
        </w:trPr>
        <w:tc>
          <w:tcPr>
            <w:tcW w:w="7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123,841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(111,171)</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(123,841)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8"/>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Dividend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5,301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79.9%</w:t>
            </w:r>
          </w:p>
        </w:tc>
      </w:tr>
      <w:tr>
        <w:trPr>
          <w:trHeight w:val="20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on marketable securities,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(20,603)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r>
      <w:tr>
        <w:trPr>
          <w:trHeight w:val="208"/>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0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6"/>
        </w:trPr>
        <w:tc>
          <w:tcPr>
            <w:tcW w:w="7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8"/>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(95,960)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(132,442)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0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nm</w:t>
            </w:r>
          </w:p>
        </w:tc>
      </w:tr>
      <w:tr>
        <w:trPr>
          <w:trHeight w:val="26"/>
        </w:trPr>
        <w:tc>
          <w:tcPr>
            <w:tcW w:w="7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8"/>
        </w:trPr>
        <w:tc>
          <w:tcPr>
            <w:tcW w:w="7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and comprehensive loss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(95,960)</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(132,442)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0"/>
        </w:trPr>
        <w:tc>
          <w:tcPr>
            <w:tcW w:w="7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Cost of Revenue and Gross Profit</w:t>
      </w:r>
    </w:p>
    <w:p>
      <w:pPr>
        <w:spacing w:after="0" w:line="21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Revenue is derived from sales of products and services. Product revenue is generated from the following sources: (i) sales of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(ii) consumables, which consist of sales of our library, sequencing reagents and semiconductor chips, and (iii) freight revenue, which is recognized upon shipment. Service revenue is generated from service maintenance contracts including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Analysis Software access, and advanced training for instrument use.</w:t>
      </w:r>
    </w:p>
    <w:p>
      <w:pPr>
        <w:spacing w:after="0" w:line="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excess and obsolescence reserves.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Cost of revenue and Gross profit for the years ended December 31, 2023 and 2022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4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1,082</w:t>
            </w: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1"/>
              </w:rPr>
              <w:t>nm</w:t>
            </w:r>
          </w:p>
        </w:tc>
        <w:tc>
          <w:tcPr>
            <w:tcW w:w="20" w:type="dxa"/>
            <w:vAlign w:val="bottom"/>
          </w:tcPr>
          <w:p>
            <w:pPr>
              <w:spacing w:after="0"/>
              <w:rPr>
                <w:sz w:val="18"/>
                <w:szCs w:val="18"/>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594</w:t>
            </w:r>
          </w:p>
        </w:tc>
        <w:tc>
          <w:tcPr>
            <w:tcW w:w="1000" w:type="dxa"/>
            <w:vAlign w:val="bottom"/>
          </w:tcPr>
          <w:p>
            <w:pPr>
              <w:ind w:left="780"/>
              <w:spacing w:after="0"/>
              <w:rPr>
                <w:sz w:val="20"/>
                <w:szCs w:val="20"/>
                <w:color w:val="auto"/>
              </w:rPr>
            </w:pPr>
            <w:r>
              <w:rPr>
                <w:rFonts w:ascii="Times New Roman" w:cs="Times New Roman" w:eastAsia="Times New Roman" w:hAnsi="Times New Roman"/>
                <w:sz w:val="17"/>
                <w:szCs w:val="17"/>
                <w:color w:val="auto"/>
                <w:w w:val="91"/>
              </w:rPr>
              <w:t>nm</w:t>
            </w:r>
          </w:p>
        </w:tc>
        <w:tc>
          <w:tcPr>
            <w:tcW w:w="20" w:type="dxa"/>
            <w:vAlign w:val="bottom"/>
          </w:tcPr>
          <w:p>
            <w:pPr>
              <w:spacing w:after="0"/>
              <w:rPr>
                <w:sz w:val="18"/>
                <w:szCs w:val="18"/>
                <w:color w:val="auto"/>
              </w:rPr>
            </w:pPr>
          </w:p>
        </w:tc>
      </w:tr>
      <w:tr>
        <w:trPr>
          <w:trHeight w:val="24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1"/>
              </w:rPr>
              <w:t>nm</w:t>
            </w:r>
          </w:p>
        </w:tc>
        <w:tc>
          <w:tcPr>
            <w:tcW w:w="20" w:type="dxa"/>
            <w:vAlign w:val="bottom"/>
          </w:tcPr>
          <w:p>
            <w:pPr>
              <w:spacing w:after="0"/>
              <w:rPr>
                <w:sz w:val="21"/>
                <w:szCs w:val="21"/>
                <w:color w:val="auto"/>
              </w:rPr>
            </w:pP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Gross profit margin</w:t>
            </w:r>
          </w:p>
        </w:tc>
        <w:tc>
          <w:tcPr>
            <w:tcW w:w="2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45.1%</w:t>
            </w:r>
          </w:p>
        </w:tc>
        <w:tc>
          <w:tcPr>
            <w:tcW w:w="88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6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We began a controlled launch of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and started to take orders in December 2022. We subsequently began limited commercial shipments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January 2023.</w:t>
      </w:r>
    </w:p>
    <w:p>
      <w:pPr>
        <w:spacing w:after="0" w:line="3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Total revenue recognized for the year ended December 31, 2023 was $1.1 million for the sale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instruments, related reagent kits and service maintenance contracts. Cost of revenue recognized for the year ended December 31, 2023 was $0.6 million. Gross profit was $0.5 million for the year ended December 31, 2023. There was no such revenue or cost of revenue recognized, or gross profit for the year ended December 31, 2022.</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Research and Development Expenses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and development expenses for the years ended December 31, 2023 and 2022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bl>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Research and development expenses decreased by $5.0 million, or 7.0%, for the year ended December 31, 2023 compared to the year ended December 31, 2022. This decrease was primarily due to a $5.3 million decrease in fabrication and outsourced services, a $2.0 million decrease in payroll and payroll-related costs primarily driven by restructuring activities in 2023, and a $1.9 million decrease in collaboration costs. The decreases were also partially offset by a $3.4 million increase in reserves in related to product that no longer had an alternative future use, a $1.5 million increase in depreciation and amortization expense as well as other small fluctuations from 2022. During the fourth quarter of 2023 we secured critical parts required to transition our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contract manufacturing process to a new manufacturing partner. As part of this process, we were required to buy a minimum amount of parts from our former contracted manufacturer, resulting in $3.4 million of inventory without an alternative future use being included in the aforementioned inventory reserve.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Selling, General and Administrative Expenses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Selling, general and administrative expenses for the years ended December 31, 2023 and 2022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bl>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increased by $2.3 million, or 5.5%, for the year ended December 31, 2023 as compared to the year ended December 31, 2022. This increase was primarily due to a $2.9 million increase in consulting costs, a $1.6 million increase in payroll and payroll-related costs and a $0.6 million increase in trade show costs. Payroll and payroll-related costs increased primarily due to increased headcount for anticipated ramp up of commercial sales and also severance related restructuring costs. These increases were partially offset by a $3.4 million decrease in other costs, primarily driven by a $1.6 million decrease in insurance costs from lower market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Goodwill Impairment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impairment for the years ended December 31, 2023 and 2022 is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Goodwill impairment decreased for the year ended December 31, 2023 compared to the year ended December 31, 2022. Goodwill was recorded as part of the Majelac Technologies LLC (“Majelac”) acquisition in 2021 and was fully impaired in the fourth quarter of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Dividend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 income primarily consists of dividends earned on fixed income mutual funds classified as marketable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 income for the years ended December 31, 2023 and 2022 is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income</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9,536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5,301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Dividend income increased by $4.2 million for the year ended December 31, 2023 compared to the year ended December 31, 2022 as a result of higher dividends earned on invested balances in marketable securities.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Gain (Loss) on Marketable Securities,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Gain (loss) on marketable securities, net, for the years ended December 31, 2023 and 2022 is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on marketable securities, net</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5,587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r>
    </w:tbl>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Realized and unrealized gain (loss) on marketable securities, net, was a gain of $5.6 million for the year ended December 31, 2023 as compared to a loss of $20.6 million for the year ended December 31, 2022. The current year gains related to market adjustments of investments in marketable securities, primarily resulting from a decrease in interest rates during the year ended December 31, 2023 as compared to increases in interest rates during the year ended December 31, 2022. These gains were partially offset by an increase in marketable securities sold with associated realized losses during the year ended December 31, 2023 as compared to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Change in Fair Value of Warrant Liabilities</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warrant liabilities were recorded at fair value as part of the Business Combination. Change in fair value of warrant liabilities primarily consists of the change in the fair value of our Public Warrants and Private Warrants.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warrant liabilities for the years ended December 31, 2023 and 2022 is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(278)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warrant liabilities decreased $6.5 million, or 104.5%, for the year ended December 31, 2023 compared to the year ended December 31,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decrease was primarily driven by the decrease in the underlying price of our Class A common stock experienced during the year ended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income,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net, for the years ended December 31, 2023 and 2022 are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0"/>
                <w:szCs w:val="20"/>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bl>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income, net, decreased by $0.1 million, or 20.1%, for the year ended December 31, 2023 compared to the year ended December 31, 2022. For the year ended December 31, 2023, Other income, net, included a $0.4 million gain for the write off of contingent consideration related to the Majelac acquisition. For the year ended December 31, 2022, Other income, net, included a $0.5 million decrease in fair value related to the Majelac acquisition. For further details regarding the acquisition of Majelac, please refer to Note 4. Acquisition, in the accompanying notes to the Consolidated Financial Statements included elsewhere in the Annual Report on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To date, we have financed our operations through the initial capital provided from the Business Combination. Going forward, we anticipate debt or equity offerings will be the primary source of funds to support our operating needs and capital expenditures until we reach scale of our commercial operations.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following table presents a summary of our consolidated cash flows for operating, investing, and financing activities for the years ended December 31, 2023 and 2022, as well as the period ending cash and cash equivalents and working capital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0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45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(94,036)</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(90,560)</w:t>
            </w:r>
          </w:p>
        </w:tc>
      </w:tr>
      <w:tr>
        <w:trPr>
          <w:trHeight w:val="208"/>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137,185</w:t>
            </w:r>
          </w:p>
        </w:tc>
      </w:tr>
      <w:tr>
        <w:trPr>
          <w:trHeight w:val="214"/>
        </w:trPr>
        <w:tc>
          <w:tcPr>
            <w:tcW w:w="4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1,909</w:t>
            </w:r>
          </w:p>
        </w:tc>
      </w:tr>
      <w:tr>
        <w:trPr>
          <w:trHeight w:val="248"/>
        </w:trPr>
        <w:tc>
          <w:tcPr>
            <w:tcW w:w="4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4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49,541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41"/>
        </w:trPr>
        <w:tc>
          <w:tcPr>
            <w:tcW w:w="4360" w:type="dxa"/>
            <w:vAlign w:val="bottom"/>
          </w:tcPr>
          <w:p>
            <w:pPr>
              <w:spacing w:after="0"/>
              <w:rPr>
                <w:sz w:val="24"/>
                <w:szCs w:val="24"/>
                <w:color w:val="auto"/>
              </w:rPr>
            </w:pPr>
          </w:p>
        </w:tc>
        <w:tc>
          <w:tcPr>
            <w:tcW w:w="4320" w:type="dxa"/>
            <w:vAlign w:val="bottom"/>
          </w:tcPr>
          <w:p>
            <w:pPr>
              <w:jc w:val="right"/>
              <w:ind w:right="2902"/>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436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cash used in operating activities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net cash used in operating activities of $94.0 million for the year ended December 31, 2023 was primarily due to our net loss of $96.0 million, which primarily resulted from continued spend on research and development efforts and commercialization ramp up, stock-based compensation of $8.5 million, net cash outflows from changes in operating assets and liabilities of $6.6 million, realized and unrealized gain (loss) on marketable securities, net, of $5.6 million and depreciation and amortization of $4.2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cash provided by investing activities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net cash provided by investing activities of $143.4 million in the year ended December 31, 2023 was due primarily to sales of marketable securities of $272.5 million, partially offset by purchases of marketable securities of $123.8 million and purchases of property and equipment of $4.5 million. Of the property and equipment spend, approximately $4.1 million was utilized to expand our Branford, Connecticut facility with the remaining amount primarily utilized to fund research and development equipment.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cash provided by financing activities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net cash provided by financing activities of $0.1 million in the year ended December 31, 2023 was due primarily to approximately $0.4 million of proceeds from the exercise of stock options. These proceeds were offset by approximately $0.2 million of deferred offering costs paid for the Shelf Registration Statement and the ATM Offering, both of which are defined and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Liquidity Outlook</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Closing. Our primary uses of liquidity have been operating expenses, capital expenditures and our acquisition of certain assets of Majelac. Cash flows from operations have been historically negative as we continue to invest in the development of our technology in NGPS. We expect to incur negative operating cash flows on an annual basis for the foreseeable future until such time that we can successfully reach commercial scale of our current products and products under development. However, we can provide no assurance our current products will reach commercial scale, or products under development will be successfully commercialized in the future.</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expect that our cash and cash equivalents and investments in marketable securities as of December 31, 2023, which includes the funds raised in connection with the Business Combination, will be sufficient to meet our liquidity, capital expenditure, and anticipated working capital requirements and fund our operations for at least the next 12 months. We expect to use the funds on hand to continue to invest in the commercial launch of our products, to further invest in research and development, for other operating expenses, business acquisitions and for working capital and general corporate purposes.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2023, we had cash and cash equivalents and investments in marketable securities totaling $257.7 million. Our future capital requirements may vary from those currently planned and will depend on various factors including the pace and success of product commercialization.</w:t>
      </w:r>
    </w:p>
    <w:p>
      <w:pPr>
        <w:spacing w:after="0" w:line="1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launched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and started to take orders in December 2022 and we began commercial shipments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 January 2023.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spacing w:after="0" w:line="36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August 2023, we filed a universal shelf registration statement on Form S-3 (the “Shelf Registration Statement”), which became effective on August 22, 2023, covering the offering of Class A common stock, preferred stock, debt securities, warrants, rights and units.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August 2023, we also entered into an Equity Distribution Agreement (“EDA”) with an outside placement agent (the “Agent”), under which we may, from time to time, sell shares of our Class A common stock having an aggregate offering price of up to $75.0 million in “at-the-market” offerings through the Agent (the “ATM Offering”). The Shelf Registration Statement included a prospectus supplement covering the offering, issuance and sale of up to $75.0 million of our Class A common stock, from time to time, through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For a description of our related party transactions, please refer to Note 17. Related Party Transactions, in the accompanying notes to the Consolidated Financial Statements included elsewhere in the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year ended December 31, 2023, capital expenditures were $4.5 million. We forecast capital expenditures in order to execute on our business plan and maintain growth; however, the actual amount and timing of such capital expenditures will ultimately be determined by the volume of business. We anticipate our future capital expenditures will be at approximately the same level as compared to the year ended December 31, 2023. We have funded and plan to continue funding these capital expenditures with cash and financing.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lease certain facilities and equipment under noncancelable lease agreements that expire at various dates through 2032. As of December 31, 2023, the future payments, before adjustments for tenant incentives, under leases was $31.1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Licenses related to certain intellectual property</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license certain intellectual property, some of which may be utilized in our current or future product offerings. To preserve the right to use such intellectual property, there are minimum annual fixed royalty payments of approximately $0.1 million.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Inflation rates in the United States increased significantly during the year ended December 31, 2023. 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December 31, 2023,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short-term nature of our holdings, future interest rate changes are not expected to have a material impact on our marketable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Consolidated Financial Statements. However, the growth of our operations, scope of transactions outside the United States, and the use of currencies other than the U.S. Dollar may grow in the future, at which point it is possible foreign current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932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r>
      <w:tr>
        <w:trPr>
          <w:trHeight w:val="370"/>
        </w:trPr>
        <w:tc>
          <w:tcPr>
            <w:tcW w:w="1030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940" w:type="dxa"/>
            <w:vAlign w:val="bottom"/>
          </w:tcPr>
          <w:p>
            <w:pPr>
              <w:spacing w:after="0"/>
              <w:rPr>
                <w:sz w:val="24"/>
                <w:szCs w:val="24"/>
                <w:color w:val="auto"/>
              </w:rPr>
            </w:pPr>
          </w:p>
        </w:tc>
      </w:tr>
      <w:tr>
        <w:trPr>
          <w:trHeight w:val="416"/>
        </w:trPr>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20" w:type="dxa"/>
            <w:vAlign w:val="bottom"/>
            <w:gridSpan w:val="6"/>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94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8"/>
        </w:trPr>
        <w:tc>
          <w:tcPr>
            <w:tcW w:w="10300" w:type="dxa"/>
            <w:vAlign w:val="bottom"/>
            <w:gridSpan w:val="10"/>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 Deloitte &amp; Touche LLP </w:t>
            </w:r>
            <w:r>
              <w:rPr>
                <w:rFonts w:ascii="Times New Roman" w:cs="Times New Roman" w:eastAsia="Times New Roman" w:hAnsi="Times New Roman"/>
                <w:sz w:val="17"/>
                <w:szCs w:val="17"/>
                <w:color w:val="000000"/>
              </w:rPr>
              <w:t>(PCAOB ID: 34)</w:t>
            </w:r>
          </w:p>
        </w:tc>
        <w:tc>
          <w:tcPr>
            <w:tcW w:w="940" w:type="dxa"/>
            <w:vAlign w:val="bottom"/>
            <w:shd w:val="clear" w:color="auto" w:fill="CCEEFF"/>
          </w:tcPr>
          <w:p>
            <w:pPr>
              <w:jc w:val="right"/>
              <w:ind w:right="333"/>
              <w:spacing w:after="0" w:line="169" w:lineRule="exact"/>
              <w:rPr>
                <w:sz w:val="20"/>
                <w:szCs w:val="20"/>
                <w:color w:val="auto"/>
              </w:rPr>
            </w:pPr>
            <w:r>
              <w:rPr>
                <w:rFonts w:ascii="Times New Roman" w:cs="Times New Roman" w:eastAsia="Times New Roman" w:hAnsi="Times New Roman"/>
                <w:sz w:val="17"/>
                <w:szCs w:val="17"/>
                <w:color w:val="auto"/>
              </w:rPr>
              <w:t>73</w:t>
            </w:r>
          </w:p>
        </w:tc>
      </w:tr>
      <w:tr>
        <w:trPr>
          <w:trHeight w:val="178"/>
        </w:trPr>
        <w:tc>
          <w:tcPr>
            <w:tcW w:w="4480" w:type="dxa"/>
            <w:vAlign w:val="bottom"/>
            <w:tcBorders>
              <w:top w:val="single" w:sz="8" w:color="0000EE"/>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7"/>
                <w:szCs w:val="17"/>
                <w:color w:val="0000EE"/>
              </w:rPr>
              <w:t>Consolidated Balance Sheets as of December 31, 2023 and 2022</w:t>
            </w:r>
          </w:p>
        </w:tc>
        <w:tc>
          <w:tcPr>
            <w:tcW w:w="1360" w:type="dxa"/>
            <w:vAlign w:val="bottom"/>
            <w:tcBorders>
              <w:top w:val="single" w:sz="8" w:color="0000EE"/>
            </w:tcBorders>
          </w:tcPr>
          <w:p>
            <w:pPr>
              <w:spacing w:after="0"/>
              <w:rPr>
                <w:sz w:val="15"/>
                <w:szCs w:val="15"/>
                <w:color w:val="auto"/>
              </w:rPr>
            </w:pPr>
          </w:p>
        </w:tc>
        <w:tc>
          <w:tcPr>
            <w:tcW w:w="4460" w:type="dxa"/>
            <w:vAlign w:val="bottom"/>
            <w:tcBorders>
              <w:top w:val="single" w:sz="8" w:color="CCEEFF"/>
            </w:tcBorders>
            <w:gridSpan w:val="4"/>
          </w:tcPr>
          <w:p>
            <w:pPr>
              <w:spacing w:after="0"/>
              <w:rPr>
                <w:sz w:val="15"/>
                <w:szCs w:val="15"/>
                <w:color w:val="auto"/>
              </w:rPr>
            </w:pPr>
          </w:p>
        </w:tc>
        <w:tc>
          <w:tcPr>
            <w:tcW w:w="940" w:type="dxa"/>
            <w:vAlign w:val="bottom"/>
            <w:tcBorders>
              <w:top w:val="single" w:sz="8" w:color="CCEEFF"/>
            </w:tcBorders>
          </w:tcPr>
          <w:p>
            <w:pPr>
              <w:jc w:val="right"/>
              <w:ind w:right="333"/>
              <w:spacing w:after="0" w:line="169" w:lineRule="exact"/>
              <w:rPr>
                <w:sz w:val="20"/>
                <w:szCs w:val="20"/>
                <w:color w:val="auto"/>
              </w:rPr>
            </w:pPr>
            <w:r>
              <w:rPr>
                <w:rFonts w:ascii="Times New Roman" w:cs="Times New Roman" w:eastAsia="Times New Roman" w:hAnsi="Times New Roman"/>
                <w:sz w:val="17"/>
                <w:szCs w:val="17"/>
                <w:color w:val="auto"/>
              </w:rPr>
              <w:t>75</w:t>
            </w:r>
          </w:p>
        </w:tc>
      </w:tr>
      <w:tr>
        <w:trPr>
          <w:trHeight w:val="197"/>
        </w:trPr>
        <w:tc>
          <w:tcPr>
            <w:tcW w:w="8400" w:type="dxa"/>
            <w:vAlign w:val="bottom"/>
            <w:tcBorders>
              <w:bottom w:val="single" w:sz="8" w:color="0000EE"/>
            </w:tcBorders>
            <w:gridSpan w:val="8"/>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Loss for the years ended December 31, 2023, 2022 and 2021</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33"/>
              <w:spacing w:after="0" w:line="179" w:lineRule="exact"/>
              <w:rPr>
                <w:sz w:val="20"/>
                <w:szCs w:val="20"/>
                <w:color w:val="auto"/>
              </w:rPr>
            </w:pPr>
            <w:r>
              <w:rPr>
                <w:rFonts w:ascii="Times New Roman" w:cs="Times New Roman" w:eastAsia="Times New Roman" w:hAnsi="Times New Roman"/>
                <w:sz w:val="17"/>
                <w:szCs w:val="17"/>
                <w:color w:val="auto"/>
              </w:rPr>
              <w:t>76</w:t>
            </w:r>
          </w:p>
        </w:tc>
      </w:tr>
      <w:tr>
        <w:trPr>
          <w:trHeight w:val="169"/>
        </w:trPr>
        <w:tc>
          <w:tcPr>
            <w:tcW w:w="10300" w:type="dxa"/>
            <w:vAlign w:val="bottom"/>
            <w:gridSpan w:val="10"/>
          </w:tcPr>
          <w:p>
            <w:pPr>
              <w:spacing w:after="0" w:line="169" w:lineRule="exact"/>
              <w:rPr>
                <w:sz w:val="20"/>
                <w:szCs w:val="20"/>
                <w:color w:val="auto"/>
              </w:rPr>
            </w:pPr>
            <w:r>
              <w:rPr>
                <w:rFonts w:ascii="Times New Roman" w:cs="Times New Roman" w:eastAsia="Times New Roman" w:hAnsi="Times New Roman"/>
                <w:sz w:val="17"/>
                <w:szCs w:val="17"/>
                <w:color w:val="0000EE"/>
              </w:rPr>
              <w:t>Consolidated Statements of Changes in Convertible Preferred Stock and Stockholders’ Equity (Deficit) for the years ended December 31, 2023,</w:t>
            </w:r>
          </w:p>
        </w:tc>
        <w:tc>
          <w:tcPr>
            <w:tcW w:w="940" w:type="dxa"/>
            <w:vAlign w:val="bottom"/>
          </w:tcPr>
          <w:p>
            <w:pPr>
              <w:jc w:val="right"/>
              <w:ind w:right="333"/>
              <w:spacing w:after="0" w:line="169" w:lineRule="exact"/>
              <w:rPr>
                <w:sz w:val="20"/>
                <w:szCs w:val="20"/>
                <w:color w:val="auto"/>
              </w:rPr>
            </w:pPr>
            <w:r>
              <w:rPr>
                <w:rFonts w:ascii="Times New Roman" w:cs="Times New Roman" w:eastAsia="Times New Roman" w:hAnsi="Times New Roman"/>
                <w:sz w:val="17"/>
                <w:szCs w:val="17"/>
                <w:color w:val="auto"/>
              </w:rPr>
              <w:t>77</w:t>
            </w:r>
          </w:p>
        </w:tc>
      </w:tr>
      <w:tr>
        <w:trPr>
          <w:trHeight w:val="188"/>
        </w:trPr>
        <w:tc>
          <w:tcPr>
            <w:tcW w:w="9960" w:type="dxa"/>
            <w:vAlign w:val="bottom"/>
            <w:tcBorders>
              <w:top w:val="single" w:sz="8" w:color="0000EE"/>
            </w:tcBorders>
            <w:gridSpan w:val="9"/>
          </w:tcPr>
          <w:p>
            <w:pPr>
              <w:ind w:left="160"/>
              <w:spacing w:after="0" w:line="188" w:lineRule="exact"/>
              <w:rPr>
                <w:sz w:val="20"/>
                <w:szCs w:val="20"/>
                <w:color w:val="auto"/>
              </w:rPr>
            </w:pPr>
            <w:r>
              <w:rPr>
                <w:rFonts w:ascii="Times New Roman" w:cs="Times New Roman" w:eastAsia="Times New Roman" w:hAnsi="Times New Roman"/>
                <w:sz w:val="17"/>
                <w:szCs w:val="17"/>
                <w:color w:val="0000EE"/>
              </w:rPr>
              <w:t>2022 and 2021</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9"/>
        </w:trPr>
        <w:tc>
          <w:tcPr>
            <w:tcW w:w="16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7"/>
        </w:trPr>
        <w:tc>
          <w:tcPr>
            <w:tcW w:w="6400" w:type="dxa"/>
            <w:vAlign w:val="bottom"/>
            <w:tcBorders>
              <w:bottom w:val="single" w:sz="8" w:color="0000EE"/>
            </w:tcBorders>
            <w:gridSpan w:val="7"/>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2023, 2022 and 2021</w:t>
            </w:r>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33"/>
              <w:spacing w:after="0" w:line="179" w:lineRule="exact"/>
              <w:rPr>
                <w:sz w:val="20"/>
                <w:szCs w:val="20"/>
                <w:color w:val="auto"/>
              </w:rPr>
            </w:pPr>
            <w:r>
              <w:rPr>
                <w:rFonts w:ascii="Times New Roman" w:cs="Times New Roman" w:eastAsia="Times New Roman" w:hAnsi="Times New Roman"/>
                <w:sz w:val="17"/>
                <w:szCs w:val="17"/>
                <w:color w:val="auto"/>
              </w:rPr>
              <w:t>78</w:t>
            </w:r>
          </w:p>
        </w:tc>
      </w:tr>
      <w:tr>
        <w:trPr>
          <w:trHeight w:val="169"/>
        </w:trPr>
        <w:tc>
          <w:tcPr>
            <w:tcW w:w="10300" w:type="dxa"/>
            <w:vAlign w:val="bottom"/>
            <w:gridSpan w:val="10"/>
          </w:tcPr>
          <w:p>
            <w:pPr>
              <w:spacing w:after="0" w:line="169"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940" w:type="dxa"/>
            <w:vAlign w:val="bottom"/>
          </w:tcPr>
          <w:p>
            <w:pPr>
              <w:jc w:val="right"/>
              <w:ind w:right="333"/>
              <w:spacing w:after="0" w:line="169" w:lineRule="exact"/>
              <w:rPr>
                <w:sz w:val="20"/>
                <w:szCs w:val="20"/>
                <w:color w:val="auto"/>
              </w:rPr>
            </w:pPr>
            <w:r>
              <w:rPr>
                <w:rFonts w:ascii="Times New Roman" w:cs="Times New Roman" w:eastAsia="Times New Roman" w:hAnsi="Times New Roman"/>
                <w:sz w:val="17"/>
                <w:szCs w:val="17"/>
                <w:color w:val="auto"/>
              </w:rPr>
              <w:t>79</w:t>
            </w:r>
          </w:p>
        </w:tc>
      </w:tr>
      <w:tr>
        <w:trPr>
          <w:trHeight w:val="568"/>
        </w:trPr>
        <w:tc>
          <w:tcPr>
            <w:tcW w:w="3280" w:type="dxa"/>
            <w:vAlign w:val="bottom"/>
            <w:tcBorders>
              <w:top w:val="single" w:sz="8" w:color="0000EE"/>
            </w:tcBorders>
            <w:gridSpan w:val="4"/>
          </w:tcPr>
          <w:p>
            <w:pPr>
              <w:spacing w:after="0"/>
              <w:rPr>
                <w:sz w:val="24"/>
                <w:szCs w:val="24"/>
                <w:color w:val="auto"/>
              </w:rPr>
            </w:pPr>
          </w:p>
        </w:tc>
        <w:tc>
          <w:tcPr>
            <w:tcW w:w="2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2"/>
        </w:trPr>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Quantum-Si Incorporated: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Quantum-Si Incorporated and subsidiaries (the “Company”) as of December 31, 2023 and 2022, the related consolidated statements of operations and comprehensive loss, changes in convertible preferred stock and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2022 and 2021, and the results of its operations and its cash flows for each of the three years in the period ended December 31, 2023,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Refer to Note 2 to the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more fully disclosed in Note 2 to the financial statements, the Company’s revenue is derived from sales of products and services. Product revenue is primarily generated from the sales of instruments and consumables used in protein sequencing and analysis, and service revenue is primarily generated from service maintenance contracts including access to analysis software and advanced training for instrument use. Revenue recognition for contracts with multiple deliverables is based on the separate satisfaction of each distinct performance obligation within the contract. The Company allocates transaction price to the performance obligations in a contract with a customer based on the relative standalone selling price of each performance obligation. The Company recognizes revenue when or as a customer obtains control of the promised goods and services.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the Company reached its commercialization stage and began shipments of its products and provisioning of its services to its customers.</w:t>
      </w:r>
    </w:p>
    <w:p>
      <w:pPr>
        <w:spacing w:after="0" w:line="21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We identified the Company’s initial application of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to its revenue arrangements as a critical audit matter, given the complexity involved with the identification of performance obligations and in the evaluation of whether the identified performance obligations were distinct. Auditing these conclusions involved especially subjective judgment and audit effort.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application of ASC 606 to the Company’s revenue arrangements included the following, among others:</w:t>
      </w:r>
    </w:p>
    <w:p>
      <w:pPr>
        <w:spacing w:after="0" w:line="220" w:lineRule="exact"/>
        <w:rPr>
          <w:sz w:val="20"/>
          <w:szCs w:val="20"/>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Company’s significant accounting policies related to revenue recognition for reasonableness.</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selection of revenue arrangements, we obtained and read the underlying agreements between the Company and its customers.</w:t>
      </w:r>
    </w:p>
    <w:p>
      <w:pPr>
        <w:spacing w:after="0" w:line="12" w:lineRule="exact"/>
        <w:rPr>
          <w:rFonts w:ascii="Times New Roman" w:cs="Times New Roman" w:eastAsia="Times New Roman" w:hAnsi="Times New Roman"/>
          <w:sz w:val="17"/>
          <w:szCs w:val="17"/>
          <w:color w:val="auto"/>
        </w:rPr>
      </w:pPr>
    </w:p>
    <w:p>
      <w:pPr>
        <w:jc w:val="both"/>
        <w:ind w:left="620" w:hanging="304"/>
        <w:spacing w:after="0" w:line="262"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professionals in our firm having expertise in the accounting treatment for revenue arrangements, we evaluated the Company’s assessment of the accounting treatment for such arrangements, including the identification of performance obligations and whether the identified performance obligations were distinct.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9"/>
        </w:trPr>
        <w:tc>
          <w:tcPr>
            <w:tcW w:w="980" w:type="dxa"/>
            <w:vAlign w:val="bottom"/>
            <w:tcBorders>
              <w:top w:val="single" w:sz="8" w:color="0000EE"/>
            </w:tcBorders>
          </w:tcPr>
          <w:p>
            <w:pPr>
              <w:spacing w:after="0"/>
              <w:rPr>
                <w:sz w:val="24"/>
                <w:szCs w:val="24"/>
                <w:color w:val="auto"/>
              </w:rPr>
            </w:pPr>
          </w:p>
        </w:tc>
        <w:tc>
          <w:tcPr>
            <w:tcW w:w="7700" w:type="dxa"/>
            <w:vAlign w:val="bottom"/>
          </w:tcPr>
          <w:p>
            <w:pPr>
              <w:jc w:val="center"/>
              <w:ind w:left="1493"/>
              <w:spacing w:after="0"/>
              <w:rPr>
                <w:sz w:val="20"/>
                <w:szCs w:val="20"/>
                <w:color w:val="auto"/>
              </w:rPr>
            </w:pPr>
            <w:r>
              <w:rPr>
                <w:rFonts w:ascii="Times New Roman" w:cs="Times New Roman" w:eastAsia="Times New Roman" w:hAnsi="Times New Roman"/>
                <w:sz w:val="17"/>
                <w:szCs w:val="17"/>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7700" w:type="dxa"/>
            <w:vAlign w:val="bottom"/>
          </w:tcPr>
          <w:p>
            <w:pPr>
              <w:jc w:val="center"/>
              <w:ind w:left="1493"/>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980" w:type="dxa"/>
            <w:vAlign w:val="bottom"/>
          </w:tcPr>
          <w:p>
            <w:pPr>
              <w:spacing w:after="0"/>
              <w:rPr>
                <w:sz w:val="19"/>
                <w:szCs w:val="19"/>
                <w:color w:val="auto"/>
              </w:rPr>
            </w:pPr>
          </w:p>
        </w:tc>
        <w:tc>
          <w:tcPr>
            <w:tcW w:w="770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(in thousands, except share and par value amounts)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5"/>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9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84,319</w:t>
            </w:r>
          </w:p>
        </w:tc>
      </w:tr>
      <w:tr>
        <w:trPr>
          <w:trHeight w:val="208"/>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266,990</w:t>
            </w:r>
          </w:p>
        </w:tc>
      </w:tr>
      <w:tr>
        <w:trPr>
          <w:trHeight w:val="208"/>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 of $0 and $0, respectively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Inventory,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6,873</w:t>
            </w:r>
          </w:p>
        </w:tc>
      </w:tr>
      <w:tr>
        <w:trPr>
          <w:trHeight w:val="26"/>
        </w:trPr>
        <w:tc>
          <w:tcPr>
            <w:tcW w:w="98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86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358,182</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16,849</w:t>
            </w: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15,757</w:t>
            </w: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697</w:t>
            </w:r>
          </w:p>
        </w:tc>
      </w:tr>
      <w:tr>
        <w:trPr>
          <w:trHeight w:val="248"/>
        </w:trPr>
        <w:tc>
          <w:tcPr>
            <w:tcW w:w="86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298,250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0"/>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2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3,903</w:t>
            </w:r>
          </w:p>
        </w:tc>
      </w:tr>
      <w:tr>
        <w:trPr>
          <w:trHeight w:val="208"/>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payroll and payroll-related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5,548</w:t>
            </w:r>
          </w:p>
        </w:tc>
      </w:tr>
      <w:tr>
        <w:trPr>
          <w:trHeight w:val="208"/>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Accrued contracted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3,616</w:t>
            </w:r>
          </w:p>
        </w:tc>
      </w:tr>
      <w:tr>
        <w:trPr>
          <w:trHeight w:val="208"/>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1,270</w:t>
            </w:r>
          </w:p>
        </w:tc>
      </w:tr>
      <w:tr>
        <w:trPr>
          <w:trHeight w:val="214"/>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1,369</w:t>
            </w:r>
          </w:p>
        </w:tc>
      </w:tr>
      <w:tr>
        <w:trPr>
          <w:trHeight w:val="208"/>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11,609</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15,706</w:t>
            </w: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996</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16,077</w:t>
            </w: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26,631</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32,779</w:t>
            </w: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(Note 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9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86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Class A Common stock, $0.0001 par value; 600,000,000 shares authorized as of December 31, 2023 and December 31,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 121,832,417 and 120,006,757 shares issued and outstanding as of December 31, 2023 and December 31, 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r>
      <w:tr>
        <w:trPr>
          <w:trHeight w:val="190"/>
        </w:trPr>
        <w:tc>
          <w:tcPr>
            <w:tcW w:w="86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Class B Common stock, $0.0001 par value; 27,000,000 shares authorized as of December 31, 2023 and December 31,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 19,937,500 shares issued and outstanding as of December 31, 2023 and December 31, 2022.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767,239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758,366</w:t>
            </w: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(495,634)</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(399,674)</w:t>
            </w:r>
          </w:p>
        </w:tc>
      </w:tr>
      <w:tr>
        <w:trPr>
          <w:trHeight w:val="214"/>
        </w:trPr>
        <w:tc>
          <w:tcPr>
            <w:tcW w:w="86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271,619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298,250</w:t>
            </w:r>
          </w:p>
        </w:tc>
        <w:tc>
          <w:tcPr>
            <w:tcW w:w="2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391,485</w:t>
            </w:r>
          </w:p>
        </w:tc>
      </w:tr>
      <w:tr>
        <w:trPr>
          <w:trHeight w:val="20"/>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72,062</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46,575</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42,296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50,333</w:t>
            </w: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Goodwill impairment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9,483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111,659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123,841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(111,171)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(123,841)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(96,908)</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Dividend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5,301</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2,549</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on marketable securities, net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(20,603)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(5,023)</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6,243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4,379</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r>
      <w:tr>
        <w:trPr>
          <w:trHeight w:val="26"/>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(95,960)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(132,442)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(94,989)</w:t>
            </w:r>
          </w:p>
        </w:tc>
      </w:tr>
      <w:tr>
        <w:trPr>
          <w:trHeight w:val="21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and comprehensive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(95,960)</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(132,442)</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(94,989)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 per common share attributable to common stockholders, basic and diluted</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(0.68)</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(0.95)</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w:t>
            </w:r>
          </w:p>
        </w:tc>
      </w:tr>
      <w:tr>
        <w:trPr>
          <w:trHeight w:val="190"/>
        </w:trPr>
        <w:tc>
          <w:tcPr>
            <w:tcW w:w="732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Weighted-average shares used to compute net loss per share attributable to common stockholders,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73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139,255</w:t>
            </w: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79,579</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CONVERTIBLE PREFERRED STOCK AND</w:t>
      </w:r>
    </w:p>
    <w:p>
      <w:pPr>
        <w:spacing w:after="0" w:line="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p>
      <w:pPr>
        <w:spacing w:after="0" w:line="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80" w:type="dxa"/>
            <w:vAlign w:val="bottom"/>
          </w:tcPr>
          <w:p>
            <w:pPr>
              <w:spacing w:after="0"/>
              <w:rPr>
                <w:sz w:val="18"/>
                <w:szCs w:val="18"/>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34"/>
        </w:trPr>
        <w:tc>
          <w:tcPr>
            <w:tcW w:w="2180" w:type="dxa"/>
            <w:vAlign w:val="bottom"/>
          </w:tcPr>
          <w:p>
            <w:pPr>
              <w:spacing w:after="0"/>
              <w:rPr>
                <w:sz w:val="20"/>
                <w:szCs w:val="20"/>
                <w:color w:val="auto"/>
              </w:rPr>
            </w:pPr>
          </w:p>
        </w:tc>
        <w:tc>
          <w:tcPr>
            <w:tcW w:w="186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Class A common stock</w:t>
            </w:r>
          </w:p>
        </w:tc>
        <w:tc>
          <w:tcPr>
            <w:tcW w:w="188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Class B common stock</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stockholders’</w:t>
            </w:r>
          </w:p>
        </w:tc>
      </w:tr>
      <w:tr>
        <w:trPr>
          <w:trHeight w:val="214"/>
        </w:trPr>
        <w:tc>
          <w:tcPr>
            <w:tcW w:w="218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b w:val="1"/>
                <w:bCs w:val="1"/>
                <w:color w:val="010101"/>
              </w:rPr>
              <w:t>Shares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010101"/>
              </w:rPr>
              <w:t>Amount</w:t>
            </w:r>
          </w:p>
        </w:tc>
        <w:tc>
          <w:tcPr>
            <w:tcW w:w="100" w:type="dxa"/>
            <w:vAlign w:val="bottom"/>
          </w:tcPr>
          <w:p>
            <w:pPr>
              <w:spacing w:after="0"/>
              <w:rPr>
                <w:sz w:val="18"/>
                <w:szCs w:val="18"/>
                <w:color w:val="auto"/>
              </w:rPr>
            </w:pPr>
          </w:p>
        </w:tc>
        <w:tc>
          <w:tcPr>
            <w:tcW w:w="9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010101"/>
              </w:rPr>
              <w:t>Shares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010101"/>
              </w:rPr>
              <w:t>Amount</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paid-in capital</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(deficit) equity</w:t>
            </w:r>
          </w:p>
        </w:tc>
      </w:tr>
      <w:tr>
        <w:trPr>
          <w:trHeight w:val="20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10101"/>
              </w:rPr>
              <w:t>Balance -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90,789,268</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195,814</w:t>
            </w: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5,378,287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w:t>
            </w: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12,517</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(172,243)</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(159,725)</w:t>
            </w:r>
          </w:p>
        </w:tc>
      </w:tr>
      <w:tr>
        <w:trPr>
          <w:trHeight w:val="190"/>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10101"/>
              </w:rPr>
              <w:t>Issuance of Series 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2180" w:type="dxa"/>
            <w:vAlign w:val="bottom"/>
          </w:tcPr>
          <w:p>
            <w:pPr>
              <w:ind w:left="120"/>
              <w:spacing w:after="0"/>
              <w:rPr>
                <w:sz w:val="20"/>
                <w:szCs w:val="20"/>
                <w:color w:val="auto"/>
              </w:rPr>
            </w:pPr>
            <w:r>
              <w:rPr>
                <w:rFonts w:ascii="Times New Roman" w:cs="Times New Roman" w:eastAsia="Times New Roman" w:hAnsi="Times New Roman"/>
                <w:sz w:val="17"/>
                <w:szCs w:val="17"/>
                <w:color w:val="010101"/>
              </w:rPr>
              <w:t>convertible preferred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2180" w:type="dxa"/>
            <w:vAlign w:val="bottom"/>
          </w:tcPr>
          <w:p>
            <w:pPr>
              <w:ind w:left="120"/>
              <w:spacing w:after="0"/>
              <w:rPr>
                <w:sz w:val="20"/>
                <w:szCs w:val="20"/>
                <w:color w:val="auto"/>
              </w:rPr>
            </w:pPr>
            <w:r>
              <w:rPr>
                <w:rFonts w:ascii="Times New Roman" w:cs="Times New Roman" w:eastAsia="Times New Roman" w:hAnsi="Times New Roman"/>
                <w:sz w:val="17"/>
                <w:szCs w:val="17"/>
                <w:color w:val="010101"/>
              </w:rPr>
              <w:t>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10101"/>
              </w:rPr>
              <w:t>(4)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10101"/>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r>
      <w:tr>
        <w:trPr>
          <w:trHeight w:val="190"/>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10101"/>
              </w:rPr>
              <w:t>Common stock issued upon</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r>
      <w:tr>
        <w:trPr>
          <w:trHeight w:val="208"/>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010101"/>
              </w:rPr>
              <w:t>exercise of stock options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08"/>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010101"/>
              </w:rPr>
              <w:t>and vesting of restricted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6"/>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010101"/>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10101"/>
              </w:rPr>
              <w:t>2,935,595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5,618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10101"/>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5,618</w:t>
            </w:r>
          </w:p>
        </w:tc>
      </w:tr>
      <w:tr>
        <w:trPr>
          <w:trHeight w:val="190"/>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Conversion of the convertible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preferred stock into Class 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Class B common stock</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(90,789,268)</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(195,810)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52,466,941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19,937,500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195,810</w:t>
            </w:r>
          </w:p>
        </w:tc>
      </w:tr>
      <w:tr>
        <w:trPr>
          <w:trHeight w:val="190"/>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equity infusion from the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r>
      <w:tr>
        <w:trPr>
          <w:trHeight w:val="226"/>
        </w:trPr>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Business Combination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56,708,872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501,170</w:t>
            </w:r>
          </w:p>
        </w:tc>
      </w:tr>
      <w:tr>
        <w:trPr>
          <w:trHeight w:val="190"/>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10101"/>
              </w:rPr>
              <w:t>Majelac Technologies LLC</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6"/>
        </w:trPr>
        <w:tc>
          <w:tcPr>
            <w:tcW w:w="2180" w:type="dxa"/>
            <w:vAlign w:val="bottom"/>
          </w:tcPr>
          <w:p>
            <w:pPr>
              <w:ind w:left="160"/>
              <w:spacing w:after="0"/>
              <w:rPr>
                <w:sz w:val="20"/>
                <w:szCs w:val="20"/>
                <w:color w:val="auto"/>
              </w:rPr>
            </w:pPr>
            <w:r>
              <w:rPr>
                <w:rFonts w:ascii="Times New Roman" w:cs="Times New Roman" w:eastAsia="Times New Roman" w:hAnsi="Times New Roman"/>
                <w:sz w:val="17"/>
                <w:szCs w:val="17"/>
                <w:color w:val="010101"/>
              </w:rPr>
              <w:t>Acquisition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535,715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4,232</w:t>
            </w:r>
          </w:p>
        </w:tc>
      </w:tr>
      <w:tr>
        <w:trPr>
          <w:trHeight w:val="20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010101"/>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10101"/>
              </w:rPr>
              <w:t>24,918</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10101"/>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24,918</w:t>
            </w:r>
          </w:p>
        </w:tc>
      </w:tr>
      <w:tr>
        <w:trPr>
          <w:trHeight w:val="214"/>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(94,989)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(94,989)</w:t>
            </w:r>
          </w:p>
        </w:tc>
      </w:tr>
      <w:tr>
        <w:trPr>
          <w:trHeight w:val="20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10101"/>
              </w:rPr>
              <w:t>Balance -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118,025,410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12</w:t>
            </w: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19,937,500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2</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744,252</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(267,232)</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477,034</w:t>
            </w:r>
          </w:p>
        </w:tc>
      </w:tr>
      <w:tr>
        <w:trPr>
          <w:trHeight w:val="190"/>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10101"/>
              </w:rPr>
              <w:t>Common stock issued upon</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2180" w:type="dxa"/>
            <w:vAlign w:val="bottom"/>
          </w:tcPr>
          <w:p>
            <w:pPr>
              <w:ind w:left="120"/>
              <w:spacing w:after="0"/>
              <w:rPr>
                <w:sz w:val="20"/>
                <w:szCs w:val="20"/>
                <w:color w:val="auto"/>
              </w:rPr>
            </w:pPr>
            <w:r>
              <w:rPr>
                <w:rFonts w:ascii="Times New Roman" w:cs="Times New Roman" w:eastAsia="Times New Roman" w:hAnsi="Times New Roman"/>
                <w:sz w:val="17"/>
                <w:szCs w:val="17"/>
                <w:color w:val="010101"/>
              </w:rPr>
              <w:t>exercise of stock options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2180" w:type="dxa"/>
            <w:vAlign w:val="bottom"/>
          </w:tcPr>
          <w:p>
            <w:pPr>
              <w:ind w:left="120"/>
              <w:spacing w:after="0"/>
              <w:rPr>
                <w:sz w:val="20"/>
                <w:szCs w:val="20"/>
                <w:color w:val="auto"/>
              </w:rPr>
            </w:pPr>
            <w:r>
              <w:rPr>
                <w:rFonts w:ascii="Times New Roman" w:cs="Times New Roman" w:eastAsia="Times New Roman" w:hAnsi="Times New Roman"/>
                <w:sz w:val="17"/>
                <w:szCs w:val="17"/>
                <w:color w:val="010101"/>
              </w:rPr>
              <w:t>and vesting of restricted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2180" w:type="dxa"/>
            <w:vAlign w:val="bottom"/>
          </w:tcPr>
          <w:p>
            <w:pPr>
              <w:ind w:left="120"/>
              <w:spacing w:after="0"/>
              <w:rPr>
                <w:sz w:val="20"/>
                <w:szCs w:val="20"/>
                <w:color w:val="auto"/>
              </w:rPr>
            </w:pPr>
            <w:r>
              <w:rPr>
                <w:rFonts w:ascii="Times New Roman" w:cs="Times New Roman" w:eastAsia="Times New Roman" w:hAnsi="Times New Roman"/>
                <w:sz w:val="17"/>
                <w:szCs w:val="17"/>
                <w:color w:val="010101"/>
              </w:rPr>
              <w:t>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10101"/>
              </w:rPr>
              <w:t>1,921,824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2,757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10101"/>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2,757</w:t>
            </w:r>
          </w:p>
        </w:tc>
      </w:tr>
      <w:tr>
        <w:trPr>
          <w:trHeight w:val="190"/>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10101"/>
              </w:rPr>
              <w:t>Majelac Technologies LLC</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r>
      <w:tr>
        <w:trPr>
          <w:trHeight w:val="226"/>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010101"/>
              </w:rPr>
              <w:t>Acquisition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10101"/>
              </w:rPr>
              <w:t>59,523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10101"/>
              </w:rPr>
              <w:t>151</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010101"/>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10101"/>
              </w:rPr>
              <w:t>151</w:t>
            </w:r>
          </w:p>
        </w:tc>
      </w:tr>
      <w:tr>
        <w:trPr>
          <w:trHeight w:val="208"/>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010101"/>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10101"/>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11,206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10101"/>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11,206</w:t>
            </w:r>
          </w:p>
        </w:tc>
      </w:tr>
      <w:tr>
        <w:trPr>
          <w:trHeight w:val="20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(132,442)</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(132,442)</w:t>
            </w:r>
          </w:p>
        </w:tc>
      </w:tr>
      <w:tr>
        <w:trPr>
          <w:trHeight w:val="26"/>
        </w:trPr>
        <w:tc>
          <w:tcPr>
            <w:tcW w:w="2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r>
        <w:trPr>
          <w:trHeight w:val="208"/>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010101"/>
              </w:rPr>
              <w:t>Balance - December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120,006,757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010101"/>
              </w:rPr>
              <w:t>19,937,500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758,366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(399,674)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358,706</w:t>
            </w:r>
          </w:p>
        </w:tc>
      </w:tr>
      <w:tr>
        <w:trPr>
          <w:trHeight w:val="190"/>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upon</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r>
      <w:tr>
        <w:trPr>
          <w:trHeight w:val="208"/>
        </w:trPr>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08"/>
        </w:trPr>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vesting of restricted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6"/>
        </w:trPr>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1,825,660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357</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08"/>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20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(95,960)</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(95,960)</w:t>
            </w:r>
          </w:p>
        </w:tc>
      </w:tr>
      <w:tr>
        <w:trPr>
          <w:trHeight w:val="26"/>
        </w:trPr>
        <w:tc>
          <w:tcPr>
            <w:tcW w:w="2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r>
        <w:trPr>
          <w:trHeight w:val="208"/>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121,832,417</w:t>
            </w:r>
          </w:p>
        </w:tc>
        <w:tc>
          <w:tcPr>
            <w:tcW w:w="80" w:type="dxa"/>
            <w:vAlign w:val="bottom"/>
          </w:tcPr>
          <w:p>
            <w:pPr>
              <w:spacing w:after="0"/>
              <w:rPr>
                <w:sz w:val="18"/>
                <w:szCs w:val="18"/>
                <w:color w:val="auto"/>
              </w:rPr>
            </w:pPr>
          </w:p>
        </w:tc>
        <w:tc>
          <w:tcPr>
            <w:tcW w:w="42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19,937,500</w:t>
            </w:r>
          </w:p>
        </w:tc>
        <w:tc>
          <w:tcPr>
            <w:tcW w:w="46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767,239</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(495,634)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271,619</w:t>
            </w:r>
          </w:p>
        </w:tc>
      </w:tr>
      <w:tr>
        <w:trPr>
          <w:trHeight w:val="20"/>
        </w:trPr>
        <w:tc>
          <w:tcPr>
            <w:tcW w:w="2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(95,960)</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(132,442)</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(94,989)</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4,156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2,584</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1,041</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lease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1,249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415</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loss on marketable securities,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(5,587)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20,603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5,023</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Goodwill impairment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9,483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(6,243)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(4,379)</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fair value of stock consideration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8,516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24,918</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Inventory,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(3,096)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2,159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(4,893)</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(10,033)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(7,388)</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(690)</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assets - related party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738</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(1,220)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721</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709</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4,009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4,498</w:t>
            </w: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9,368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8,078</w:t>
            </w:r>
          </w:p>
        </w:tc>
      </w:tr>
      <w:tr>
        <w:trPr>
          <w:trHeight w:val="26"/>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(94,036)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(90,560)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(66,813</w:t>
            </w:r>
            <w:r>
              <w:rPr>
                <w:rFonts w:ascii="Times New Roman" w:cs="Times New Roman" w:eastAsia="Times New Roman" w:hAnsi="Times New Roman"/>
                <w:sz w:val="17"/>
                <w:szCs w:val="17"/>
                <w:b w:val="1"/>
                <w:bCs w:val="1"/>
                <w:color w:val="auto"/>
              </w:rPr>
              <w:t>)</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(4,510)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(10,741)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(5,763)</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Internally developed software - capitalized costs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(763)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(123,809)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(834)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(440,542)</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of marketable securities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272,510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148,760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Business acquisition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(4,632)</w:t>
            </w:r>
          </w:p>
        </w:tc>
      </w:tr>
      <w:tr>
        <w:trPr>
          <w:trHeight w:val="21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143,428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137,185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2,757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5,618</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offering costs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proceeds from equity infusion from the Business Combination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512,788</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notes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(1,749)</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 issuance costs for Series E convertible preferred stock</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 of contingent consideration - business acquisition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(348)</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deferred consideration - business acquisition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payments under finance lease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w:t>
            </w:r>
          </w:p>
        </w:tc>
      </w:tr>
      <w:tr>
        <w:trPr>
          <w:trHeight w:val="21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49,541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48,534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(1,125</w:t>
            </w:r>
            <w:r>
              <w:rPr>
                <w:rFonts w:ascii="Times New Roman" w:cs="Times New Roman" w:eastAsia="Times New Roman" w:hAnsi="Times New Roman"/>
                <w:sz w:val="17"/>
                <w:szCs w:val="17"/>
                <w:b w:val="1"/>
                <w:bCs w:val="1"/>
                <w:color w:val="auto"/>
              </w:rPr>
              <w:t>)</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36,910</w:t>
            </w:r>
          </w:p>
        </w:tc>
      </w:tr>
      <w:tr>
        <w:trPr>
          <w:trHeight w:val="26"/>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133,860</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84,319</w:t>
            </w:r>
          </w:p>
        </w:tc>
        <w:tc>
          <w:tcPr>
            <w:tcW w:w="2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35,785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received from exchange of research and development tax credits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1,523</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purchased but not paid</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302</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1,260</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1,385</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offering costs payable</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105</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Forgiveness of related party promissory notes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equity issuance - business acquisition</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151</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4,232</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equity related warrants from the Business Combination</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11,618</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Conversion of the convertible preferred stock into Class A and Class B common stock</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195,810</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contingent consideration and holdbacks - business acquisition</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1,552</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1240"/>
          </w:cols>
          <w:pgMar w:left="320" w:top="11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Organization and Description of Business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Quantum-Si Incorporated (including its subsidiaries, the “Company” or “Quantum-Si”) was originally incorporated in Delaware on June 10, 2020 as a special purpose acquisition company under the name HighCape Capital Acquisition Corp. (“HighCape”) for the purpose of effecting a merger, capital stock exchange, asset acquisition, stock purchase, reorganization or similar business combination involving HighCape and one or more businesses. On June 10, 2021 (the “Closing”), the Company consummated the transaction contemplated by the Business Combination Agreement, dated February 18, 2021 (the “Business Combination Agreement”), by and among HighCape, Tenet Merger Sub, Inc., a Delaware corporation (“Merger Sub”) and Quantum-Si Incorporated, a Delaware corporation (“Legacy Quantum-Si”).</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the terms of the Business Combination Agreement, a business combination between HighCape was affected through the merger of Merger Sub with and into Legacy Quantum-Si, with Legacy Quantum-Si surviving as the surviving company and a wholly owned subsidiary of HighCape (the “Merger” and collectively with the other transaction described in the Business Combination Agreement, the “Business Combination”). Effective as of the Closing, HighCape changed its name to Quantum-Si Incorporated (the parent company) and Legacy Quantum-Si changed its name to Q-SI Operations Inc. (a wholly-owned subsidiary of Quantum-Si Incorporated). The financial information prior to the Business Combination represents the financial results and condition of Legacy Quantum-Si.</w:t>
      </w: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detection platform that the Company is first applying to proteomics to enable Next-Generation Protein Sequencing</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(“NGPS”), the ability to sequence proteins in a massively parallel fashion (rather than sequentially, one at a time), and can be used for the study of nucleic acids. The Company’s platform is currently comprised of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NGPS instrument, the Platinum Analysis Software service, and reagent kits and semiconductor chips for use with its instruments.</w:t>
      </w:r>
    </w:p>
    <w:p>
      <w:pPr>
        <w:spacing w:after="0" w:line="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On May 11, 2023, the federal public health emergency for COVID-19, declared under Section 319 of the Public Health Service Act, expired.</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Consolidated Financial Statements. The Company will continue to evaluate the impact of the COVID-19 pandemic on its industry and the Company and has concluded that while it is possible that the virus could have a future negative effect on the Company’s financial position, results of operations and cash flows in its Consolidated Financial Statements, the specific future impact is not readily determinable as of the date of the filing of this Annual Report on Form 10-K. The Company’s financial statements do not include any adjustments that might result from the outcome of this uncertainty.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Global Developments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Throughout 2022 and 2023,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Although the Company was not significantly impacted by the conflicts in Ukraine or Israel and Gaza, the Company has experienced some constraints in product and material availability and increasing costs required to obtain some materials and supplies as a result of these conflicts on the global economy. To date, the business has not been materially impacted by the conflicts, however, as the conflicts continue or worsen, it may impact the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Business Risk</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consist principally of cash and cash equivalents and marketable securities. As of December 31, 2023, the Company’s marketable securities consist of mutual funds, U.S. Treasury securities and commercial paper. As of December 31, 2022, substantially all of the Company’s marketable securities were invested in fixed income mutual funds at one financial institution. For further information regarding realized losses related to marketable securities please refer to Note 5. Investments in Marketable Securities.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considerable length of time to obtain alternative sources, which could affect the Company’s development efforts and commercial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Company’s Chief Operating Decision Maker, its Chief Executive Officer, reviews the Company’s financial information on a consolidated basis for purposes of allocating resources and evaluating its financial performance. Accordingly, the Company has determined that it operates as a single reportable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prior year amounts have been reclassified for consistency with the current year’s presentation.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the Company to make estimates and assumptions about future events that affect the amounts recorded in its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62" w:lineRule="exact"/>
        <w:rPr>
          <w:sz w:val="20"/>
          <w:szCs w:val="20"/>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allowances with respect to deferred tax assets;</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valuation;</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of excess and obsolete inventory reserves;</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for acquisitions;</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of goodwill;</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used for leases;</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of warrant liabilities;</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associated with revenue recognition; and</w:t>
      </w:r>
    </w:p>
    <w:p>
      <w:pPr>
        <w:spacing w:after="0" w:line="220"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underlying the fair value used in the calculation of the stock-based compensation.</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Consolidated Financial Statements.</w:t>
      </w:r>
    </w:p>
    <w:p>
      <w:pPr>
        <w:sectPr>
          <w:pgSz w:w="11900" w:h="16838" w:orient="portrait"/>
          <w:cols w:equalWidth="0" w:num="1">
            <w:col w:w="11240"/>
          </w:cols>
          <w:pgMar w:left="320" w:top="116"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 and Transactions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Company’s international operations, the local currency has been determined to be the functional currency. The results of its non-U.S. dollar-based operations are translated to U.S. dollars at the average exchange rates during the period. Assets and liabilities are translated at the rate of exchange prevailing on the balance sheet date. Equity is translated at the prevailing rate of exchange at the date of the equity transaction. The translational effects of revaluing non-functional currency assets and liabilities were immaterial for the years ended December 31, 2023, 2022 and 2021.</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realizes foreign currency gains/(losses) in the normal course of business based on movement in the applicable exchange rates. These transactional gains/(losses) are included as a component of Other expense, net, in the Consolidated Statements of Operations and Comprehensive Loss. As of December 31, 2023 and 2022 and for the years ended December 31, 2023, 2022 and 2021, there was no material effect of foreign currency translation and transactions on the Company’s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Equivalents</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All highly liquid investments purchased with a maturity of three months or less are cash equivalents. As of December 31, 2023 and 2022, cash and cash equivalents consist principally of cash and short-term money market accounts, U.S. Treasury securities and commercial paper.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Accounts receivable, net are stated at the amount the Company expects to collect from customers based on their outstanding invoices. The Company reviews accounts receivable regularly to determine if any receivable may not be collectible. The Company estimates the amount of the allowance for doubtful accounts necessary to reduce accounts receivable to its estimated net realizable value by analyzing the status of significant past due receivables and current and historical bad debt trends. The Company writes off accounts receivable against the allowance when it determines a balance is uncollectible and ceases collection efforts. The Company did not write off any accounts receivable balances during the years ended December 31, 2023 and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considers all of its investments in marketable securities as available for use in current operations and therefore classifies these securities within current assets in the Consolidated Balance Sheets.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2023, the Company’s marketable securities were classified as available-for-sale securities. Available-for-sale marketable securities are carried at fair value, with the unrealized holding gains and losses, net of income taxes, reflected in accumulated other comprehensive (loss)/income until realized. Unrealized gains and losses related to the available-for-sale securities were immaterial for the year ended December 31, 2023. There were no such unrealized gains and losses for the years ended December 31, 2022 and 2021. Regardless of the intent to sell a security, the Company performs additional analysis on all securities with unrealized losses to evaluate losses associated with the creditworthiness of the security. Credit losses are recorded when the Company does not expect to receive cash flows sufficient to recover the amortized cost basis of a security. For the purposes of computing realized and unrealized gains and losses, cost and fair value are determined on a specific identification basis.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December 31, 2022, the Company’s investments in marketable securities were classified as trading securities and consisted of ownership interests in fixed income mutual funds. The trading securities are stated at fair value, as determined by quoted market prices. As the securities have readily determinable fair value, unrealized gains and losses are recorded as Other expense, net, in the Consolidated Statements of Operations and Comprehensive Loss. Subsequent gains or losses realized upon redemption or sale of these securities are also recorded as Other expense, net, in the Consolidated Statements of Operations and Comprehensive Loss.</w:t>
      </w:r>
    </w:p>
    <w:p>
      <w:pPr>
        <w:spacing w:after="0" w:line="3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Dividends on marketable securities are recognized as income when declared and are recorded as Dividend income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Net</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performs an assessment of the recoverability of capitalized inventory during each reporting period and, if needed, records an excess and obsolete reserve against inventory to its estimated net realizable value in the period it is identified. For further discussion related to inventory, please refer to Note 7. Inventory, Net.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Prepaid expenses and other current assets include amounts paid in advance for operating expenses as well as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Consolidated Statements of Operations and Comprehensive Loss in the annual period the corresponding expenses were 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expense is computed using the straight-line method over the estimated useful lives of the related assets. Leasehold improvements are amortized over the shorter of the asset’s useful life or the life of the lease term.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Estimated useful lives of property and equipment are as follows:</w:t>
            </w:r>
          </w:p>
        </w:tc>
        <w:tc>
          <w:tcPr>
            <w:tcW w:w="4260" w:type="dxa"/>
            <w:vAlign w:val="bottom"/>
          </w:tcPr>
          <w:p>
            <w:pPr>
              <w:spacing w:after="0"/>
              <w:rPr>
                <w:sz w:val="19"/>
                <w:szCs w:val="19"/>
                <w:color w:val="auto"/>
              </w:rPr>
            </w:pPr>
          </w:p>
        </w:tc>
      </w:tr>
      <w:tr>
        <w:trPr>
          <w:trHeight w:val="42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4260" w:type="dxa"/>
            <w:vAlign w:val="bottom"/>
          </w:tcPr>
          <w:p>
            <w:pPr>
              <w:jc w:val="right"/>
              <w:ind w:right="1293"/>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08"/>
        </w:trPr>
        <w:tc>
          <w:tcPr>
            <w:tcW w:w="6760" w:type="dxa"/>
            <w:vAlign w:val="bottom"/>
            <w:tcBorders>
              <w:top w:val="single" w:sz="8" w:color="auto"/>
            </w:tcBorders>
            <w:shd w:val="clear" w:color="auto" w:fill="CDEEFF"/>
          </w:tcPr>
          <w:p>
            <w:pPr>
              <w:spacing w:after="0"/>
              <w:rPr>
                <w:sz w:val="20"/>
                <w:szCs w:val="20"/>
                <w:color w:val="auto"/>
              </w:rPr>
            </w:pPr>
            <w:r>
              <w:rPr>
                <w:rFonts w:ascii="Times New Roman" w:cs="Times New Roman" w:eastAsia="Times New Roman" w:hAnsi="Times New Roman"/>
                <w:sz w:val="17"/>
                <w:szCs w:val="17"/>
                <w:color w:val="auto"/>
              </w:rPr>
              <w:t>Laboratory and production equipment</w:t>
            </w:r>
          </w:p>
        </w:tc>
        <w:tc>
          <w:tcPr>
            <w:tcW w:w="220" w:type="dxa"/>
            <w:vAlign w:val="bottom"/>
            <w:tcBorders>
              <w:top w:val="single" w:sz="8" w:color="CDEEFF"/>
            </w:tcBorders>
            <w:shd w:val="clear" w:color="auto" w:fill="CDEEFF"/>
          </w:tcPr>
          <w:p>
            <w:pPr>
              <w:spacing w:after="0"/>
              <w:rPr>
                <w:sz w:val="18"/>
                <w:szCs w:val="18"/>
                <w:color w:val="auto"/>
              </w:rPr>
            </w:pPr>
          </w:p>
        </w:tc>
        <w:tc>
          <w:tcPr>
            <w:tcW w:w="4260" w:type="dxa"/>
            <w:vAlign w:val="bottom"/>
            <w:tcBorders>
              <w:top w:val="single" w:sz="8" w:color="auto"/>
            </w:tcBorders>
            <w:shd w:val="clear" w:color="auto" w:fill="CDEEFF"/>
          </w:tcPr>
          <w:p>
            <w:pPr>
              <w:jc w:val="right"/>
              <w:spacing w:after="0"/>
              <w:rPr>
                <w:sz w:val="20"/>
                <w:szCs w:val="20"/>
                <w:color w:val="auto"/>
              </w:rPr>
            </w:pPr>
            <w:r>
              <w:rPr>
                <w:rFonts w:ascii="Times New Roman" w:cs="Times New Roman" w:eastAsia="Times New Roman" w:hAnsi="Times New Roman"/>
                <w:sz w:val="17"/>
                <w:szCs w:val="17"/>
                <w:color w:val="auto"/>
              </w:rPr>
              <w:t>3-5 years</w:t>
            </w:r>
          </w:p>
        </w:tc>
      </w:tr>
      <w:tr>
        <w:trPr>
          <w:trHeight w:val="208"/>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years</w:t>
            </w:r>
          </w:p>
        </w:tc>
      </w:tr>
      <w:tr>
        <w:trPr>
          <w:trHeight w:val="208"/>
        </w:trPr>
        <w:tc>
          <w:tcPr>
            <w:tcW w:w="6980" w:type="dxa"/>
            <w:vAlign w:val="bottom"/>
            <w:gridSpan w:val="2"/>
            <w:shd w:val="clear" w:color="auto" w:fill="CD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4260" w:type="dxa"/>
            <w:vAlign w:val="bottom"/>
            <w:shd w:val="clear" w:color="auto" w:fill="CDEEFF"/>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226"/>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years</w:t>
            </w:r>
          </w:p>
        </w:tc>
      </w:tr>
    </w:tbl>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Expenditures for major renewals and improvements are capitalized. Expenditures for repairs and maintenance are expensed as incurred. Costs for property and equipment not yet placed into service have been recorded as construction in process and will be depreciated in accordance with the above guidelines once placed into service. When assets are retired or otherwise disposed of, the cost of these assets and related accumulated depreciation and amortization is eliminated from the balance sheet, and any resulting gains or losses are included in the Consolidated Statements of Operations and Comprehensive Loss in the period of disposal.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capitalizes certain internal use software development costs related to its SaaS platform incurred during the application development stage when management with the relevant authority authorizes and commits to the funding of the project, it is probable the project will be completed, and the software will be used as intended. The Company also capitalizes costs related to specific upgrades and enhancements when it is probable the expenditure will result in additional functionality. Costs related to preliminary project activities and to post-implementation activities are expensed as incurred. Internal use software is amortized on a straight-line basis over its estimated useful life, which is generally two years. Management evaluates the useful lives of these assets on an annual basis and tests for impairment whenever events or changes in circumstances occur that could impact the recoverability of the assets. Capitalized costs are recorded as Internally developed software in the Consolidated Balance Sheets. Amortization expense related to internally developed software was $0.2 million for the year ended December 31, 2023. There was no internally developed software or related amortization expense recorded for the years ended December 2022 or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reviews its long-lived assets for impairment when the Company determines a triggering event has occurred. When a triggering event has occurred, each impairment test is based on a comparison of the future expected undiscounted cash flows to the recorded value of the asset. If the recorded value of the asset is less than the undiscounted cash flows, the asset is written down to its estimated fair value. No impairments were recorded for the years ended December 31, 2023, 2022, and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right-of-use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Certain of the Company’s lease agreements contain tenant improvement incentives and allowances, rent holidays, or rent escalation clauses. For tenant improvement incentives, if the incentive is determined to be a leasehold improvement owned by the lessee and the Company is reasonably certain to use the incentive, the Company generally records the incentive as a reduction to the fixed lease payments liability as a reduction to lease cost. Reimbursable construction costs incurred are recorded as leasehold improvements and are amortized over the term of the lease. The Company records rental expense related to rent holidays and rent escalation clauses on a straight-line basis over the term of the lease. The Company uses the date of initial possession as the commencement date for lease incentives, which is generally when the Company is given right of access to the space and begins to make improvements in preparation for intended use.</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Upon inception, leases are evaluated and classified as operating or finance for financial reporting purposes. Operating leases that are short term in nature and have month-to-month payment terms are expensed as incurred in Research and development expenses or in Selling, general and administrative expenses in the Consolidated Statements of Operations and Comprehensive Loss. The Company’s lease agreements contain variable lease costs for common area maintenance, utilities, taxes and insurance, which are expensed as 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reviews goodwill for possible impairment annually during the fourth quarter as of October 1, or whenever events or circumstances indicate the carrying amount may not be recoverable.</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Majelac Technologies LLC (“Majelac”) was fully integrated into the Company after the acquisition. As a result, the Company operates as a single reporting unit. Accordingly, all of the goodwill is associated with the entire Company. The Company performed its annual goodwill impairment test during the fourth quarter of 2022 quantitatively evaluating its reporting unit. The Company determined the fair value of its reporting unit using a combination of the income and market approaches. The Company placed a 100% weighting on the market approach method, as the results of the income approach were not representative of the fair value of the Company. The determination of fair value using a market approach requires management to make significant assumptions related to the determination of an appropriate group of peer companies, and market revenue multiples from within the selected group of peer companies. As of October 1, 2022, the carrying value of the net asset of the Company’s reporting unit exceeded its enterprise wide fair value and the Company recognized a goodwill impairment charge, fully impairing goodwill of $9.5 million in the Consolidated Statements of Operations and Comprehensive Loss for the year ended December 31, 2022. There was no impairment of goodwill recorded for the years ended December 31, 2023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outstanding warrants include publicly 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Public Warrants and Private Warrants meet the definition of a derivative and the Company recorded these warrants as long-term liabilities in the Consolidated Balance Sheets at fair value upon the Closing of the Business Combination, with subsequent changes in their respective fair values recognized in the Consolidated Statements of Operations and Comprehensive Loss at each reporting date. For further discussion related to the Public Warrants and Private Warrants, please refer to Note 14. Warrant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Warranty</w:t>
      </w:r>
    </w:p>
    <w:p>
      <w:pPr>
        <w:spacing w:after="0" w:line="2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The Company provides a free one-year assurance-type warranty to customers with the initial purchase of a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instrument. The cost of the warranty is accrued upon the initial sale of an instrument in Accrued expenses and other current liabilities in the Consolidated Balance Sheets.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Preferred Stock</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classified the Series A, Series B, Series C, Series D, and Series E Convertible Preferred Stock (“Convertible Preferred Stock”) as mezzanine equity. The Convertible Preferred Stock was recorded outside of stockholders’ equity (deficit) because the Convertible Preferred Stock included a redemption provision upon a change of control, which was deemed a liquidation event that was considered outside the Company’s control. The Convertible Preferred Stock was recorded at their original issue price, net of issuance costs. Subsequent adjustments to increase or decrease the carrying values to their respective liquidation prices were made when the change of control occurred in June 2021.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The Company has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considers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The Company typically provides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Consolidated Statements of Operations and Comprehensive Loss. The Company has determined the standard first-year warranty is not a distinct performance obligation.</w:t>
      </w:r>
    </w:p>
    <w:p>
      <w:pPr>
        <w:spacing w:after="0" w:line="3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disaggregates revenue from contracts with customers by type of revenue. The Company believes product revenue and service revenue aggregate the payor types by nature, amount, timing and uncertainty of its revenue streams. Total revenue generated from domestic and international sales was $0.8 million and $0.3 million, respectively, for the year ended December 31, 2023. There was no revenue generated from domestic or international sales for the year ended December 31,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Deferred revenue primarily consists of billings and payments received in advance of revenue recognition from service maintenance contracts including software subscription and advanced training, and is reduced as the revenue recognition criteria are met. Deferred revenue also includes advanced training provided to customers until the service has been performed. Deferred revenue that will be recognized as revenue within the succeeding 12-month period is recorded as current and is included within Accrued expenses and other current liabilities in the Company’s Consolidated Balance Sheets. The portion of deferred revenue where revenue is expected to be recognized beyond 12 months from the reporting date is recorded as non-current deferred revenue and is included in Other long-term liabilities in the Company’s Consolidated Balance Sheets.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December 31, 2023, the Company had deferred revenue of $0.1 million included within Accrued expenses and other current liabilities in the Company’s Consolidated Balance Sheets. As of December 31, 2023, amounts included within Other long-term liabilities in the Company’s Consolidated Balance Sheets were immaterial. The Company expects to recognize approximately 80% of its remaining performance obligations as revenue for the year ending December 31, 2024.</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Deferred revenue included in the Consolidated Balance Sheets as of December 31, 2022 was immaterial and was recognized as revenue in the Consolidated Statements of Operations and Comprehensive Loss for the year ended December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Shipping and Handling Costs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Shipping and handling costs associated with outbound freight after control of a product has transferred to a customer are accounted for as fulfillment costs and are included in Cost of revenue in the Consolidated Statements of Operations and Comprehensive Loss. Shipping and handling costs billed to customers are considered part of the transaction price and are recognized as revenue with the underlying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and are primarily related to the development of new products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 Advertising costs are expensed as incurred. Advertising expenses were $0.4 million for the year ended December 31, 2023. Advertising expenses were immaterial for the year ended December 31, 2022. There were no advertising expenses for the year ended December 31,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attributable to common shareholders by the weighted-average number of shares of common stock of the Company outstanding during the period, without consideration of potentially dilutive securities.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Diluted net loss per share is computed by dividing the net loss attributable to common stockholders by the weighted average number of common shares plus the common equivalent shares of the period, including any dilutive effect from such shares. The Company’s diluted net loss per share is the same as basic net loss per share for all periods presented, since the effect of potentially dilutive securities is anti-dilutive. For further discussion, please refer to Note 13. Net Loss Per Share.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non-financing event performance conditions on an accelerated basis is recognized as though each vesting portion of the award was, in substance, a separate award.</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Prior to the Business Combination, the fair value of the shares of common stock underlying stock options had historically been determined by the Board, with input from management and contemporaneous third-party valuations, as there was no public market for the common stock. Given the absence of a public trading market for the Company’s common stock, the Board exercised reasonable judgment and considered numerous objective and subjective factors to determine the best estimate of the fair value of the Company’s common stock at each option grant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After the completion of the Business Combination, the Company measures compensation expense for stock-based awards to employees, non-employees and directors based upon the awards’ initial grant-date fair values. Stock-based compensation expense for stock options, restricted stock units and performance awards is recorded over the requisite service period. For awards with only a service condition, the Company expenses stock-based compensation using the straight-line method over the requisite service period for the entire award. For awards with a market condition, the Company expenses the grant date fair value at the target over the vesting period regardless of the value the award recipients ultimately receive. The fair value of restricted stock without a market condition is estimated using the current market price of the Company’s common stock on the date of grant. The fair value of stock option grants with a market condition is estimated at the date of grant using the Monte Carlo simulation model (“Monte Carlo”). The fair values of stock option grants are estimated as of the date of grant by applying the Black-Scholes option valuation model (“Black-Scholes”). The Black-Scholes and Monte Carlo models incorporate assumptions as to stock price volatility, the expected life of options or restricted stock, a risk-free interest rate and dividend yield. The effect of forfeiture in compensation costs is recognized based on actual forfeitures when they occur.</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Black-Scholes is affected by the stock price on the date of the grant as well as assumptions regarding a number of highly complex and subjective variables. These variables include the expected term of the option, expected risk-free interest rate, the expected volatility of common stock, and expected dividend yield; each of which is described below. The assumptions for expected term and expected volatility are the two assumptions that significantly affect the grant date fair value.</w:t>
      </w:r>
    </w:p>
    <w:p>
      <w:pPr>
        <w:spacing w:after="0" w:line="160" w:lineRule="exact"/>
        <w:rPr>
          <w:sz w:val="20"/>
          <w:szCs w:val="20"/>
          <w:color w:val="auto"/>
        </w:rPr>
      </w:pPr>
    </w:p>
    <w:p>
      <w:pPr>
        <w:ind w:left="780" w:hanging="308"/>
        <w:spacing w:after="0"/>
        <w:tabs>
          <w:tab w:leader="none" w:pos="7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using the “simplified” method, which is the simple average of the vesting period and the contractual term.</w:t>
      </w:r>
    </w:p>
    <w:p>
      <w:pPr>
        <w:spacing w:after="0" w:line="220" w:lineRule="exact"/>
        <w:rPr>
          <w:rFonts w:ascii="Times New Roman" w:cs="Times New Roman" w:eastAsia="Times New Roman" w:hAnsi="Times New Roman"/>
          <w:sz w:val="17"/>
          <w:szCs w:val="17"/>
          <w:color w:val="auto"/>
        </w:rPr>
      </w:pPr>
    </w:p>
    <w:p>
      <w:pPr>
        <w:ind w:left="780" w:hanging="308"/>
        <w:spacing w:after="0" w:line="295" w:lineRule="auto"/>
        <w:tabs>
          <w:tab w:leader="none" w:pos="7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risk-free interest rate for periods within the expected term of the awards is based on the U.S. Treasury yield curve in effect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the time of the grant.</w:t>
      </w:r>
    </w:p>
    <w:p>
      <w:pPr>
        <w:spacing w:after="0" w:line="143" w:lineRule="exact"/>
        <w:rPr>
          <w:rFonts w:ascii="Times New Roman" w:cs="Times New Roman" w:eastAsia="Times New Roman" w:hAnsi="Times New Roman"/>
          <w:sz w:val="17"/>
          <w:szCs w:val="17"/>
          <w:color w:val="auto"/>
        </w:rPr>
      </w:pPr>
    </w:p>
    <w:p>
      <w:pPr>
        <w:ind w:left="780" w:hanging="308"/>
        <w:spacing w:after="0" w:line="295" w:lineRule="auto"/>
        <w:tabs>
          <w:tab w:leader="none" w:pos="7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Stock Price Volatility</w:t>
      </w:r>
      <w:r>
        <w:rPr>
          <w:rFonts w:ascii="Times New Roman" w:cs="Times New Roman" w:eastAsia="Times New Roman" w:hAnsi="Times New Roman"/>
          <w:sz w:val="17"/>
          <w:szCs w:val="17"/>
          <w:color w:val="auto"/>
        </w:rPr>
        <w:t>: The Company determined expected annual equity volatility based on the combination of the historical volatility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and the historical volatility of the common stock comparable to the Company’s common stock.</w:t>
      </w:r>
    </w:p>
    <w:p>
      <w:pPr>
        <w:spacing w:after="0" w:line="143" w:lineRule="exact"/>
        <w:rPr>
          <w:rFonts w:ascii="Times New Roman" w:cs="Times New Roman" w:eastAsia="Times New Roman" w:hAnsi="Times New Roman"/>
          <w:sz w:val="17"/>
          <w:szCs w:val="17"/>
          <w:color w:val="auto"/>
        </w:rPr>
      </w:pPr>
    </w:p>
    <w:p>
      <w:pPr>
        <w:ind w:left="780" w:hanging="308"/>
        <w:spacing w:after="0" w:line="295" w:lineRule="auto"/>
        <w:tabs>
          <w:tab w:leader="none" w:pos="7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Dividend Yield</w:t>
      </w:r>
      <w:r>
        <w:rPr>
          <w:rFonts w:ascii="Times New Roman" w:cs="Times New Roman" w:eastAsia="Times New Roman" w:hAnsi="Times New Roman"/>
          <w:sz w:val="17"/>
          <w:szCs w:val="17"/>
          <w:color w:val="auto"/>
        </w:rPr>
        <w:t>: Because the Company has never paid a dividend and does not expect to begin doing so in the foreseeable future, we assume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 yield in valuing the stock-based awards.</w:t>
      </w:r>
    </w:p>
    <w:p>
      <w:pPr>
        <w:spacing w:after="0" w:line="143" w:lineRule="exact"/>
        <w:rPr>
          <w:rFonts w:ascii="Times New Roman" w:cs="Times New Roman" w:eastAsia="Times New Roman" w:hAnsi="Times New Roman"/>
          <w:sz w:val="17"/>
          <w:szCs w:val="17"/>
          <w:color w:val="auto"/>
        </w:rPr>
      </w:pPr>
    </w:p>
    <w:p>
      <w:pPr>
        <w:ind w:left="780" w:hanging="308"/>
        <w:spacing w:after="0"/>
        <w:tabs>
          <w:tab w:leader="none" w:pos="7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The exercise price is taken directly from the grant notice issued to employees and nonemployees.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utilizes the asset and liability method of accounting for income taxes.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some or all of the net deferred tax assets will not be realized.</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applicable. As of December 31, 2023 and 2022, the Company had gross unrecognized tax benefits of approximately $1.4 million and $0 million, respectively. The Company did not accrue interest or penalties associated with any uncertain tax positions, and no interest or penalties were recognized during the years ended December 31, 2023,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The amendments may be applied prospectively or retrospectively. The Company is currently evaluating the effect ASU 2023-09 may have on its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Business Combination</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discussed in Note 1. Organization and Description of Business, on June 10, 2021, the Company consummated the Business Combination, with Legacy Quantum-Si surviving the Merger as a wholly owned subsidiary of the Company.</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Pursuant to the Business Combination Agreement, at the effective time of the Merger (the “Effective Time”), each share of Legacy Quantum-Si capital stock (other than shares of Legacy Quantum-Si Series A preferred stock) that was issued and outstanding was automatically cancelled and extinguished and converted into the right to receive 0.7975 (the “Exchange Ratio”) shares of the Company’s Class A common stock, and each share of Legacy Quantum-Si Series A preferred stock that was issued and outstanding was automatically cancelled and extinguished and converted into the right to receive the number of shares of the Company’s Class B common stock equal to the Exchange Ratio.</w:t>
      </w:r>
    </w:p>
    <w:p>
      <w:pPr>
        <w:sectPr>
          <w:pgSz w:w="11900" w:h="16838" w:orient="portrait"/>
          <w:cols w:equalWidth="0" w:num="1">
            <w:col w:w="11240"/>
          </w:cols>
          <w:pgMar w:left="320" w:top="115"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total number of shares of the Company’s Class A common stock outstanding immediately following the Closing was 116,463,160, and the total number of the Company’s Class B common stock outstanding immediately following the Closing was 19,937,500.</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connection with the Business Combination, certain institutional investors purchased from the Company an aggregate of 42,500,000 shares of the Company’s Class A common stock for a purchase price of $10.00 per share and an aggregate purchase price of $425,001 pursuant to separate subscription agreements entered into effective as of February 18, 2021. In addition, pursuant to subscription agreements entered into effective as of February 18, 2021, certain affiliates of Foresite Capital Management, LLC purchased an aggregate of 696,250 shares of the Company’s Class A common stock at a purchase price of $0.001 per share for aggregate purchase price of $1 after a corresponding number of shares of the Company’s Class A common stock was irrevocably forfeited by the Sponsor to HighCape for no consideration and automatically cancelled.</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in accordance with U.S. GAAP primarily due to the fact that Legacy Quantum-Si stockholders continued to control the Company following the Closing of the Business Combination. Under this method of accounting, HighCape was treated as the “acquired” company for accounting purposes and the Business Combination was treated as the equivalent of Legacy Quantum-Si issuing stock for the net assets of HighCape, accompanied by a recapitalization. The net assets of HighCape were stated at historical cost, with no goodwill or other intangible assets recorded. Reported shares and earnings per share available to holders of the Company’s capital stock and equity awards prior to the Business Combination were retroactively restated reflecting the Exchange Ratio.</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Upon the Closing, the Company’s certificate of incorporation was amended and restated to, among other things, adopt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and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Acquisition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Majelac Technologies LLC</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Pursuant to the terms and conditions of an Asset Purchase Agreement by and among the Company, Majelac Technologies LLC (“Majelac”), and certain other parties, on November 5, 2021 (the “Majelac Closing Date”), the Company acquired certain assets and assumed certain liabilities of Majelac, a privately-owned company providing semiconductor chip assembly and packaging capabilities located in Pennsylvania. The acquisition brought semiconductor chip assembly and packaging capabilities in-house to secure the Company’s supply chain and support its commercialization efforts. Prior to the acquisition, Majelac was a vendor of the Company.</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total purchase price of $10.4 million consists of $4.6 million in cash and 535,715 shares of Class A common stock, valued at $4.2 million, issued to Majelac at the close of the acquisition; approximately $0.5 million additional cash paid six months after the Majelac Closing Date; additional 59,523 shares of Class A common stock valued at $0.5 million were issued to Majelac 12 months after the Majelac Closing Date; additional milestone-based consideration of up to $0.8 million, which was fair valued at $0.5 million at the Majelac Closing Date. On May 4, 2022, the Company paid Majelac $0.4 million (fair value of $0.3 million at the Majelac Closing Date) for the first of two milestones that was met.</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Of the total purchase price for the acquisition of $10.4 million, $9.5 million was attributable to goodwill. During the fourth quarter ended December 31, 2022, the Company concluded the goodwill from the Majelac acquisition was fully impaired and recorded a charge of $9.5 million in the Consolidated Statements of Operations and Comprehensive Loss.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second quarter of 2023, the Company determined the estimated fair value of the contingent consideration was de minimis as the probability of the second milestone being met by November 1, 2023 was remote. There was no subsequent change in the third or fourth quarter of 2023. As a result, the Company recorded a gain of $0.4 million during the year ended December 31, 2023 in Other income, net, in the Consolidated Statements of Operations and Comprehensive Loss.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Investments in Marketable Securities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years ended December 31, 2022 and 2021, the Company’s investments in marketable securities were determined to be trading securities and were comprised of fixed income mutual funds, reported at fair value, with gains or losses resulting from changes in fair value recognized within net income in the Consolidated Statements of Operations and Comprehensive Loss. In the fourth quarter of 2023, these trading securities were sold. The Company reinvested the funds received from the sale in marketable securities deemed to be available-for-sale securities. Gross unrealized gains or losses resulting from changes in available-for-sale securities for the year ended December 31, 2023 were deemed immaterial.</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Dividend income from marketable securities, realized and unrealized gain (loss) on marketable securities, net, related to the Company’s trading securities for the year ended December 31, 2023, 2022 and 2021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income from marketable securities</w:t>
            </w: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9,536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100" w:type="dxa"/>
            <w:vAlign w:val="bottom"/>
            <w:shd w:val="clear" w:color="auto" w:fill="CCEEFF"/>
          </w:tcPr>
          <w:p>
            <w:pPr>
              <w:spacing w:after="0"/>
              <w:rPr>
                <w:sz w:val="18"/>
                <w:szCs w:val="18"/>
                <w:color w:val="auto"/>
              </w:rPr>
            </w:pP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marketable securities, net</w:t>
            </w: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5,587</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(20,603)</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(5,023)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Company’s available-for-sale securities recorded within Marketable securities in the Consolidated Balance Sheets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left="53"/>
              <w:spacing w:after="0" w:line="188" w:lineRule="exact"/>
              <w:rPr>
                <w:sz w:val="20"/>
                <w:szCs w:val="20"/>
                <w:color w:val="auto"/>
              </w:rPr>
            </w:pPr>
            <w:r>
              <w:rPr>
                <w:rFonts w:ascii="Times New Roman" w:cs="Times New Roman" w:eastAsia="Times New Roman" w:hAnsi="Times New Roman"/>
                <w:sz w:val="17"/>
                <w:szCs w:val="17"/>
                <w:b w:val="1"/>
                <w:bCs w:val="1"/>
                <w:color w:val="auto"/>
              </w:rPr>
              <w:t>Gross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7"/>
                <w:szCs w:val="17"/>
                <w:b w:val="1"/>
                <w:bCs w:val="1"/>
                <w:color w:val="auto"/>
              </w:rPr>
              <w:t>Gross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980" w:type="dxa"/>
            <w:vAlign w:val="bottom"/>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Realized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2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Fair</w:t>
            </w: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Costs</w:t>
            </w:r>
          </w:p>
        </w:tc>
        <w:tc>
          <w:tcPr>
            <w:tcW w:w="980" w:type="dxa"/>
            <w:vAlign w:val="bottom"/>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Gains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marketable securities: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82,625</w:t>
            </w:r>
          </w:p>
        </w:tc>
        <w:tc>
          <w:tcPr>
            <w:tcW w:w="240" w:type="dxa"/>
            <w:vAlign w:val="bottom"/>
          </w:tcPr>
          <w:p>
            <w:pPr>
              <w:spacing w:after="0"/>
              <w:rPr>
                <w:sz w:val="18"/>
                <w:szCs w:val="18"/>
                <w:color w:val="auto"/>
              </w:rPr>
            </w:pP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82,640</w:t>
            </w: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41,236</w:t>
            </w:r>
          </w:p>
        </w:tc>
      </w:tr>
      <w:tr>
        <w:trPr>
          <w:trHeight w:val="26"/>
        </w:trPr>
        <w:tc>
          <w:tcPr>
            <w:tcW w:w="5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123,854</w:t>
            </w:r>
          </w:p>
        </w:tc>
        <w:tc>
          <w:tcPr>
            <w:tcW w:w="240" w:type="dxa"/>
            <w:vAlign w:val="bottom"/>
          </w:tcPr>
          <w:p>
            <w:pPr>
              <w:spacing w:after="0"/>
              <w:rPr>
                <w:sz w:val="18"/>
                <w:szCs w:val="18"/>
                <w:color w:val="auto"/>
              </w:rPr>
            </w:pP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123,876</w:t>
            </w: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2023, the fair values of the Company’s available-for-sale securities included within Marketable securities in the Consolidated Balance Sheets, by remaining contractual maturity,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3"/>
              <w:spacing w:after="0" w:line="188" w:lineRule="exact"/>
              <w:rPr>
                <w:sz w:val="20"/>
                <w:szCs w:val="20"/>
                <w:color w:val="auto"/>
              </w:rPr>
            </w:pPr>
            <w:r>
              <w:rPr>
                <w:rFonts w:ascii="Times New Roman" w:cs="Times New Roman" w:eastAsia="Times New Roman" w:hAnsi="Times New Roman"/>
                <w:sz w:val="17"/>
                <w:szCs w:val="17"/>
                <w:b w:val="1"/>
                <w:bCs w:val="1"/>
                <w:color w:val="auto"/>
                <w:w w:val="97"/>
              </w:rPr>
              <w:t>Over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w w:val="99"/>
              </w:rPr>
              <w:t>One Year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One Year</w:t>
            </w:r>
          </w:p>
        </w:tc>
        <w:tc>
          <w:tcPr>
            <w:tcW w:w="12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w w:val="99"/>
              </w:rPr>
              <w:t>Through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Over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or Less</w:t>
            </w:r>
          </w:p>
        </w:tc>
        <w:tc>
          <w:tcPr>
            <w:tcW w:w="120" w:type="dxa"/>
            <w:vAlign w:val="bottom"/>
          </w:tcPr>
          <w:p>
            <w:pPr>
              <w:spacing w:after="0"/>
              <w:rPr>
                <w:sz w:val="20"/>
                <w:szCs w:val="20"/>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w w:val="97"/>
              </w:rPr>
              <w:t>Five Years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Five Years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82,640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82,640</w:t>
            </w: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41,236</w:t>
            </w:r>
          </w:p>
        </w:tc>
      </w:tr>
      <w:tr>
        <w:trPr>
          <w:trHeight w:val="26"/>
        </w:trPr>
        <w:tc>
          <w:tcPr>
            <w:tcW w:w="5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123,876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123,876</w:t>
            </w:r>
          </w:p>
        </w:tc>
      </w:tr>
      <w:tr>
        <w:trPr>
          <w:trHeight w:val="20"/>
        </w:trPr>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Fair Value of Financial Instruments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60" w:lineRule="exact"/>
        <w:rPr>
          <w:sz w:val="20"/>
          <w:szCs w:val="20"/>
          <w:color w:val="auto"/>
        </w:rPr>
      </w:pP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  Valuations based on quoted prices in active markets for identical assets or liabilities that an entity has the ability to access.</w:t>
      </w:r>
    </w:p>
    <w:p>
      <w:pPr>
        <w:spacing w:after="0" w:line="220" w:lineRule="exact"/>
        <w:rPr>
          <w:rFonts w:ascii="Times New Roman" w:cs="Times New Roman" w:eastAsia="Times New Roman" w:hAnsi="Times New Roman"/>
          <w:sz w:val="17"/>
          <w:szCs w:val="17"/>
          <w:color w:val="auto"/>
        </w:rPr>
      </w:pPr>
    </w:p>
    <w:p>
      <w:pPr>
        <w:ind w:left="620" w:hanging="304"/>
        <w:spacing w:after="0" w:line="295"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Valuations based on quoted prices for similar assets or liabilities, quoted prices for identical assets or liabilities in markets that are not active,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inputs that are observable or can be corroborated by observable data for substantially the full term of the assets or liabilities.</w:t>
      </w:r>
    </w:p>
    <w:p>
      <w:pPr>
        <w:spacing w:after="0" w:line="14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Valuations based on inputs that are supported by little or no market activity and that are significant to the fair value of the assets or liabilities.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carrying value of cash and cash equivalents, accounts payable and accrued expenses and other current liabilities approximates their fair values due to the short-term or on demand nature of these instruments. At December 31, 2023, the Company’s investment portfolio included available-for-sale securities which were comprised of money market funds, U.S. treasury bills and commercial paper. At December 31, 2022, the Company’s investment portfolio included trading securities, which were comprised of fixed income mutual funds and money market funds. The majority of the Company’s cash equivalents and short-term investments consist of instruments classified as Level 1. However, the Company has commercial paper that is classified as Level 2 due to the fact that the fair value for these instruments is determined utilizing observable inputs in similar assets or identical assets in non-active markets. There were no transfers between fair value measurement levels during the years ended December 31, 2023 and 2022.</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Warrants are recorded as Warrant liabilities in the Consolidated Balance Sheets. The warrant liabilities are measured at fair value at inception and on a recurring basis, with changes in fair value presented as Change in fair value of warrant liabilities in the Consolidated Statements of Operations and Comprehensive Loss.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Public Warrants and Private Warrants were carried at fair value as of December 31, 2023 and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December 31, 2023, the significant assumptions used in preparing the binomial lattice model for valuing the Private Warrants liability include (i) volatility of 92.1%, (ii) risk-free interest rate of 4.10%, (iii) strike price of $11.50, (iv) fair value of common stock of $2.01, and (v) expected life of 2.4 years. As of December 31, 2022, the significant assumptions used in preparing the binomial lattice model for valuing the Private Warrants liability include (i) volatility of 75.1%, (ii) risk-free interest rate of 4.10%, (iii) strike price of $11.50, (iv) fair value of common stock of $1.83, and (v) expected life of 3.4 years.</w:t>
      </w: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following tables set forth the Company’s fair value hierarchy for assets and liabilities measured at fair value as of December 31, 2023 and 2022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Assets:</w:t>
            </w:r>
          </w:p>
        </w:tc>
        <w:tc>
          <w:tcPr>
            <w:tcW w:w="1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5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50,226</w:t>
            </w:r>
          </w:p>
        </w:tc>
        <w:tc>
          <w:tcPr>
            <w:tcW w:w="0" w:type="dxa"/>
            <w:vAlign w:val="bottom"/>
          </w:tcPr>
          <w:p>
            <w:pPr>
              <w:spacing w:after="0"/>
              <w:rPr>
                <w:sz w:val="1"/>
                <w:szCs w:val="1"/>
                <w:color w:val="auto"/>
              </w:rPr>
            </w:pPr>
          </w:p>
        </w:tc>
      </w:tr>
      <w:tr>
        <w:trPr>
          <w:trHeight w:val="208"/>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59,654</w:t>
            </w: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Commercial paper</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19,436</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19,436</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82,640</w:t>
            </w:r>
          </w:p>
        </w:tc>
        <w:tc>
          <w:tcPr>
            <w:tcW w:w="0" w:type="dxa"/>
            <w:vAlign w:val="bottom"/>
          </w:tcPr>
          <w:p>
            <w:pPr>
              <w:spacing w:after="0"/>
              <w:rPr>
                <w:sz w:val="1"/>
                <w:szCs w:val="1"/>
                <w:color w:val="auto"/>
              </w:rPr>
            </w:pPr>
          </w:p>
        </w:tc>
      </w:tr>
      <w:tr>
        <w:trPr>
          <w:trHeight w:val="214"/>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Commercial paper</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41,236</w:t>
            </w: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41,236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 at fair value on a recurring basis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192,520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60,672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Public Warrants</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2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1,227</w:t>
            </w: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Private Warrants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6"/>
        </w:trPr>
        <w:tc>
          <w:tcPr>
            <w:tcW w:w="46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at fair value on a recurring basis</w:t>
            </w:r>
          </w:p>
        </w:tc>
        <w:tc>
          <w:tcPr>
            <w:tcW w:w="13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2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Assets: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5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83,079</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266,990</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 at fair value on a recurring basis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350,069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Public Warrants</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2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Private Warrants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6"/>
        </w:trPr>
        <w:tc>
          <w:tcPr>
            <w:tcW w:w="46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at fair value on a recurring basis</w:t>
            </w:r>
          </w:p>
        </w:tc>
        <w:tc>
          <w:tcPr>
            <w:tcW w:w="13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2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6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7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0"/>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7. Inventory, Net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net, consists of the following as of December 31, 2023 and 2022 (in thousands):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1,608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 in progress</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1,558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98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 inventory, net</w:t>
            </w: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3,945</w:t>
            </w:r>
          </w:p>
        </w:tc>
        <w:tc>
          <w:tcPr>
            <w:tcW w:w="2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During the fourth quarter of 2023 the Company secured critical parts required to transition its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contract manufacturing process to a new manufacturing partner. As part of this process, the Company was required to buy a minimum amount of parts from the former contracted manufacturer, resulting in excess inventory. During the year ended December 31, 2023, the Company recorded a $3.4 million reserve against inventory in Research and development expenses in the Consolidated Statements of Operations and Comprehensive Loss related to product that was considered to not have an alternative future use. Additionally, immaterial inventory reserves were included in Cost of revenue in the Consolidated Statements of Operations and Comprehensive Loss. There were no such reserves recorded against inventory for the years ended December 31, 2022 or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8. Property and Equipment, Net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 consists of the following as of December 31, 2023 and 2022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and production equipment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14,031</w:t>
            </w: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1,073</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1,308</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in process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6,234</w:t>
            </w:r>
          </w:p>
        </w:tc>
      </w:tr>
      <w:tr>
        <w:trPr>
          <w:trHeight w:val="208"/>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26,318</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23,052</w:t>
            </w:r>
          </w:p>
        </w:tc>
        <w:tc>
          <w:tcPr>
            <w:tcW w:w="10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(10,043)</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(6,203)</w:t>
            </w:r>
          </w:p>
        </w:tc>
      </w:tr>
      <w:tr>
        <w:trPr>
          <w:trHeight w:val="248"/>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years ended December 31, 2023, 2022 and 2021, depreciation and amortization expense was $4.2 million, $2.6 million and $1.0 million, respectively. The Company had losses on disposals of $0.1 million relating to property and equipment of $0.3 million with accumulated depreciation and amortization of $0.2 million for the years ended December 31, 2023 and 2022. For the year ended December 31, 2021 the Company had losses on disposals of $0.1 million relating to property and equipment of $0.5 million with accumulated depreciation and amortization of $0.4 million.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0"/>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9. Leases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Lease-related costs for the years ended December 31, 2023 and 2022 are as follows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00" w:type="dxa"/>
            <w:vAlign w:val="bottom"/>
            <w:shd w:val="clear" w:color="auto" w:fill="CCEEFF"/>
          </w:tcPr>
          <w:p>
            <w:pPr>
              <w:spacing w:after="0"/>
              <w:rPr>
                <w:sz w:val="18"/>
                <w:szCs w:val="18"/>
                <w:color w:val="auto"/>
              </w:rPr>
            </w:pP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1,370</w:t>
            </w:r>
          </w:p>
        </w:tc>
      </w:tr>
      <w:tr>
        <w:trPr>
          <w:trHeight w:val="248"/>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lease cost</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December 31, 2023, the maturities of the operating lease liabilities and a reconciliation to the present value of lease liabilities were as follows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34"/>
        </w:trPr>
        <w:tc>
          <w:tcPr>
            <w:tcW w:w="99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Lease Payments</w:t>
            </w:r>
          </w:p>
        </w:tc>
      </w:tr>
      <w:tr>
        <w:trPr>
          <w:trHeight w:val="20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160" w:type="dxa"/>
            <w:vAlign w:val="bottom"/>
            <w:shd w:val="clear" w:color="auto" w:fill="CCEEFF"/>
          </w:tcPr>
          <w:p>
            <w:pPr>
              <w:spacing w:after="0"/>
              <w:rPr>
                <w:sz w:val="18"/>
                <w:szCs w:val="18"/>
                <w:color w:val="auto"/>
              </w:rPr>
            </w:pPr>
          </w:p>
        </w:tc>
      </w:tr>
      <w:tr>
        <w:trPr>
          <w:trHeight w:val="208"/>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4,527</w:t>
            </w:r>
          </w:p>
        </w:tc>
        <w:tc>
          <w:tcPr>
            <w:tcW w:w="160" w:type="dxa"/>
            <w:vAlign w:val="bottom"/>
          </w:tcPr>
          <w:p>
            <w:pPr>
              <w:spacing w:after="0"/>
              <w:rPr>
                <w:sz w:val="18"/>
                <w:szCs w:val="18"/>
                <w:color w:val="auto"/>
              </w:rPr>
            </w:pPr>
          </w:p>
        </w:tc>
      </w:tr>
      <w:tr>
        <w:trPr>
          <w:trHeight w:val="20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4,585</w:t>
            </w:r>
          </w:p>
        </w:tc>
        <w:tc>
          <w:tcPr>
            <w:tcW w:w="160" w:type="dxa"/>
            <w:vAlign w:val="bottom"/>
            <w:shd w:val="clear" w:color="auto" w:fill="CCEEFF"/>
          </w:tcPr>
          <w:p>
            <w:pPr>
              <w:spacing w:after="0"/>
              <w:rPr>
                <w:sz w:val="18"/>
                <w:szCs w:val="18"/>
                <w:color w:val="auto"/>
              </w:rPr>
            </w:pPr>
          </w:p>
        </w:tc>
      </w:tr>
      <w:tr>
        <w:trPr>
          <w:trHeight w:val="208"/>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4,549</w:t>
            </w:r>
          </w:p>
        </w:tc>
        <w:tc>
          <w:tcPr>
            <w:tcW w:w="160" w:type="dxa"/>
            <w:vAlign w:val="bottom"/>
          </w:tcPr>
          <w:p>
            <w:pPr>
              <w:spacing w:after="0"/>
              <w:rPr>
                <w:sz w:val="18"/>
                <w:szCs w:val="18"/>
                <w:color w:val="auto"/>
              </w:rPr>
            </w:pPr>
          </w:p>
        </w:tc>
      </w:tr>
      <w:tr>
        <w:trPr>
          <w:trHeight w:val="208"/>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60" w:type="dxa"/>
            <w:vAlign w:val="bottom"/>
            <w:shd w:val="clear" w:color="auto" w:fill="CCEEFF"/>
          </w:tcPr>
          <w:p>
            <w:pPr>
              <w:spacing w:after="0"/>
              <w:rPr>
                <w:sz w:val="18"/>
                <w:szCs w:val="18"/>
                <w:color w:val="auto"/>
              </w:rPr>
            </w:pPr>
          </w:p>
        </w:tc>
      </w:tr>
      <w:tr>
        <w:trPr>
          <w:trHeight w:val="214"/>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10,053</w:t>
            </w:r>
          </w:p>
        </w:tc>
        <w:tc>
          <w:tcPr>
            <w:tcW w:w="160" w:type="dxa"/>
            <w:vAlign w:val="bottom"/>
          </w:tcPr>
          <w:p>
            <w:pPr>
              <w:spacing w:after="0"/>
              <w:rPr>
                <w:sz w:val="18"/>
                <w:szCs w:val="18"/>
                <w:color w:val="auto"/>
              </w:rPr>
            </w:pPr>
          </w:p>
        </w:tc>
      </w:tr>
      <w:tr>
        <w:trPr>
          <w:trHeight w:val="208"/>
        </w:trPr>
        <w:tc>
          <w:tcPr>
            <w:tcW w:w="9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remaining undiscounted lease payments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31,125</w:t>
            </w:r>
          </w:p>
        </w:tc>
        <w:tc>
          <w:tcPr>
            <w:tcW w:w="160" w:type="dxa"/>
            <w:vAlign w:val="bottom"/>
            <w:shd w:val="clear" w:color="auto" w:fill="CCEEFF"/>
          </w:tcPr>
          <w:p>
            <w:pPr>
              <w:spacing w:after="0"/>
              <w:rPr>
                <w:sz w:val="18"/>
                <w:szCs w:val="18"/>
                <w:color w:val="auto"/>
              </w:rPr>
            </w:pPr>
          </w:p>
        </w:tc>
      </w:tr>
      <w:tr>
        <w:trPr>
          <w:trHeight w:val="208"/>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(6,718)</w:t>
            </w:r>
          </w:p>
        </w:tc>
      </w:tr>
      <w:tr>
        <w:trPr>
          <w:trHeight w:val="214"/>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Lease incentives (1)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(9,104)</w:t>
            </w:r>
          </w:p>
        </w:tc>
      </w:tr>
      <w:tr>
        <w:trPr>
          <w:trHeight w:val="208"/>
        </w:trPr>
        <w:tc>
          <w:tcPr>
            <w:tcW w:w="99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15,303</w:t>
            </w:r>
          </w:p>
        </w:tc>
        <w:tc>
          <w:tcPr>
            <w:tcW w:w="160" w:type="dxa"/>
            <w:vAlign w:val="bottom"/>
            <w:tcBorders>
              <w:top w:val="single" w:sz="8" w:color="CCEEFF"/>
            </w:tcBorders>
          </w:tcPr>
          <w:p>
            <w:pPr>
              <w:spacing w:after="0"/>
              <w:rPr>
                <w:sz w:val="18"/>
                <w:szCs w:val="18"/>
                <w:color w:val="auto"/>
              </w:rPr>
            </w:pPr>
          </w:p>
        </w:tc>
      </w:tr>
      <w:tr>
        <w:trPr>
          <w:trHeight w:val="214"/>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(1,566)</w:t>
            </w:r>
          </w:p>
        </w:tc>
      </w:tr>
      <w:tr>
        <w:trPr>
          <w:trHeight w:val="208"/>
        </w:trPr>
        <w:tc>
          <w:tcPr>
            <w:tcW w:w="99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13,737</w:t>
            </w:r>
          </w:p>
        </w:tc>
        <w:tc>
          <w:tcPr>
            <w:tcW w:w="160" w:type="dxa"/>
            <w:vAlign w:val="bottom"/>
            <w:tcBorders>
              <w:top w:val="single" w:sz="8" w:color="CCEEFF"/>
            </w:tcBorders>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17"/>
                <w:szCs w:val="17"/>
                <w:color w:val="auto"/>
              </w:rPr>
            </w:pPr>
          </w:p>
        </w:tc>
      </w:tr>
      <w:tr>
        <w:trPr>
          <w:trHeight w:val="226"/>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r>
    </w:tbl>
    <w:p>
      <w:pPr>
        <w:spacing w:after="0" w:line="64" w:lineRule="exact"/>
        <w:rPr>
          <w:sz w:val="20"/>
          <w:szCs w:val="20"/>
          <w:color w:val="auto"/>
        </w:rPr>
      </w:pPr>
    </w:p>
    <w:p>
      <w:pPr>
        <w:ind w:left="340" w:hanging="336"/>
        <w:spacing w:after="0"/>
        <w:tabs>
          <w:tab w:leader="none" w:pos="34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lease incentives that may be realized in 2024 for the costs of leasehold improvements.</w:t>
      </w:r>
    </w:p>
    <w:p>
      <w:pPr>
        <w:spacing w:after="0" w:line="18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table provides certain cash flow and supplemental cash flow information related to the Company’s lease liabilities for the years ended December 31, 2023 and 2022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0"/>
                <w:szCs w:val="20"/>
                <w:color w:val="auto"/>
              </w:rPr>
            </w:pPr>
          </w:p>
        </w:tc>
      </w:tr>
      <w:tr>
        <w:trPr>
          <w:trHeight w:val="208"/>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paid to settle operating lease liabilities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120" w:type="dxa"/>
            <w:vAlign w:val="bottom"/>
            <w:shd w:val="clear" w:color="auto" w:fill="CCEEFF"/>
          </w:tcPr>
          <w:p>
            <w:pPr>
              <w:spacing w:after="0"/>
              <w:rPr>
                <w:sz w:val="18"/>
                <w:szCs w:val="18"/>
                <w:color w:val="auto"/>
              </w:rPr>
            </w:pPr>
          </w:p>
        </w:tc>
      </w:tr>
      <w:tr>
        <w:trPr>
          <w:trHeight w:val="226"/>
        </w:trPr>
        <w:tc>
          <w:tcPr>
            <w:tcW w:w="878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lease liabilities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10,033</w:t>
            </w:r>
          </w:p>
        </w:tc>
      </w:tr>
    </w:tbl>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2021, the Company signed a 10-year lease for approximately 67,000 square feet of space in New Haven, Connecticut. The lease commenced on January 8, 2022 with rent payments beginning on July 7, 2022. Under the lease, the landlord agreed to reimburse the Company for up to $9.1 million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The Company accounted for these lease incentives as an offset to the lease liability recorded at the inception of the lease. Although the Company believes it is contractually entitled to the $9.1 million of lease incentives, based on the current status of the litigation, the Company cannot determine the likely outcome or estimate the impact on such carrying values.</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As of December 31, 2023 and 2022, the Company has incurred and recognized total leasehold improvements of approximately $1.6 million and $1.1 million, respectively, related to reimbursable construction costs included in construction in progress within Property and equipment, net, in the Consolidated Balance Sheets.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7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7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10. Accrued Expenses and Other Current Liabilities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as of December 31, 2023 and 2022 (in thousands):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9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acquisition costs and contingencies</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343</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839</w:t>
            </w: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Royalties</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w:t>
            </w:r>
          </w:p>
        </w:tc>
      </w:tr>
      <w:tr>
        <w:trPr>
          <w:trHeight w:val="26"/>
        </w:trPr>
        <w:tc>
          <w:tcPr>
            <w:tcW w:w="980" w:type="dxa"/>
            <w:vAlign w:val="bottom"/>
            <w:shd w:val="clear" w:color="auto" w:fill="CCEEFF"/>
          </w:tcPr>
          <w:p>
            <w:pPr>
              <w:spacing w:after="0"/>
              <w:rPr>
                <w:sz w:val="2"/>
                <w:szCs w:val="2"/>
                <w:color w:val="auto"/>
              </w:rPr>
            </w:pPr>
          </w:p>
        </w:tc>
        <w:tc>
          <w:tcPr>
            <w:tcW w:w="77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1,815</w:t>
            </w:r>
          </w:p>
        </w:tc>
        <w:tc>
          <w:tcPr>
            <w:tcW w:w="2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1,270</w:t>
            </w:r>
          </w:p>
        </w:tc>
      </w:tr>
      <w:tr>
        <w:trPr>
          <w:trHeight w:val="20"/>
        </w:trPr>
        <w:tc>
          <w:tcPr>
            <w:tcW w:w="9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Equity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Equity Offering Program</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August 2023, the Company filed a universal shelf registration statement on Form S-3 (the “Shelf Registration Statement”), which became effective on August 22, 2023, covering the offering of Class A common stock, preferred stock, debt securities, warrants, rights and units.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August 2023, the Company also entered into an Equity Distribution Agreement (“EDA”) with an outside placement agent (the “Agent”), under which the Company may, from time to time, sell shares of the Company’s Class A common stock having an aggregate offering price of up to $75.0 million in “at-the-market” offerings through the Agent (the “ATM Offering”). The Shelf Registration Statement included a prospectus supplement covering the offering, issuance and sale of up to $75.0 million of the Company’s Class A common stock, from time to time, through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The Company has no obligation to sell any shares under the EDA and may at any time suspend solicitation and offers under the EDA. To date, the Company has not issued or sold any shares of the Company’s Class A common stock under the ATM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2023 and 2022, the Company had authorized 600,000,000 shares of Class A common stock at $0.0001 par value per share, of which a total of 121,832,417 and 120,006,757 shares were outstanding,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Holders of Class A common stock will be entitled to cast one vote per Class A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will not be entitled to cumulate their votes in the election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out of funds legally available therefore,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B Common stock</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2023 and 2022, the Company had authorized 27,000,000 shares of Class B common stock at $0.0001 par value per share, of which a total of 19,937,500 shares were outstanding for both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Holders of Class B common stock will be entitled to cast 20 votes per share of Class B common stock.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sectPr>
          <w:pgSz w:w="11900" w:h="16838" w:orient="portrait"/>
          <w:cols w:equalWidth="0" w:num="1">
            <w:col w:w="11240"/>
          </w:cols>
          <w:pgMar w:left="320" w:top="108" w:right="3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2023 and 2022, the Company had authorized 1,000,000 shares of preferred stock at $0.0001 par value per share. There were no preferred shares outstanding for both years.</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Preferred stock may be issued from time to time in one or more series. Any shares of preferred stock which may be redeemed, purchased or acquired by the Company may be reissued except as otherwise provided by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Stock-based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Equity Incentive Plan</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 value, vesting conditions, and classification were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December 31, 2023 and 2022, there were 13,932,697 and 9,133,702 shares, respectively, available for future grant under the 2021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Inducement Equity Incentives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The terms and conditions of the 2023 Inducement Plan are substantially similar to those of the 2021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there were 60,250 shares remaining available for issuance under the 2023 Inducement Plan.</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On November 9, 2022, the Company granted inducement awards to its Chief Executive Officer consisting of 2,780,000 performance-based stock options to purchase Class A common stock pursuant to Nasdaq Rule 5635(c)(4). These awards were not granted pursuant to the 2013 Plan or the 2021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Stock-based compensation related to stock options for the years ended December 31, 2023, 2022 and 2021 was $7.1 million, $7.3 million and $6.1 million, respectively.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2023, the Company granted an aggregate of 10,138,730 stock option awards to participants, with vesting subject to the participant’s continued employment with the Company through the applicable vesting dates and, in specific instances, certain market conditions. These stock option awards included 2,000,000 stock options granted to the Chief Financial Officer which are subject to service and/or certain market conditions. The stock option awards granted to the Chief Financial Officer include 1,000,000 stock options issued from the 2021 Plan and 1,000,000 inducement stock options issued from the 2023 Inducement Plan which are subject to a service condition and certain market conditions. The service condition requires the Chief Financial Officer’s continued employment with the Company through the applicable vesting dates. The market conditions require the Company’s Class A common stock trade above a specified level for a defined period of time. The fair value of awards with market conditions was estimated at the grant date using the Monte Carlo simulation model.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2022, the Company granted 14,271,330 stock option awards to participants with vesting subject to the participant’s continued employment with the Company through the applicable vesting dates and, in specific instances, certain market conditions. These stock option awards included 6,950,000 stock options granted to the Chief Executive Officer which are subject to service and/or certain market conditions and 2,000,000 stock options granted to the prior President and Chief Operating Officer, of which 1,708,334 were forfeited on August 31, 2023 upon the termination of his employment with the Company. The stock options granted to the Chief Executive Officer include 4,170,000 stock options issued from the 2021 Plan and 2,780,000 inducement stock options granted outside of 2021 Plan. The service condition requires the participant’s continued employment with the Company through the applicable vesting dates. The market conditions require the Company’s Class A common stock trade above a specified level for a defined period of time. The fair value of awards with market conditions was estimated at the grant date using the Monte Carlo simulation model.</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2021, the Company granted 3,514,510 stock option awards subject to service and/or certain performance conditions. The service condition required the participant’s continued employment with the Company through the applicable vesting date. The performance condition required the consummation of a contemplated business combination as defined in the option award agreement. For stock options with performance conditions, stock-based compensation expense was only to be recognized if the performance conditions become probable to be satisfied. Accordingly, the Company recorded stock-based compensation expense of $3.1 million for options awards for the year ended December 31, 2021 as the Business Combination was consummated during this time period. There was no such stock-based compensation expense for the years ended December 31, 2023 and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the year ended December 31, 2019 the Company granted approximately 205,000 stock option awards subject to a single performance-based condition, the completion of a financing event related to the Business Combination as defined in the stock option award agreement. For the year ended December 31, 2021, the Company recorded stock-based compensation expense of $0.5 million for these stock option awards as the Business Combination was consummated during this time period and the performance-based condition was met. There was no such stock-based compensation expense for the years ended December 31, 2023 and 2022.</w:t>
      </w:r>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estimates and records the compensation cost associated with the grants described above with an offsetting entry to paid-in capital. The Company utilized the Black-Scholes option pricing model for determining the estimated fair value for service or performance-based stock-based awards. The Black-Scholes option pricing model requires the use of subjective assumptions which determine the fair value of stock-based awards. The assumptions used to value option grants to employees and nonemployees for the years ended December 31, 2023, 2022 and 2021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Borders>
              <w:bottom w:val="single" w:sz="8" w:color="auto"/>
            </w:tcBorders>
            <w:gridSpan w:val="2"/>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r>
      <w:tr>
        <w:trPr>
          <w:trHeight w:val="20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6.2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6.3</w:t>
            </w:r>
          </w:p>
        </w:tc>
      </w:tr>
      <w:tr>
        <w:trPr>
          <w:trHeight w:val="208"/>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center"/>
              <w:ind w:left="114"/>
              <w:spacing w:after="0"/>
              <w:rPr>
                <w:sz w:val="20"/>
                <w:szCs w:val="20"/>
                <w:color w:val="auto"/>
              </w:rPr>
            </w:pPr>
            <w:r>
              <w:rPr>
                <w:rFonts w:ascii="Times New Roman" w:cs="Times New Roman" w:eastAsia="Times New Roman" w:hAnsi="Times New Roman"/>
                <w:sz w:val="17"/>
                <w:szCs w:val="17"/>
                <w:color w:val="auto"/>
              </w:rPr>
              <w:t>1.7% – 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0.9% – 1.4%</w:t>
            </w:r>
          </w:p>
        </w:tc>
      </w:tr>
      <w:tr>
        <w:trPr>
          <w:trHeight w:val="20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Expected volatility</w:t>
            </w:r>
          </w:p>
        </w:tc>
        <w:tc>
          <w:tcPr>
            <w:tcW w:w="15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 - 64%</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58% - 64%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 - 70%</w:t>
            </w:r>
          </w:p>
        </w:tc>
      </w:tr>
      <w:tr>
        <w:trPr>
          <w:trHeight w:val="208"/>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8"/>
                <w:szCs w:val="18"/>
                <w:color w:val="auto"/>
              </w:rPr>
            </w:pPr>
          </w:p>
        </w:tc>
        <w:tc>
          <w:tcPr>
            <w:tcW w:w="900" w:type="dxa"/>
            <w:vAlign w:val="bottom"/>
          </w:tcPr>
          <w:p>
            <w:pPr>
              <w:jc w:val="center"/>
              <w:ind w:right="71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center"/>
              <w:ind w:left="11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fair value/share at grant date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5.25</w:t>
            </w:r>
          </w:p>
        </w:tc>
      </w:tr>
      <w:tr>
        <w:trPr>
          <w:trHeight w:val="549"/>
        </w:trPr>
        <w:tc>
          <w:tcPr>
            <w:tcW w:w="4400" w:type="dxa"/>
            <w:vAlign w:val="bottom"/>
          </w:tcPr>
          <w:p>
            <w:pPr>
              <w:spacing w:after="0"/>
              <w:rPr>
                <w:sz w:val="24"/>
                <w:szCs w:val="24"/>
                <w:color w:val="auto"/>
              </w:rPr>
            </w:pP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4"/>
                <w:szCs w:val="14"/>
                <w:color w:val="auto"/>
              </w:rPr>
              <w:t>94</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
        </w:trPr>
        <w:tc>
          <w:tcPr>
            <w:tcW w:w="44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Table of Contents</w:t>
            </w:r>
          </w:p>
        </w:tc>
        <w:tc>
          <w:tcPr>
            <w:tcW w:w="4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0"/>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the stock option activity is presented in the table below:</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9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9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Aggregate</w:t>
            </w:r>
          </w:p>
        </w:tc>
      </w:tr>
      <w:tr>
        <w:trPr>
          <w:trHeight w:val="208"/>
        </w:trPr>
        <w:tc>
          <w:tcPr>
            <w:tcW w:w="9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Intrinsic Value</w:t>
            </w:r>
          </w:p>
        </w:tc>
      </w:tr>
      <w:tr>
        <w:trPr>
          <w:trHeight w:val="234"/>
        </w:trPr>
        <w:tc>
          <w:tcPr>
            <w:tcW w:w="9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of Options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0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7,369,541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00" w:type="dxa"/>
            <w:vAlign w:val="bottom"/>
            <w:shd w:val="clear" w:color="auto" w:fill="CCEEFF"/>
          </w:tcPr>
          <w:p>
            <w:pPr>
              <w:spacing w:after="0"/>
              <w:rPr>
                <w:sz w:val="18"/>
                <w:szCs w:val="18"/>
                <w:color w:val="auto"/>
              </w:rPr>
            </w:pPr>
          </w:p>
        </w:tc>
      </w:tr>
      <w:tr>
        <w:trPr>
          <w:trHeight w:val="208"/>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(2,661,252)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(495,827)</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7,726,972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5.14</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24,511</w:t>
            </w:r>
          </w:p>
        </w:tc>
      </w:tr>
      <w:tr>
        <w:trPr>
          <w:trHeight w:val="208"/>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14,271,330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(1,123,249)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(1,447,298)</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19,427,755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8.68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w:t>
            </w:r>
          </w:p>
        </w:tc>
      </w:tr>
      <w:tr>
        <w:trPr>
          <w:trHeight w:val="208"/>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10,138,730</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(140,559)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(6,914,026)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22,511,900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2.79</w:t>
            </w:r>
          </w:p>
        </w:tc>
        <w:tc>
          <w:tcPr>
            <w:tcW w:w="1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8.22</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3,194</w:t>
            </w:r>
          </w:p>
        </w:tc>
      </w:tr>
      <w:tr>
        <w:trPr>
          <w:trHeight w:val="200"/>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Exercisable at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6,799,386</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w:t>
            </w:r>
          </w:p>
        </w:tc>
        <w:tc>
          <w:tcPr>
            <w:tcW w:w="16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6.45</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406</w:t>
            </w:r>
          </w:p>
        </w:tc>
      </w:tr>
      <w:tr>
        <w:trPr>
          <w:trHeight w:val="208"/>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expected to vest at December 31, 2023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18,629,173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2.87</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8.06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2,505</w:t>
            </w:r>
          </w:p>
        </w:tc>
      </w:tr>
    </w:tbl>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received cash proceeds from the exercise of stock options of $0.4 million, $2.8 million and $5.6 million during the years ended December 31, 2023, 2022 and 2021, respectively. The total intrinsic value (the amount by which the stock price exceeds the exercise price of the option on the date of exercise) of the stock options exercised during the years ended December 31, 2023, 2022 and 2021, was $0.1 million, $1.9 million and $17.2 million, respectively.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units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2023, the Company granted 786,938 restricted stock unit (“RSU”) awards.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February 8, 2022, John Stark, the Company’s former Chief Executive Officer and member of its board of directors, stepped down from all of his positions with the Company. As a result of Mr. Stark not meeting the service conditions of certain awards previously granted to him, 1,731,371 RSU awards were forfeited, resulting in a reversal of stock-based compensation for the year ended December 31, 2022 of $4.7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year ended December 31, 2021, the Company granted 4,861,315 RSU awards subject to service, performance and/or market conditions. These awards include 1,703,460 and 170,346 RSU awards to the Company’s former Chief Executive Officer and General Counsel, respectively, subject to service and performance conditions, 1,800,000 RSU awards to the Interim Chief Executive Officer and Executive Chairman of the Company and two members of the board of directors subject to service and/or performance conditions, and 453,777 RSU awards to the Company’s former Chief Executive Officer subject to service, market and performance conditions. The service condition requires the participant’s continued employment with the Company through the applicable vesting date, and the performance condition requires the consummation of a contemplated business combination or financing transaction defined in the award agreement. The market condition requires the Company’s Class A common stock subsequent to a business combination trades above a specified level for a defined period of time, or that a subsequent financing transaction meets defined pricing thresholds and that the Company’s common stock subsequent to a business combination trades above a specified level for a defined period of time. For RSU awards with performance conditions, stock-based compensation expense is only recognized if the performance conditions become probable to be satisfied. As the performance condition is a business combination or financing transaction, the performance condition would only become probable once a business combination or financing transaction was consummated. Accordingly, the Company recorded stock-based compensation expense of $18.6 million for the year ended December 31, 2021 related to these RSU awards as the Business Combination was consummated during this time period.</w:t>
      </w:r>
    </w:p>
    <w:p>
      <w:pPr>
        <w:spacing w:after="0" w:line="38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Stock-based compensation related to RSU awards for the years ended December 31, 2023, 2022 and 2021 was $1.4 million, $3.9 million and $18.9 million, respectively.</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number of shares and weighted average grant date fair values of restricted non-vested common stock at the beginning and end of 2023, 2022 and 2021, as well as restricted stock units granted, vested, and forfeited during the year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08"/>
        </w:trPr>
        <w:tc>
          <w:tcPr>
            <w:tcW w:w="8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9"/>
              </w:rPr>
              <w:t>Number of Shares</w:t>
            </w:r>
          </w:p>
        </w:tc>
        <w:tc>
          <w:tcPr>
            <w:tcW w:w="8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Grant-Date Fair</w:t>
            </w:r>
          </w:p>
        </w:tc>
      </w:tr>
      <w:tr>
        <w:trPr>
          <w:trHeight w:val="234"/>
        </w:trPr>
        <w:tc>
          <w:tcPr>
            <w:tcW w:w="826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Underlying RSUs</w:t>
            </w:r>
          </w:p>
        </w:tc>
        <w:tc>
          <w:tcPr>
            <w:tcW w:w="8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Value (per share)</w:t>
            </w:r>
          </w:p>
        </w:tc>
      </w:tr>
      <w:tr>
        <w:trPr>
          <w:trHeight w:val="208"/>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RSUs at December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8.03</w:t>
            </w:r>
          </w:p>
        </w:tc>
      </w:tr>
      <w:tr>
        <w:trPr>
          <w:trHeight w:val="208"/>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(274,343)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8.53</w:t>
            </w:r>
          </w:p>
        </w:tc>
      </w:tr>
      <w:tr>
        <w:trPr>
          <w:trHeight w:val="214"/>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RSUs at December 31, 2021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4,586,972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8.00</w:t>
            </w:r>
          </w:p>
        </w:tc>
      </w:tr>
      <w:tr>
        <w:trPr>
          <w:trHeight w:val="208"/>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66,666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w:t>
            </w:r>
          </w:p>
        </w:tc>
      </w:tr>
      <w:tr>
        <w:trPr>
          <w:trHeight w:val="208"/>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(798,575)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8.24</w:t>
            </w:r>
          </w:p>
        </w:tc>
      </w:tr>
      <w:tr>
        <w:trPr>
          <w:trHeight w:val="214"/>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Forfeited</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(1,836,614)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7.26</w:t>
            </w:r>
          </w:p>
        </w:tc>
      </w:tr>
      <w:tr>
        <w:trPr>
          <w:trHeight w:val="208"/>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RSUs at December 31, 2022</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2,018,449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8.41</w:t>
            </w:r>
          </w:p>
        </w:tc>
      </w:tr>
      <w:tr>
        <w:trPr>
          <w:trHeight w:val="208"/>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w:t>
            </w:r>
          </w:p>
        </w:tc>
      </w:tr>
      <w:tr>
        <w:trPr>
          <w:trHeight w:val="208"/>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(1,685,101)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8.55</w:t>
            </w:r>
          </w:p>
        </w:tc>
      </w:tr>
      <w:tr>
        <w:trPr>
          <w:trHeight w:val="214"/>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Forfeited</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(273,117)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5.89</w:t>
            </w:r>
          </w:p>
        </w:tc>
      </w:tr>
      <w:tr>
        <w:trPr>
          <w:trHeight w:val="208"/>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RSUs at December 31, 2023</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847,169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2.68</w:t>
            </w: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Stock-based compensation is allocated to Research and development and Selling, general and administrative operating expenses in the Consolidated Statements of Operations and Comprehensive Loss. Stock-based compensation expense for the years ended December 31, 2023, 2022 and 2021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3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2,961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w:t>
            </w:r>
          </w:p>
        </w:tc>
        <w:tc>
          <w:tcPr>
            <w:tcW w:w="100" w:type="dxa"/>
            <w:vAlign w:val="bottom"/>
            <w:shd w:val="clear" w:color="auto" w:fill="CCEEFF"/>
          </w:tcPr>
          <w:p>
            <w:pPr>
              <w:spacing w:after="0"/>
              <w:rPr>
                <w:sz w:val="18"/>
                <w:szCs w:val="18"/>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5,555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6,658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19,200</w:t>
            </w:r>
          </w:p>
        </w:tc>
      </w:tr>
      <w:tr>
        <w:trPr>
          <w:trHeight w:val="248"/>
        </w:trPr>
        <w:tc>
          <w:tcPr>
            <w:tcW w:w="3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3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8,516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41"/>
        </w:trPr>
        <w:tc>
          <w:tcPr>
            <w:tcW w:w="3980" w:type="dxa"/>
            <w:vAlign w:val="bottom"/>
          </w:tcPr>
          <w:p>
            <w:pPr>
              <w:spacing w:after="0"/>
              <w:rPr>
                <w:sz w:val="24"/>
                <w:szCs w:val="24"/>
                <w:color w:val="auto"/>
              </w:rPr>
            </w:pPr>
          </w:p>
        </w:tc>
        <w:tc>
          <w:tcPr>
            <w:tcW w:w="3340" w:type="dxa"/>
            <w:vAlign w:val="bottom"/>
          </w:tcPr>
          <w:p>
            <w:pPr>
              <w:jc w:val="right"/>
              <w:ind w:right="1542"/>
              <w:spacing w:after="0"/>
              <w:rPr>
                <w:sz w:val="20"/>
                <w:szCs w:val="20"/>
                <w:color w:val="auto"/>
              </w:rPr>
            </w:pPr>
            <w:r>
              <w:rPr>
                <w:rFonts w:ascii="Times New Roman" w:cs="Times New Roman" w:eastAsia="Times New Roman" w:hAnsi="Times New Roman"/>
                <w:sz w:val="14"/>
                <w:szCs w:val="14"/>
                <w:color w:val="auto"/>
              </w:rPr>
              <w:t>96</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398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No related tax benefits of the stock-based compensation expense have been recognized and no related tax benefits have been realized from the exercise of stock options due to the Company’s net operating loss carryforwards.</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2023 total unrecognized stock-based compensation related to stock options and restricted stock was $17.3 million, which is expected to be recognized over the remaining weighted average vesting period of 3.1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Net Loss Per Share</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presents both basic earnings per share (“EPS”) and diluted EPS. Basic net loss per share is computed by dividing net loss by the weighted-average number of shares of common stock outstanding for the period. Diluted net loss per share is computed by giving effect to all common share equivalents to the extent they are dilutive. Basic and diluted net loss per share was the same for each period presented as the inclusion of all common share equivalents would have been anti-dilutive.</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calculations for the years ended December 31, 2023, 2022 and 2021 of basic and diluted net loss per share for the Company’s common stock (in thousands,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(95,960)</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(132,442)</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(94,989)</w:t>
            </w:r>
          </w:p>
        </w:tc>
      </w:tr>
      <w:tr>
        <w:trPr>
          <w:trHeight w:val="248"/>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Numerator for basic and diluted EPS - loss attributable to common stockholders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79,579</w:t>
            </w:r>
          </w:p>
        </w:tc>
      </w:tr>
      <w:tr>
        <w:trPr>
          <w:trHeight w:val="26"/>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Denominator for basic and diluted EPS - weighted-average 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79,579</w:t>
            </w:r>
          </w:p>
        </w:tc>
      </w:tr>
      <w:tr>
        <w:trPr>
          <w:trHeight w:val="248"/>
        </w:trPr>
        <w:tc>
          <w:tcPr>
            <w:tcW w:w="7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basic net loss per share calculation excludes preferred stock as it did not participate in net losses of the Company. Additionally, net loss per share attributable to Class A and Class B common stockholders was the same on a basic and diluted basis, as the inclusion of all potential common equivalent shares outstanding would have been anti-dilutive.</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following potential dilutive shares were excluded from the calculation of diluted net loss per share because their effect would be anti-dilutive for the years ended December 31, 2023, 2022 and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options to purchase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22,511,900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19,427,755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7,726,972</w:t>
            </w: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847,169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2,018,449</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4,586,972</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3,968,319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3,968,319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3,968,319</w:t>
            </w:r>
          </w:p>
        </w:tc>
      </w:tr>
      <w:tr>
        <w:trPr>
          <w:trHeight w:val="26"/>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7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27,327,388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25,414,523</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16,282,263</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Warrant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December 31, 2023 and 2022, there was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any time while the warrants are exercisable, the Company may redeem not less than all of the outstanding Public Warrants:</w:t>
      </w:r>
    </w:p>
    <w:p>
      <w:pPr>
        <w:spacing w:after="0" w:line="220" w:lineRule="exact"/>
        <w:rPr>
          <w:sz w:val="20"/>
          <w:szCs w:val="20"/>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3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(the “30-day redemption period”) to each warrant holder; and</w:t>
      </w:r>
    </w:p>
    <w:p>
      <w:pPr>
        <w:spacing w:after="0" w:line="12" w:lineRule="exact"/>
        <w:rPr>
          <w:rFonts w:ascii="Times New Roman" w:cs="Times New Roman" w:eastAsia="Times New Roman" w:hAnsi="Times New Roman"/>
          <w:sz w:val="17"/>
          <w:szCs w:val="17"/>
          <w:color w:val="auto"/>
        </w:rPr>
      </w:pPr>
    </w:p>
    <w:p>
      <w:pPr>
        <w:jc w:val="both"/>
        <w:ind w:left="620" w:hanging="304"/>
        <w:spacing w:after="0" w:line="262"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4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the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Public Warrants do not meet the criteria to be classified in stockholders’ equity as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long-term liabilities in the Consolidated Balance Sheets.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were 135,000 Private Warrants outstanding as of December 31, 2023 and 2022.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long-term liabilities in the Consolidated Balance Sheets.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fair value of warrant liabilities was $1.3 million and $1.0 million as of December 31, 2023 and 2022, respectively. The Company recognized a loss of $0.3 million for the year ended December 31, 2023 and a gain of $6.2 million and $4.4 million for the years ended December 31, 2022 and 2021, respectively, as a Change in fair value of warrant liabilities in the Consolidated Statements of Operations and Comprehensive Loss. There were no exercises or redemptions of the Public Warrants or Private Warrants during the years ended December 31, 2023, 2022 or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details regarding the warrant liabilities, please refer to Note 6. Fair Value of Financial Instruments.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Restructuring</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committed to organizational restructurings during the first and third quarters of 2023, designed to decrease its costs and create a more streamlined organization to support its business. As of December 31, 2023, the Company has recorded a restructuring liability of $0.5 million, which is included in Accrued expenses and other current liabilities in the Consolidated Balance Sheets.</w:t>
      </w:r>
    </w:p>
    <w:p>
      <w:pPr>
        <w:spacing w:after="0" w:line="1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Company’s restructuring costs, primarily for cash severance and other severance costs, are allocated to the following operating expense categories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Selling,</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Research and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general 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Development</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administrative</w:t>
            </w: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47"/>
        </w:trPr>
        <w:tc>
          <w:tcPr>
            <w:tcW w:w="7320" w:type="dxa"/>
            <w:vAlign w:val="bottom"/>
          </w:tcPr>
          <w:p>
            <w:pPr>
              <w:spacing w:after="0" w:line="247" w:lineRule="exact"/>
              <w:rPr>
                <w:sz w:val="20"/>
                <w:szCs w:val="20"/>
                <w:color w:val="auto"/>
              </w:rPr>
            </w:pPr>
            <w:r>
              <w:rPr>
                <w:rFonts w:ascii="Times New Roman" w:cs="Times New Roman" w:eastAsia="Times New Roman" w:hAnsi="Times New Roman"/>
                <w:sz w:val="17"/>
                <w:szCs w:val="17"/>
                <w:color w:val="auto"/>
              </w:rPr>
              <w:t>Restructuring charges incurred</w:t>
            </w:r>
            <w:r>
              <w:rPr>
                <w:rFonts w:ascii="Times New Roman" w:cs="Times New Roman" w:eastAsia="Times New Roman" w:hAnsi="Times New Roman"/>
                <w:sz w:val="28"/>
                <w:szCs w:val="28"/>
                <w:color w:val="auto"/>
                <w:vertAlign w:val="superscript"/>
              </w:rPr>
              <w:t>(1)</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3,083</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1,421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w:t>
            </w:r>
          </w:p>
        </w:tc>
        <w:tc>
          <w:tcPr>
            <w:tcW w:w="100" w:type="dxa"/>
            <w:vAlign w:val="bottom"/>
          </w:tcPr>
          <w:p>
            <w:pPr>
              <w:spacing w:after="0"/>
              <w:rPr>
                <w:sz w:val="21"/>
                <w:szCs w:val="21"/>
                <w:color w:val="auto"/>
              </w:rPr>
            </w:pPr>
          </w:p>
        </w:tc>
      </w:tr>
      <w:tr>
        <w:trPr>
          <w:trHeight w:val="253"/>
        </w:trPr>
        <w:tc>
          <w:tcPr>
            <w:tcW w:w="73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Cash payments and other adjustments</w:t>
            </w:r>
            <w:r>
              <w:rPr>
                <w:rFonts w:ascii="Times New Roman" w:cs="Times New Roman" w:eastAsia="Times New Roman" w:hAnsi="Times New Roman"/>
                <w:sz w:val="28"/>
                <w:szCs w:val="28"/>
                <w:color w:val="auto"/>
                <w:vertAlign w:val="superscript"/>
              </w:rPr>
              <w:t>(1)</w:t>
            </w:r>
          </w:p>
        </w:tc>
        <w:tc>
          <w:tcPr>
            <w:tcW w:w="3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(2,570)</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(1,415)</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(3,985)</w:t>
            </w:r>
          </w:p>
        </w:tc>
      </w:tr>
      <w:tr>
        <w:trPr>
          <w:trHeight w:val="208"/>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shd w:val="clear" w:color="auto" w:fill="CCEEFF"/>
          </w:tcPr>
          <w:p>
            <w:pPr>
              <w:spacing w:after="0"/>
              <w:rPr>
                <w:sz w:val="17"/>
                <w:szCs w:val="17"/>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Long-term liabilities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48"/>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as of December 31, 2023</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82" w:lineRule="exact"/>
        <w:rPr>
          <w:sz w:val="20"/>
          <w:szCs w:val="20"/>
          <w:color w:val="auto"/>
        </w:rPr>
      </w:pPr>
    </w:p>
    <w:p>
      <w:pPr>
        <w:ind w:left="320" w:hanging="316"/>
        <w:spacing w:after="0"/>
        <w:tabs>
          <w:tab w:leader="none" w:pos="3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Restructuring charges incurred and Cash payments and other adjustments include non-cash charges related to stock-based compensation expenses.</w:t>
      </w:r>
    </w:p>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Company expects to incur additional restructuring charges of approximately $0.1 million. The Company estimates these additional restructuring charges to be primarily comprised of cash severance and other severance costs. The Company’s restructuring activities are expected to be complete in the first quarter of 2024.</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Income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loss before provision for income taxes for the years ended December 31, 2023, 2022 and 2021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loss before provision for income taxes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(94,989)</w:t>
            </w:r>
          </w:p>
        </w:tc>
        <w:tc>
          <w:tcPr>
            <w:tcW w:w="100" w:type="dxa"/>
            <w:vAlign w:val="bottom"/>
            <w:shd w:val="clear" w:color="auto" w:fill="CCEEFF"/>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Foreign income before 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For purposes of reconciling the Company’s provision for income taxes at the statutory rate and the Company’s provision (benefit) for income taxes at the effective rate, a notional 21% tax rate was applied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20"/>
                <w:szCs w:val="20"/>
                <w:color w:val="auto"/>
              </w:rPr>
            </w:pPr>
          </w:p>
        </w:tc>
      </w:tr>
      <w:tr>
        <w:trPr>
          <w:trHeight w:val="20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income tax at statutory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State income tax, net of federal benefit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7.81</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7.0</w:t>
            </w:r>
          </w:p>
        </w:tc>
      </w:tr>
      <w:tr>
        <w:trPr>
          <w:trHeight w:val="20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Tax credits generated in current year</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0.68</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1.90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r>
      <w:tr>
        <w:trPr>
          <w:trHeight w:val="20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Return to provision adjustments</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w:t>
            </w:r>
          </w:p>
        </w:tc>
      </w:tr>
      <w:tr>
        <w:trPr>
          <w:trHeight w:val="20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(0.10)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0.90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0.6</w:t>
            </w: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 change</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(21.52)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(27.40)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(33.0)</w:t>
            </w:r>
          </w:p>
        </w:tc>
      </w:tr>
      <w:tr>
        <w:trPr>
          <w:trHeight w:val="26"/>
        </w:trPr>
        <w:tc>
          <w:tcPr>
            <w:tcW w:w="7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20"/>
        </w:trPr>
        <w:tc>
          <w:tcPr>
            <w:tcW w:w="7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difference between the statutory federal income tax rate in 2023, 2022 and 2021 is primarily attributable to the effect of losses sustained which required a valuation allowance.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for the years ended December 31, 2023, 2022 and 2021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0"/>
                <w:szCs w:val="20"/>
                <w:color w:val="auto"/>
              </w:rPr>
            </w:pPr>
          </w:p>
        </w:tc>
        <w:tc>
          <w:tcPr>
            <w:tcW w:w="11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w:t>
            </w: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3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7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deferred</w:t>
            </w: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Company’s deferred tax assets and liabilities as of December 31, 2023 and 2022 related to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89,525</w:t>
            </w:r>
          </w:p>
        </w:tc>
        <w:tc>
          <w:tcPr>
            <w:tcW w:w="2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77,008</w:t>
            </w:r>
          </w:p>
        </w:tc>
      </w:tr>
      <w:tr>
        <w:trPr>
          <w:trHeight w:val="208"/>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13,358</w:t>
            </w:r>
          </w:p>
        </w:tc>
      </w:tr>
      <w:tr>
        <w:trPr>
          <w:trHeight w:val="208"/>
        </w:trPr>
        <w:tc>
          <w:tcPr>
            <w:tcW w:w="8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7,309</w:t>
            </w:r>
          </w:p>
        </w:tc>
      </w:tr>
      <w:tr>
        <w:trPr>
          <w:trHeight w:val="208"/>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4,344</w:t>
            </w:r>
          </w:p>
        </w:tc>
      </w:tr>
      <w:tr>
        <w:trPr>
          <w:trHeight w:val="208"/>
        </w:trPr>
        <w:tc>
          <w:tcPr>
            <w:tcW w:w="8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5,724</w:t>
            </w:r>
          </w:p>
        </w:tc>
      </w:tr>
      <w:tr>
        <w:trPr>
          <w:trHeight w:val="208"/>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12,005</w:t>
            </w:r>
          </w:p>
        </w:tc>
      </w:tr>
      <w:tr>
        <w:trPr>
          <w:trHeight w:val="214"/>
        </w:trPr>
        <w:tc>
          <w:tcPr>
            <w:tcW w:w="8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3,925</w:t>
            </w:r>
          </w:p>
        </w:tc>
      </w:tr>
      <w:tr>
        <w:trPr>
          <w:trHeight w:val="208"/>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143,304</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123,673</w:t>
            </w: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(215)</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(4,258)</w:t>
            </w:r>
          </w:p>
        </w:tc>
      </w:tr>
      <w:tr>
        <w:trPr>
          <w:trHeight w:val="208"/>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(3,558)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(381)</w:t>
            </w:r>
          </w:p>
        </w:tc>
      </w:tr>
      <w:tr>
        <w:trPr>
          <w:trHeight w:val="26"/>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(3,773)</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(4,639)</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(139,531)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(119,034)</w:t>
            </w:r>
          </w:p>
        </w:tc>
      </w:tr>
      <w:tr>
        <w:trPr>
          <w:trHeight w:val="26"/>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valuation allowance is recorded to reduce deferred tax assets to the amount that is more likely than not to be realized based on an assessment of positive and negative evidence, including estimates of future taxable income necessary to realize future deductible amounts. A significant piece of objective negative evidence evaluated was the cumulative loss incurred over the three-year period ended December 31, 2023. Such objective evidence limits the ability to consider other subjective evidence such as its projections for future growth. On the basis of this evaluation, at December 31, 2023 and 2022, a valuation allowance of $139.5 million and $119.0 million, respectively, has been recorded.</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the Company has accumulated federal and state net operating loss (“NOL”) carryforwards of $336.8 million and $322.6 million, respectively. Of the $336.8 million of federal NOL carryforwards, $65.5 million was generated before January 1, 2018 and is subject to the 20-year carryover period (“pre-Tax Act losses”). The remaining $271.3 million can be carried forward indefinitely but is subject to the 80% taxable income limitation. Of the $322.6 million of state NOL carryforwards, $16.2 million can be carried forward indefinitely. The pre-Tax Act U.S. federal and state NOL carryforwards will expire in varying amounts through 2043.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Company also has federal and Connecticut research and development credit carryforwards totaling $8.1 million and $3.8 million,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federal credits begin to expire in 2033 unless previously utilized, while the state credits do not expire.</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Pursuant to Sections 382 and 383 of the Internal Revenue Code (“IRC”), annual use of the Company’s NOL and credit carryforwards may be limited in the event a cumulative change of ownership of more than 50% occurs within a three-year period. Since the Company’s formation, the Company has raised capital through the issuance of capital stock, which on its own or combined with the purchasing stockholders’ subsequent disposition of those shares, may have resulted in such an ownership change, or could result in an ownership change.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research and development credit carryforwards before utilization. The Company has completed an analysis through December 31, 2023 and no such ownership change has occurred however an ownership change may occur in the future.</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recognizes liabilities for uncertain tax positions based on a two-step process. The first step is to evaluate the tax position for recognition by determining if the weight of available evidence indicates that it is more likely than not that the tax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 of examinations by tax authorities in determining the adequacy of its provision for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Company’s gross unrecognized tax benefits as of December 31, 2023, 2022 and 2021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0"/>
                <w:szCs w:val="20"/>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Increases related to prior year tax positions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3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1,379</w:t>
            </w:r>
          </w:p>
        </w:tc>
        <w:tc>
          <w:tcPr>
            <w:tcW w:w="2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the Company had gross unrecognized tax benefits of $1.4 million, which would affect the effective tax rate if recognized subject to valuation allowance. The Company does not anticipate any significant changes in its unrecognized tax benefits over the next 12 months. The Company’s policy is to recognize the interest expense and/or penalties related to income tax matters as a component of income tax expense. The Company has no accrual of interest or penalties on its balance sheets as of December 31, 2023 and has not recognized interest and/or penalties in its Statements of Operations and Comprehensive Income for the year ended December 31, 2023.</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subject to taxation in the United States, various states and France. The Company has not been notified that it is under audit by the Internal Revenue Service or any state or foreign taxing authorities, however, due to the presence of NOL carryforwards, all of the income tax years remain open for examination in each of these jurisdictions.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as a result of legislation in the state of Connecticut, companies have the opportunity to exchange certain research and development tax credit carryforwards for a cash payment of 65% of the research and development tax credit. The research and development expenses that qualify for Connecticut credits are limited to those costs incurred within Connecticut. The Company has elected to participate in the exchange program and, as a result, has recognized net benefits of $0.2 million, $0.2 million and $0.9 million for the years ended December 31, 2023, 2022 and 2021, respectively, which are included in Research and development in the Consolidated Statements of Operations and Comprehensive Loss. As of each of the years ended December 31, 2023 and 2022, the Company has recorded $0.2 million of the research and development tax credit receivables in Prepaid expenses and other current assets on the Company’s Consolidated Balance Sheets. As of December 31, 2023, all refunds for years prior to 2023 have been received by the company, making the receivable amount $0.2 million as of December 31, 2023.</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Related Party Transactions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was a party to an Amended and Restated Technology Services Agreement (the “ARTSA”), most recently amended on November 11, 2020, by and among 4Catalyzer Corporation (“4C”), the Company and other participant companies controlled by Dr. Jonathan Rothberg, the Chairman of the Company’s Board of Directors.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incurred expenses of $0.5 million, $0.6 million and $2.0 million, which included $0.1 million, $0.2 million and $0.1 million under month-to-month sublease arrangements for office and laboratory spaces from 4C, during the years ended December 31, 2023, 2022 and 2021, respectively. These amounts are included in Selling, general and administrative expenses in the Consolidated Statements of Operations and Comprehensive Loss. The amounts advanced and due to 4C included in Accrued expenses and other current liabilities in the Consolidated Balance Sheets as of December 31, 2022 related to operating expenses were $0.1 million. There were no amounts advanced and due to 4C as of December 31, 2023. Amounts advanced and due from 4C included in Prepaid expenses and other current assets in the Consolidated Balance Sheets as of December 31, 2023 and 2022 were immaterial.</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ARTSA also provided for the participant companies to provide other services to each other. The Company also had transactions with other entities under common ownership, which included payments made to third parties on behalf of the Company and payments made by the Company to third parties on behalf of the other entities. There were no amounts remaining payable to the Company or from the Company as of December 31, 2023 and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recorded a final payment of $1.1 million under the Collaboration for all services rendered included in Selling, general and administrative expenses in the Consolidated Statements of Operations and Comprehensive Loss. There were no such amounts recorded for the years ended December 31, 2023 and 2021.</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Effective October 1, 2022, the Company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As of December 31, 2023, the amount due from PEI to the Company related to the New Collaboration was $0.3 million. As of December 31, 2022, the amount due to the Company was immaterial.</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Effective November 1, 2022, the Company entered into an Advisory Agreement with Dr. Rothberg (the “Advisory Agreement”), pursuant to which Dr. Rothberg serves as Chairman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 In connection with the Advisory Agreement, Dr. Rothberg’s title was changed from Executive Chairman to Chairman of the Board.</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Dr. Rothberg also receives fees as the Chairman of the Company’s Board of Directors, as a member of the Board and a member of the Nominating and Corporate Governance Committee. In connection with these services, the Company paid $0.1 million, $0.4 million and $0.1 million to Dr. Rothberg for the years ended December 31, 2023, 2022 and 2021, respectively. These amounts are included in Selling, general and administrative expenses in the Consolidated Statements of Operations and Comprehensive Loss. Dr. Rothberg did not receive any additional compensation for serving as the Company’s Interim Chief Executive Officer in 2022.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Commitments and Contingencies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Licenses related to certain intellectual property:</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licenses certain intellectual property, some of which may be utilized in its current or future product offerings. To preserve the right to use such intellectual property, the Company is required to make annual minimum fixed payments totaling approximately $0.1 million as well as royalties based on net sales if the royalties exceed annual minimum fixed payments. As of December 31, 2023, the Company recorded $0.1 million related to royalties in Accrued expenses and other current liabilities in the Consolidated Balance Sheets. There were no such amounts in Accrued expenses and other current liabilities in the Consolidated Balance Sheets as of December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Company sponsors a 401(k) defined contribution plan covering all eligible U.S. employees. Contributions to the 401(k) plan are discretionary. The Company did not make any matching contributions to the 401(k) plan for the years ended December 31, 2023 and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accrues contingent liabilities to the extent the liability is probable and estimable.</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October 2023, a former contract manufacturer of the Company filed a complaint in the state of Texas alleging breach of contract and made claims for economic damage and attorney costs. In January 2024 the suit was withdrawn and refiled in the state of Minnesota alleging similar claims. Although it is not possible to determine the potential financial exposure associated with the alleged claim at this time given its early stage, the Company believes it has a meritorious defense and intend to vigorously defend against all claims asserted in the complaint.</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Consolidated Statements of Operations and Comprehensive Loss in connection with the indemnification provisions have not been material.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designed to ensure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our disclosure controls and procedures were effective as of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as of December 31, 2023 based on the guidelines established in the Internal Control—Integrated Framework (2013 framework) issued by the Committee of Sponsoring Organizations of the Treadway Commission (“COSO”). Internal control over financial reporting includes policies and procedures that provide reasonable assurance regarding the reliability of financial reporting and the preparation of financial statements for external reporting purposes in accordance with U.S. generally accepted accounting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results of its evaluation, management concluded our internal control over financial reporting was effective as of December 31, 2023.</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Annual Report does not include an attestation report of the Company’s independent registered public accounting firm because we are a “non-accelerated filer,” and may take advantage of certain exemptions from various reporting requirements that are applicable to public companies that are accelerated filers, including, but not limited to, not being required to comply with the auditor attestation requirements of Section 404(b) of the Sarbanes-Oxley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15"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7"/>
          <w:szCs w:val="17"/>
          <w:color w:val="auto"/>
        </w:rPr>
        <w:t>We began commercial shipments of the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protein sequencing instrument in the first quarter of 2023. We implemented additional controls over the processes associated with the commercial launch of Platinum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primarily include revenue recognition and inventory. There were no additional changes in our internal control over financial reporting during the quarter ended December 31, 2023 that have materially affected, or are reasonably likely to materially affect, our internal control over financial reporting.</w:t>
      </w:r>
    </w:p>
    <w:p>
      <w:pPr>
        <w:spacing w:after="0" w:line="18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Resignation</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On February 26, 2024, Michael Mina, M.D., Ph.D. delivered his resignation as a member of the Board, effective immediately. Dr. Mina’s decision to resign was for personal reasons and was not a result of any disagreement with the Company’s operations, policies or practices.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10b5-1 Trading Arrangements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time to time, our officers (as defined in Rule 16a-1(f) of the Exchange Act) and directors may enter into Rule 10b5-1 or non-Rule 10b5-1 trading arrangements (as each such term is defined in Item 408 of Regulation S-K). During the three months ended December 31, 2023, none of our officers or directors adopted, modified or terminated any such trading arrangements.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headings “Management and Corporate Governance” and “Code of Conduct and Ethics” in our proxy statement for the 2024 annual meeting of stockholders (the “2024 Proxy Statement”).</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heading “Executive Compensation” in our 2024 Proxy Statement.</w:t>
      </w:r>
    </w:p>
    <w:p>
      <w:pPr>
        <w:spacing w:after="0" w:line="144" w:lineRule="exact"/>
        <w:rPr>
          <w:sz w:val="20"/>
          <w:szCs w:val="20"/>
          <w:color w:val="auto"/>
        </w:rPr>
      </w:pPr>
    </w:p>
    <w:p>
      <w:pPr>
        <w:ind w:left="940" w:hanging="935"/>
        <w:spacing w:after="0" w:line="267" w:lineRule="auto"/>
        <w:tabs>
          <w:tab w:leader="none" w:pos="92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39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headings “Security Ownership of Certain Beneficial Owners and Management” and “Equity Compensation Plan Information” in our 2024 Proxy Statement.</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headings “Certain Relationships and Related Person Transactions” and “Management and Corporate Governance” in our 2024 Proxy Statement.</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heading “Ratification of Appointment of Independent Registered Public Accounting Firm” in our 2024 Proxy Statement.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The following documents are filed as part of this Annual Report on Form 10-K:</w:t>
      </w: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 Financial Statements (included in Item 8 of this Annual Report on Form 10-K):</w:t>
      </w:r>
    </w:p>
    <w:p>
      <w:pPr>
        <w:spacing w:after="0" w:line="220" w:lineRule="exact"/>
        <w:rPr>
          <w:sz w:val="20"/>
          <w:szCs w:val="20"/>
          <w:color w:val="auto"/>
        </w:rPr>
      </w:pPr>
    </w:p>
    <w:p>
      <w:pPr>
        <w:ind w:left="620" w:firstLine="624"/>
        <w:spacing w:after="0" w:line="293" w:lineRule="auto"/>
        <w:rPr>
          <w:sz w:val="20"/>
          <w:szCs w:val="20"/>
          <w:color w:val="auto"/>
        </w:rPr>
      </w:pPr>
      <w:r>
        <w:rPr>
          <w:rFonts w:ascii="Times New Roman" w:cs="Times New Roman" w:eastAsia="Times New Roman" w:hAnsi="Times New Roman"/>
          <w:sz w:val="17"/>
          <w:szCs w:val="17"/>
          <w:color w:val="auto"/>
        </w:rPr>
        <w:t>The following Consolidated Financial Statements of the Company and the Report of Deloitte &amp; Touche LLP, Independent Registered Public Accounting Firm, are included in Part II, Item 8 of this Annual Report on Form 10-K:</w:t>
      </w:r>
    </w:p>
    <w:p>
      <w:pPr>
        <w:spacing w:after="0" w:line="146" w:lineRule="exact"/>
        <w:rPr>
          <w:sz w:val="20"/>
          <w:szCs w:val="20"/>
          <w:color w:val="auto"/>
        </w:rPr>
      </w:pPr>
    </w:p>
    <w:p>
      <w:pPr>
        <w:ind w:left="1420" w:hanging="169"/>
        <w:spacing w:after="0"/>
        <w:tabs>
          <w:tab w:leader="none" w:pos="14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 - Deloitte &amp; Touche LLP</w:t>
      </w:r>
    </w:p>
    <w:p>
      <w:pPr>
        <w:spacing w:after="0" w:line="220" w:lineRule="exact"/>
        <w:rPr>
          <w:rFonts w:ascii="Times New Roman" w:cs="Times New Roman" w:eastAsia="Times New Roman" w:hAnsi="Times New Roman"/>
          <w:sz w:val="17"/>
          <w:szCs w:val="17"/>
          <w:color w:val="auto"/>
        </w:rPr>
      </w:pPr>
    </w:p>
    <w:p>
      <w:pPr>
        <w:ind w:left="1420" w:hanging="169"/>
        <w:spacing w:after="0"/>
        <w:tabs>
          <w:tab w:leader="none" w:pos="14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2023 and 2022</w:t>
      </w:r>
    </w:p>
    <w:p>
      <w:pPr>
        <w:spacing w:after="0" w:line="220" w:lineRule="exact"/>
        <w:rPr>
          <w:rFonts w:ascii="Times New Roman" w:cs="Times New Roman" w:eastAsia="Times New Roman" w:hAnsi="Times New Roman"/>
          <w:sz w:val="17"/>
          <w:szCs w:val="17"/>
          <w:color w:val="auto"/>
        </w:rPr>
      </w:pPr>
    </w:p>
    <w:p>
      <w:pPr>
        <w:ind w:left="1420" w:hanging="169"/>
        <w:spacing w:after="0"/>
        <w:tabs>
          <w:tab w:leader="none" w:pos="14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and Comprehensive Loss for the years ended December 31, 2023, 2022 and 2021</w:t>
      </w:r>
    </w:p>
    <w:p>
      <w:pPr>
        <w:spacing w:after="0" w:line="220" w:lineRule="exact"/>
        <w:rPr>
          <w:rFonts w:ascii="Times New Roman" w:cs="Times New Roman" w:eastAsia="Times New Roman" w:hAnsi="Times New Roman"/>
          <w:sz w:val="17"/>
          <w:szCs w:val="17"/>
          <w:color w:val="auto"/>
        </w:rPr>
      </w:pPr>
    </w:p>
    <w:p>
      <w:pPr>
        <w:ind w:left="620" w:firstLine="631"/>
        <w:spacing w:after="0" w:line="293" w:lineRule="auto"/>
        <w:tabs>
          <w:tab w:leader="none" w:pos="143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Convertible Preferred Stock and Stockholders’ Equity (Deficit) for the years ended December 31, 2023, 2022 and 2021</w:t>
      </w:r>
    </w:p>
    <w:p>
      <w:pPr>
        <w:spacing w:after="0" w:line="146" w:lineRule="exact"/>
        <w:rPr>
          <w:rFonts w:ascii="Times New Roman" w:cs="Times New Roman" w:eastAsia="Times New Roman" w:hAnsi="Times New Roman"/>
          <w:sz w:val="17"/>
          <w:szCs w:val="17"/>
          <w:color w:val="auto"/>
        </w:rPr>
      </w:pPr>
    </w:p>
    <w:p>
      <w:pPr>
        <w:ind w:left="1420" w:hanging="169"/>
        <w:spacing w:after="0"/>
        <w:tabs>
          <w:tab w:leader="none" w:pos="14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the years ended December 31, 2023, 2022 and 2021</w:t>
      </w:r>
    </w:p>
    <w:p>
      <w:pPr>
        <w:spacing w:after="0" w:line="220" w:lineRule="exact"/>
        <w:rPr>
          <w:rFonts w:ascii="Times New Roman" w:cs="Times New Roman" w:eastAsia="Times New Roman" w:hAnsi="Times New Roman"/>
          <w:sz w:val="17"/>
          <w:szCs w:val="17"/>
          <w:color w:val="auto"/>
        </w:rPr>
      </w:pPr>
    </w:p>
    <w:p>
      <w:pPr>
        <w:ind w:left="1420" w:hanging="169"/>
        <w:spacing w:after="0"/>
        <w:tabs>
          <w:tab w:leader="none" w:pos="14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the Consolidated Financial Statements</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(ii) Financial Statement Schedules.</w:t>
      </w:r>
    </w:p>
    <w:p>
      <w:pPr>
        <w:spacing w:after="0" w:line="220" w:lineRule="exact"/>
        <w:rPr>
          <w:sz w:val="20"/>
          <w:szCs w:val="20"/>
          <w:color w:val="auto"/>
        </w:rPr>
      </w:pPr>
    </w:p>
    <w:p>
      <w:pPr>
        <w:ind w:left="620" w:firstLine="624"/>
        <w:spacing w:after="0" w:line="293" w:lineRule="auto"/>
        <w:rPr>
          <w:sz w:val="20"/>
          <w:szCs w:val="20"/>
          <w:color w:val="auto"/>
        </w:rPr>
      </w:pPr>
      <w:r>
        <w:rPr>
          <w:rFonts w:ascii="Times New Roman" w:cs="Times New Roman" w:eastAsia="Times New Roman" w:hAnsi="Times New Roman"/>
          <w:sz w:val="17"/>
          <w:szCs w:val="17"/>
          <w:color w:val="auto"/>
        </w:rPr>
        <w:t>All schedules are omitted because they are not applicable or the required information is shown in the Consolidated Financial Statements or the Notes thereto.</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(iii) Exhibits.</w:t>
      </w:r>
    </w:p>
    <w:p>
      <w:pPr>
        <w:spacing w:after="0" w:line="2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exhibits required by Item 601 of Regulation S-K are listed in paragraph (b) below.</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 Exhibits.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exhibits are filed herewith or are incorporated by reference to exhibits filed with the SEC: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Incorporated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by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Reference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Herein from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98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Form or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Filing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 File/</w:t>
            </w:r>
          </w:p>
        </w:tc>
      </w:tr>
      <w:tr>
        <w:trPr>
          <w:trHeight w:val="234"/>
        </w:trPr>
        <w:tc>
          <w:tcPr>
            <w:tcW w:w="98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60" w:type="dxa"/>
            <w:vAlign w:val="bottom"/>
          </w:tcPr>
          <w:p>
            <w:pPr>
              <w:spacing w:after="0"/>
              <w:rPr>
                <w:sz w:val="20"/>
                <w:szCs w:val="20"/>
                <w:color w:val="auto"/>
              </w:rPr>
            </w:pPr>
          </w:p>
        </w:tc>
        <w:tc>
          <w:tcPr>
            <w:tcW w:w="4200" w:type="dxa"/>
            <w:vAlign w:val="bottom"/>
            <w:gridSpan w:val="2"/>
          </w:tcPr>
          <w:p>
            <w:pPr>
              <w:ind w:left="12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Schedule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Reg. Number</w:t>
            </w:r>
          </w:p>
        </w:tc>
      </w:tr>
      <w:tr>
        <w:trPr>
          <w:trHeight w:val="169"/>
        </w:trPr>
        <w:tc>
          <w:tcPr>
            <w:tcW w:w="3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gridSpan w:val="4"/>
            <w:shd w:val="clear" w:color="auto" w:fill="CCEEFF"/>
          </w:tcPr>
          <w:p>
            <w:pPr>
              <w:jc w:val="center"/>
              <w:ind w:right="340"/>
              <w:spacing w:after="0" w:line="169"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hyperlink>
          </w:p>
        </w:tc>
        <w:tc>
          <w:tcPr>
            <w:tcW w:w="26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Business Combination Agreement, dated as of February</w:t>
            </w: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2/18/2021</w:t>
            </w:r>
          </w:p>
        </w:tc>
        <w:tc>
          <w:tcPr>
            <w:tcW w:w="2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18, 2021, by and among Quantum-Si Incorporated</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(Exhibit 2.1)</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r>
      <w:tr>
        <w:trPr>
          <w:trHeight w:val="208"/>
        </w:trPr>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(formerly HighCape Capital Acquisition Corp.), Clay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8"/>
        </w:trPr>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Merger Sub, Inc., and Q-SI Operations Inc. (formerly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6"/>
        </w:trPr>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Quantum-Si Incorporated)</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69"/>
        </w:trPr>
        <w:tc>
          <w:tcPr>
            <w:tcW w:w="640" w:type="dxa"/>
            <w:vAlign w:val="bottom"/>
            <w:gridSpan w:val="4"/>
          </w:tcPr>
          <w:p>
            <w:pPr>
              <w:jc w:val="center"/>
              <w:ind w:left="253"/>
              <w:spacing w:after="0" w:line="169" w:lineRule="exact"/>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340" w:type="dxa"/>
            <w:vAlign w:val="bottom"/>
          </w:tcPr>
          <w:p>
            <w:pPr>
              <w:spacing w:after="0"/>
              <w:rPr>
                <w:sz w:val="14"/>
                <w:szCs w:val="14"/>
                <w:color w:val="auto"/>
              </w:rPr>
            </w:pPr>
          </w:p>
        </w:tc>
        <w:tc>
          <w:tcPr>
            <w:tcW w:w="4460" w:type="dxa"/>
            <w:vAlign w:val="bottom"/>
            <w:gridSpan w:val="3"/>
          </w:tcPr>
          <w:p>
            <w:pPr>
              <w:ind w:left="260"/>
              <w:spacing w:after="0" w:line="169" w:lineRule="exact"/>
              <w:rPr>
                <w:sz w:val="20"/>
                <w:szCs w:val="20"/>
                <w:color w:val="auto"/>
              </w:rPr>
            </w:pPr>
            <w:r>
              <w:rPr>
                <w:rFonts w:ascii="Times New Roman" w:cs="Times New Roman" w:eastAsia="Times New Roman" w:hAnsi="Times New Roman"/>
                <w:sz w:val="17"/>
                <w:szCs w:val="17"/>
                <w:color w:val="auto"/>
              </w:rPr>
              <w:t>Second Amended and Restated Certificate of</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7"/>
                <w:szCs w:val="17"/>
                <w:color w:val="auto"/>
              </w:rPr>
              <w:t>Form 10-Q</w:t>
            </w: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8/7/2023</w:t>
            </w:r>
          </w:p>
        </w:tc>
        <w:tc>
          <w:tcPr>
            <w:tcW w:w="24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Incorporation of Quantum-Si Incorporated, as amended.</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(Exhibit 3.1)</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69"/>
        </w:trPr>
        <w:tc>
          <w:tcPr>
            <w:tcW w:w="640" w:type="dxa"/>
            <w:vAlign w:val="bottom"/>
            <w:gridSpan w:val="4"/>
            <w:shd w:val="clear" w:color="auto" w:fill="CCEEFF"/>
          </w:tcPr>
          <w:p>
            <w:pPr>
              <w:jc w:val="center"/>
              <w:ind w:left="253"/>
              <w:spacing w:after="0" w:line="169" w:lineRule="exact"/>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340" w:type="dxa"/>
            <w:vAlign w:val="bottom"/>
            <w:shd w:val="clear" w:color="auto" w:fill="CCEEFF"/>
          </w:tcPr>
          <w:p>
            <w:pPr>
              <w:spacing w:after="0"/>
              <w:rPr>
                <w:sz w:val="14"/>
                <w:szCs w:val="14"/>
                <w:color w:val="auto"/>
              </w:rPr>
            </w:pPr>
          </w:p>
        </w:tc>
        <w:tc>
          <w:tcPr>
            <w:tcW w:w="4460" w:type="dxa"/>
            <w:vAlign w:val="bottom"/>
            <w:gridSpan w:val="3"/>
            <w:shd w:val="clear" w:color="auto" w:fill="CCEEFF"/>
          </w:tcPr>
          <w:p>
            <w:pPr>
              <w:ind w:left="260"/>
              <w:spacing w:after="0" w:line="169" w:lineRule="exact"/>
              <w:rPr>
                <w:sz w:val="20"/>
                <w:szCs w:val="20"/>
                <w:color w:val="auto"/>
              </w:rPr>
            </w:pPr>
            <w:r>
              <w:rPr>
                <w:rFonts w:ascii="Times New Roman" w:cs="Times New Roman" w:eastAsia="Times New Roman" w:hAnsi="Times New Roman"/>
                <w:sz w:val="17"/>
                <w:szCs w:val="17"/>
                <w:color w:val="auto"/>
              </w:rPr>
              <w:t>Amended and Restated Bylaws of Quantum-Si</w:t>
            </w: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jc w:val="center"/>
              <w:ind w:right="240"/>
              <w:spacing w:after="0" w:line="169" w:lineRule="exact"/>
              <w:rPr>
                <w:sz w:val="20"/>
                <w:szCs w:val="20"/>
                <w:color w:val="auto"/>
              </w:rPr>
            </w:pPr>
            <w:r>
              <w:rPr>
                <w:rFonts w:ascii="Times New Roman" w:cs="Times New Roman" w:eastAsia="Times New Roman" w:hAnsi="Times New Roman"/>
                <w:sz w:val="17"/>
                <w:szCs w:val="17"/>
                <w:color w:val="auto"/>
              </w:rPr>
              <w:t>Form 10-K</w:t>
            </w:r>
          </w:p>
        </w:tc>
        <w:tc>
          <w:tcPr>
            <w:tcW w:w="11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3/1/2021</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3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Incorporated</w:t>
            </w:r>
          </w:p>
        </w:tc>
        <w:tc>
          <w:tcPr>
            <w:tcW w:w="8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(Exhibit 3.2)</w:t>
            </w:r>
          </w:p>
        </w:tc>
        <w:tc>
          <w:tcPr>
            <w:tcW w:w="1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r>
      <w:tr>
        <w:trPr>
          <w:trHeight w:val="178"/>
        </w:trPr>
        <w:tc>
          <w:tcPr>
            <w:tcW w:w="380" w:type="dxa"/>
            <w:vAlign w:val="bottom"/>
            <w:gridSpan w:val="2"/>
          </w:tcPr>
          <w:p>
            <w:pPr>
              <w:spacing w:after="0"/>
              <w:rPr>
                <w:sz w:val="15"/>
                <w:szCs w:val="15"/>
                <w:color w:val="auto"/>
              </w:rPr>
            </w:pPr>
          </w:p>
        </w:tc>
        <w:tc>
          <w:tcPr>
            <w:tcW w:w="22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60" w:type="dxa"/>
            <w:vAlign w:val="bottom"/>
            <w:gridSpan w:val="3"/>
          </w:tcPr>
          <w:p>
            <w:pPr>
              <w:ind w:left="260"/>
              <w:spacing w:after="0" w:line="169" w:lineRule="exact"/>
              <w:rPr>
                <w:sz w:val="20"/>
                <w:szCs w:val="20"/>
                <w:color w:val="auto"/>
              </w:rPr>
            </w:pPr>
            <w:r>
              <w:rPr>
                <w:rFonts w:ascii="Times New Roman" w:cs="Times New Roman" w:eastAsia="Times New Roman" w:hAnsi="Times New Roman"/>
                <w:sz w:val="17"/>
                <w:szCs w:val="17"/>
                <w:color w:val="auto"/>
              </w:rPr>
              <w:t>Description of Securities</w:t>
            </w:r>
          </w:p>
        </w:tc>
        <w:tc>
          <w:tcPr>
            <w:tcW w:w="11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8"/>
        </w:trPr>
        <w:tc>
          <w:tcPr>
            <w:tcW w:w="640" w:type="dxa"/>
            <w:vAlign w:val="bottom"/>
            <w:gridSpan w:val="4"/>
            <w:shd w:val="clear" w:color="auto" w:fill="CCEEFF"/>
          </w:tcPr>
          <w:p>
            <w:pPr>
              <w:jc w:val="center"/>
              <w:ind w:left="253"/>
              <w:spacing w:after="0" w:line="179" w:lineRule="exact"/>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340" w:type="dxa"/>
            <w:vAlign w:val="bottom"/>
            <w:shd w:val="clear" w:color="auto" w:fill="CCEEFF"/>
          </w:tcPr>
          <w:p>
            <w:pPr>
              <w:spacing w:after="0"/>
              <w:rPr>
                <w:sz w:val="15"/>
                <w:szCs w:val="15"/>
                <w:color w:val="auto"/>
              </w:rPr>
            </w:pPr>
          </w:p>
        </w:tc>
        <w:tc>
          <w:tcPr>
            <w:tcW w:w="4460" w:type="dxa"/>
            <w:vAlign w:val="bottom"/>
            <w:gridSpan w:val="3"/>
            <w:shd w:val="clear" w:color="auto" w:fill="CCEEFF"/>
          </w:tcPr>
          <w:p>
            <w:pPr>
              <w:ind w:left="260"/>
              <w:spacing w:after="0" w:line="179" w:lineRule="exact"/>
              <w:rPr>
                <w:sz w:val="20"/>
                <w:szCs w:val="20"/>
                <w:color w:val="auto"/>
              </w:rPr>
            </w:pPr>
            <w:r>
              <w:rPr>
                <w:rFonts w:ascii="Times New Roman" w:cs="Times New Roman" w:eastAsia="Times New Roman" w:hAnsi="Times New Roman"/>
                <w:sz w:val="17"/>
                <w:szCs w:val="17"/>
                <w:color w:val="auto"/>
              </w:rPr>
              <w:t>Specimen Class A Common Stock Certificate</w:t>
            </w: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center"/>
              <w:ind w:right="260"/>
              <w:spacing w:after="0" w:line="179" w:lineRule="exact"/>
              <w:rPr>
                <w:sz w:val="20"/>
                <w:szCs w:val="20"/>
                <w:color w:val="auto"/>
              </w:rPr>
            </w:pPr>
            <w:r>
              <w:rPr>
                <w:rFonts w:ascii="Times New Roman" w:cs="Times New Roman" w:eastAsia="Times New Roman" w:hAnsi="Times New Roman"/>
                <w:sz w:val="17"/>
                <w:szCs w:val="17"/>
                <w:color w:val="auto"/>
              </w:rPr>
              <w:t>Form S-4/A</w:t>
            </w:r>
          </w:p>
        </w:tc>
        <w:tc>
          <w:tcPr>
            <w:tcW w:w="114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rPr>
              <w:t>5/11/2021</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rPr>
              <w:t>333-253691</w:t>
            </w:r>
          </w:p>
        </w:tc>
      </w:tr>
      <w:tr>
        <w:trPr>
          <w:trHeight w:val="227"/>
        </w:trPr>
        <w:tc>
          <w:tcPr>
            <w:tcW w:w="3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9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(Exhibit 4.1)</w:t>
            </w:r>
          </w:p>
        </w:tc>
        <w:tc>
          <w:tcPr>
            <w:tcW w:w="1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r>
      <w:tr>
        <w:trPr>
          <w:trHeight w:val="169"/>
        </w:trPr>
        <w:tc>
          <w:tcPr>
            <w:tcW w:w="640" w:type="dxa"/>
            <w:vAlign w:val="bottom"/>
            <w:gridSpan w:val="4"/>
          </w:tcPr>
          <w:p>
            <w:pPr>
              <w:jc w:val="center"/>
              <w:ind w:left="253"/>
              <w:spacing w:after="0" w:line="169"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340" w:type="dxa"/>
            <w:vAlign w:val="bottom"/>
          </w:tcPr>
          <w:p>
            <w:pPr>
              <w:spacing w:after="0"/>
              <w:rPr>
                <w:sz w:val="14"/>
                <w:szCs w:val="14"/>
                <w:color w:val="auto"/>
              </w:rPr>
            </w:pPr>
          </w:p>
        </w:tc>
        <w:tc>
          <w:tcPr>
            <w:tcW w:w="4460" w:type="dxa"/>
            <w:vAlign w:val="bottom"/>
            <w:gridSpan w:val="3"/>
          </w:tcPr>
          <w:p>
            <w:pPr>
              <w:ind w:left="260"/>
              <w:spacing w:after="0" w:line="169" w:lineRule="exact"/>
              <w:rPr>
                <w:sz w:val="20"/>
                <w:szCs w:val="20"/>
                <w:color w:val="auto"/>
              </w:rPr>
            </w:pPr>
            <w:r>
              <w:rPr>
                <w:rFonts w:ascii="Times New Roman" w:cs="Times New Roman" w:eastAsia="Times New Roman" w:hAnsi="Times New Roman"/>
                <w:sz w:val="17"/>
                <w:szCs w:val="17"/>
                <w:color w:val="auto"/>
              </w:rPr>
              <w:t>Warrant Agreement, dated as of September 3, 2020, by</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9/9/2020</w:t>
            </w:r>
          </w:p>
        </w:tc>
        <w:tc>
          <w:tcPr>
            <w:tcW w:w="24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and between Quantum-Si Incorporated (formerly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(Exhibit 4.1)</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HighCape Capital Acquisition Corp.) and Continental</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6"/>
        </w:trPr>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Stock Transfer &amp; Trust Company</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49"/>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98"/>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
        </w:trPr>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gridSpan w:val="5"/>
            <w:shd w:val="clear" w:color="auto" w:fill="CCEEFF"/>
          </w:tcPr>
          <w:p>
            <w:pPr>
              <w:jc w:val="center"/>
              <w:ind w:left="193"/>
              <w:spacing w:after="0"/>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Form of PIPE Investor Subscription Agreement for</w:t>
            </w:r>
          </w:p>
        </w:tc>
        <w:tc>
          <w:tcPr>
            <w:tcW w:w="2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Form 8-K</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2/18/2021</w:t>
            </w:r>
          </w:p>
        </w:tc>
        <w:tc>
          <w:tcPr>
            <w:tcW w:w="15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institutional investors, dated as of February 18, 2021, by</w:t>
            </w:r>
          </w:p>
        </w:tc>
        <w:tc>
          <w:tcPr>
            <w:tcW w:w="2240" w:type="dxa"/>
            <w:vAlign w:val="bottom"/>
            <w:tcBorders>
              <w:top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rPr>
              <w:t>(Exhibit 10.1)</w:t>
            </w:r>
          </w:p>
        </w:tc>
        <w:tc>
          <w:tcPr>
            <w:tcW w:w="15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r>
      <w:tr>
        <w:trPr>
          <w:trHeight w:val="208"/>
        </w:trPr>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and between Quantum-Si Incorporated (formerly</w:t>
            </w:r>
          </w:p>
        </w:tc>
        <w:tc>
          <w:tcPr>
            <w:tcW w:w="2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8"/>
        </w:trPr>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HighCape Capital Acquisition Corp.) and the subscriber</w:t>
            </w:r>
          </w:p>
        </w:tc>
        <w:tc>
          <w:tcPr>
            <w:tcW w:w="2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6"/>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parties thereto</w:t>
            </w:r>
          </w:p>
        </w:tc>
        <w:tc>
          <w:tcPr>
            <w:tcW w:w="2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69"/>
        </w:trPr>
        <w:tc>
          <w:tcPr>
            <w:tcW w:w="700" w:type="dxa"/>
            <w:vAlign w:val="bottom"/>
            <w:gridSpan w:val="5"/>
          </w:tcPr>
          <w:p>
            <w:pPr>
              <w:jc w:val="center"/>
              <w:ind w:left="193"/>
              <w:spacing w:after="0" w:line="169"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hyperlink>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ind w:left="260"/>
              <w:spacing w:after="0" w:line="169" w:lineRule="exact"/>
              <w:rPr>
                <w:sz w:val="20"/>
                <w:szCs w:val="20"/>
                <w:color w:val="auto"/>
              </w:rPr>
            </w:pPr>
            <w:r>
              <w:rPr>
                <w:rFonts w:ascii="Times New Roman" w:cs="Times New Roman" w:eastAsia="Times New Roman" w:hAnsi="Times New Roman"/>
                <w:sz w:val="17"/>
                <w:szCs w:val="17"/>
                <w:color w:val="auto"/>
              </w:rPr>
              <w:t>Form of PIPE Investor Subscription Agreement for</w:t>
            </w:r>
          </w:p>
        </w:tc>
        <w:tc>
          <w:tcPr>
            <w:tcW w:w="2240" w:type="dxa"/>
            <w:vAlign w:val="bottom"/>
          </w:tcPr>
          <w:p>
            <w:pPr>
              <w:jc w:val="center"/>
              <w:ind w:left="373"/>
              <w:spacing w:after="0" w:line="169" w:lineRule="exact"/>
              <w:rPr>
                <w:sz w:val="20"/>
                <w:szCs w:val="20"/>
                <w:color w:val="auto"/>
              </w:rPr>
            </w:pPr>
            <w:r>
              <w:rPr>
                <w:rFonts w:ascii="Times New Roman" w:cs="Times New Roman" w:eastAsia="Times New Roman" w:hAnsi="Times New Roman"/>
                <w:sz w:val="17"/>
                <w:szCs w:val="17"/>
                <w:color w:val="auto"/>
              </w:rPr>
              <w:t>Form 8-K/A</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2/19/2021</w:t>
            </w:r>
          </w:p>
        </w:tc>
        <w:tc>
          <w:tcPr>
            <w:tcW w:w="1500" w:type="dxa"/>
            <w:vAlign w:val="bottom"/>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accredited investors, dated as of February 18, 2021, by</w:t>
            </w:r>
          </w:p>
        </w:tc>
        <w:tc>
          <w:tcPr>
            <w:tcW w:w="224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(Exhibit 10.2)</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and between Quantum-Si Incorporated (formerly</w:t>
            </w:r>
          </w:p>
        </w:tc>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HighCape Capital Acquisition Corp.) and the subscriber</w:t>
            </w:r>
          </w:p>
        </w:tc>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parties thereto</w:t>
            </w:r>
          </w:p>
        </w:tc>
        <w:tc>
          <w:tcPr>
            <w:tcW w:w="2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69"/>
        </w:trPr>
        <w:tc>
          <w:tcPr>
            <w:tcW w:w="700" w:type="dxa"/>
            <w:vAlign w:val="bottom"/>
            <w:gridSpan w:val="5"/>
            <w:shd w:val="clear" w:color="auto" w:fill="CCEEFF"/>
          </w:tcPr>
          <w:p>
            <w:pPr>
              <w:jc w:val="center"/>
              <w:ind w:left="193"/>
              <w:spacing w:after="0" w:line="169"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hyperlink>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7"/>
                <w:szCs w:val="17"/>
                <w:color w:val="auto"/>
              </w:rPr>
              <w:t>Form of Subscription Agreement, dated as of February</w:t>
            </w:r>
          </w:p>
        </w:tc>
        <w:tc>
          <w:tcPr>
            <w:tcW w:w="2240" w:type="dxa"/>
            <w:vAlign w:val="bottom"/>
            <w:shd w:val="clear" w:color="auto" w:fill="CCEEFF"/>
          </w:tcPr>
          <w:p>
            <w:pPr>
              <w:jc w:val="center"/>
              <w:ind w:left="373"/>
              <w:spacing w:after="0" w:line="169" w:lineRule="exact"/>
              <w:rPr>
                <w:sz w:val="20"/>
                <w:szCs w:val="20"/>
                <w:color w:val="auto"/>
              </w:rPr>
            </w:pPr>
            <w:r>
              <w:rPr>
                <w:rFonts w:ascii="Times New Roman" w:cs="Times New Roman" w:eastAsia="Times New Roman" w:hAnsi="Times New Roman"/>
                <w:sz w:val="17"/>
                <w:szCs w:val="17"/>
                <w:color w:val="auto"/>
              </w:rPr>
              <w:t>Form 8-K/A</w:t>
            </w:r>
          </w:p>
        </w:tc>
        <w:tc>
          <w:tcPr>
            <w:tcW w:w="15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2/19/2021</w:t>
            </w:r>
          </w:p>
        </w:tc>
        <w:tc>
          <w:tcPr>
            <w:tcW w:w="1500" w:type="dxa"/>
            <w:vAlign w:val="bottom"/>
            <w:shd w:val="clear" w:color="auto" w:fill="CCEEFF"/>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18, 2021, by and between Quantum-Si Incorporated</w:t>
            </w:r>
          </w:p>
        </w:tc>
        <w:tc>
          <w:tcPr>
            <w:tcW w:w="2240" w:type="dxa"/>
            <w:vAlign w:val="bottom"/>
            <w:tcBorders>
              <w:top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rPr>
              <w:t>(Exhibit 10.3)</w:t>
            </w:r>
          </w:p>
        </w:tc>
        <w:tc>
          <w:tcPr>
            <w:tcW w:w="15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r>
      <w:tr>
        <w:trPr>
          <w:trHeight w:val="208"/>
        </w:trPr>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(formerly HighCape Capital Acquisition Corp.) and the</w:t>
            </w:r>
          </w:p>
        </w:tc>
        <w:tc>
          <w:tcPr>
            <w:tcW w:w="2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6"/>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Foresite Funds</w:t>
            </w:r>
          </w:p>
        </w:tc>
        <w:tc>
          <w:tcPr>
            <w:tcW w:w="2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69"/>
        </w:trPr>
        <w:tc>
          <w:tcPr>
            <w:tcW w:w="700" w:type="dxa"/>
            <w:vAlign w:val="bottom"/>
            <w:gridSpan w:val="5"/>
          </w:tcPr>
          <w:p>
            <w:pPr>
              <w:jc w:val="center"/>
              <w:ind w:left="193"/>
              <w:spacing w:after="0" w:line="169"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w:t>
              </w:r>
            </w:hyperlink>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ind w:left="260"/>
              <w:spacing w:after="0" w:line="169" w:lineRule="exact"/>
              <w:rPr>
                <w:sz w:val="20"/>
                <w:szCs w:val="20"/>
                <w:color w:val="auto"/>
              </w:rPr>
            </w:pPr>
            <w:r>
              <w:rPr>
                <w:rFonts w:ascii="Times New Roman" w:cs="Times New Roman" w:eastAsia="Times New Roman" w:hAnsi="Times New Roman"/>
                <w:sz w:val="17"/>
                <w:szCs w:val="17"/>
                <w:color w:val="auto"/>
              </w:rPr>
              <w:t>Transaction Support Agreement, dated as of February</w:t>
            </w:r>
          </w:p>
        </w:tc>
        <w:tc>
          <w:tcPr>
            <w:tcW w:w="2240" w:type="dxa"/>
            <w:vAlign w:val="bottom"/>
          </w:tcPr>
          <w:p>
            <w:pPr>
              <w:jc w:val="center"/>
              <w:ind w:left="353"/>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2/22/2021</w:t>
            </w:r>
          </w:p>
        </w:tc>
        <w:tc>
          <w:tcPr>
            <w:tcW w:w="1500" w:type="dxa"/>
            <w:vAlign w:val="bottom"/>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19, 2021, by and among Quantum-Si Incorporated</w:t>
            </w:r>
          </w:p>
        </w:tc>
        <w:tc>
          <w:tcPr>
            <w:tcW w:w="224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(Exhibit 10.1)</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(formerly HighCape Capital Acquisition Corp.), and</w:t>
            </w:r>
          </w:p>
        </w:tc>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certain supporting stockholders of Q-SI Operations Inc.</w:t>
            </w:r>
          </w:p>
        </w:tc>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(formerly Quantum-Si Incorporated) ​</w:t>
            </w:r>
          </w:p>
        </w:tc>
        <w:tc>
          <w:tcPr>
            <w:tcW w:w="2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69"/>
        </w:trPr>
        <w:tc>
          <w:tcPr>
            <w:tcW w:w="700" w:type="dxa"/>
            <w:vAlign w:val="bottom"/>
            <w:gridSpan w:val="5"/>
            <w:shd w:val="clear" w:color="auto" w:fill="CCEEFF"/>
          </w:tcPr>
          <w:p>
            <w:pPr>
              <w:jc w:val="center"/>
              <w:ind w:left="193"/>
              <w:spacing w:after="0" w:line="169"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5</w:t>
              </w:r>
            </w:hyperlink>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7"/>
                <w:szCs w:val="17"/>
                <w:color w:val="auto"/>
              </w:rPr>
              <w:t>Sponsor Letter Agreement, dated as of February 18,</w:t>
            </w:r>
          </w:p>
        </w:tc>
        <w:tc>
          <w:tcPr>
            <w:tcW w:w="2240" w:type="dxa"/>
            <w:vAlign w:val="bottom"/>
            <w:shd w:val="clear" w:color="auto" w:fill="CCEEFF"/>
          </w:tcPr>
          <w:p>
            <w:pPr>
              <w:jc w:val="center"/>
              <w:ind w:left="353"/>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5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2/18/2021</w:t>
            </w:r>
          </w:p>
        </w:tc>
        <w:tc>
          <w:tcPr>
            <w:tcW w:w="1500" w:type="dxa"/>
            <w:vAlign w:val="bottom"/>
            <w:shd w:val="clear" w:color="auto" w:fill="CCEEFF"/>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2021, by and among HighCape Capital Acquisition</w:t>
            </w:r>
          </w:p>
        </w:tc>
        <w:tc>
          <w:tcPr>
            <w:tcW w:w="2240" w:type="dxa"/>
            <w:vAlign w:val="bottom"/>
            <w:tcBorders>
              <w:top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rPr>
              <w:t>(Exhibit 10.4)</w:t>
            </w:r>
          </w:p>
        </w:tc>
        <w:tc>
          <w:tcPr>
            <w:tcW w:w="15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r>
      <w:tr>
        <w:trPr>
          <w:trHeight w:val="208"/>
        </w:trPr>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LLC, Deerfield Partners, L.P., Quantum-Si Incorporated</w:t>
            </w:r>
          </w:p>
        </w:tc>
        <w:tc>
          <w:tcPr>
            <w:tcW w:w="2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8"/>
        </w:trPr>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(formerly HighCape Capital Acquisition Corp.) and Q-</w:t>
            </w:r>
          </w:p>
        </w:tc>
        <w:tc>
          <w:tcPr>
            <w:tcW w:w="2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6"/>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SI Operations Inc. (formerly Quantum-Si Incorporated) ​</w:t>
            </w:r>
          </w:p>
        </w:tc>
        <w:tc>
          <w:tcPr>
            <w:tcW w:w="2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69"/>
        </w:trPr>
        <w:tc>
          <w:tcPr>
            <w:tcW w:w="740" w:type="dxa"/>
            <w:vAlign w:val="bottom"/>
            <w:gridSpan w:val="6"/>
          </w:tcPr>
          <w:p>
            <w:pPr>
              <w:jc w:val="center"/>
              <w:ind w:left="173"/>
              <w:spacing w:after="0" w:line="169"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6+</w:t>
              </w:r>
            </w:hyperlink>
          </w:p>
        </w:tc>
        <w:tc>
          <w:tcPr>
            <w:tcW w:w="240" w:type="dxa"/>
            <w:vAlign w:val="bottom"/>
          </w:tcPr>
          <w:p>
            <w:pPr>
              <w:spacing w:after="0"/>
              <w:rPr>
                <w:sz w:val="14"/>
                <w:szCs w:val="14"/>
                <w:color w:val="auto"/>
              </w:rPr>
            </w:pPr>
          </w:p>
        </w:tc>
        <w:tc>
          <w:tcPr>
            <w:tcW w:w="5020" w:type="dxa"/>
            <w:vAlign w:val="bottom"/>
          </w:tcPr>
          <w:p>
            <w:pPr>
              <w:ind w:left="260"/>
              <w:spacing w:after="0" w:line="169" w:lineRule="exact"/>
              <w:rPr>
                <w:sz w:val="20"/>
                <w:szCs w:val="20"/>
                <w:color w:val="auto"/>
              </w:rPr>
            </w:pPr>
            <w:r>
              <w:rPr>
                <w:rFonts w:ascii="Times New Roman" w:cs="Times New Roman" w:eastAsia="Times New Roman" w:hAnsi="Times New Roman"/>
                <w:sz w:val="17"/>
                <w:szCs w:val="17"/>
                <w:color w:val="auto"/>
              </w:rPr>
              <w:t>Advisory Agreement, dated as of November 1, 2022, by</w:t>
            </w:r>
          </w:p>
        </w:tc>
        <w:tc>
          <w:tcPr>
            <w:tcW w:w="2240" w:type="dxa"/>
            <w:vAlign w:val="bottom"/>
          </w:tcPr>
          <w:p>
            <w:pPr>
              <w:jc w:val="center"/>
              <w:ind w:left="373"/>
              <w:spacing w:after="0" w:line="169" w:lineRule="exact"/>
              <w:rPr>
                <w:sz w:val="20"/>
                <w:szCs w:val="20"/>
                <w:color w:val="auto"/>
              </w:rPr>
            </w:pPr>
            <w:r>
              <w:rPr>
                <w:rFonts w:ascii="Times New Roman" w:cs="Times New Roman" w:eastAsia="Times New Roman" w:hAnsi="Times New Roman"/>
                <w:sz w:val="17"/>
                <w:szCs w:val="17"/>
                <w:color w:val="auto"/>
              </w:rPr>
              <w:t>Form 10-K</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3/17/2023</w:t>
            </w:r>
          </w:p>
        </w:tc>
        <w:tc>
          <w:tcPr>
            <w:tcW w:w="1500" w:type="dxa"/>
            <w:vAlign w:val="bottom"/>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and between Quantum-Si Incorporated and Jonathan M.</w:t>
            </w:r>
          </w:p>
        </w:tc>
        <w:tc>
          <w:tcPr>
            <w:tcW w:w="224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(Exhibit 10.6)</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Rothberg, Ph.D.</w:t>
            </w:r>
          </w:p>
        </w:tc>
        <w:tc>
          <w:tcPr>
            <w:tcW w:w="2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69"/>
        </w:trPr>
        <w:tc>
          <w:tcPr>
            <w:tcW w:w="740" w:type="dxa"/>
            <w:vAlign w:val="bottom"/>
            <w:gridSpan w:val="6"/>
            <w:shd w:val="clear" w:color="auto" w:fill="CCEEFF"/>
          </w:tcPr>
          <w:p>
            <w:pPr>
              <w:jc w:val="center"/>
              <w:ind w:left="173"/>
              <w:spacing w:after="0" w:line="169"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7+</w:t>
              </w:r>
            </w:hyperlink>
          </w:p>
        </w:tc>
        <w:tc>
          <w:tcPr>
            <w:tcW w:w="240" w:type="dxa"/>
            <w:vAlign w:val="bottom"/>
            <w:shd w:val="clear" w:color="auto" w:fill="CCEEFF"/>
          </w:tcPr>
          <w:p>
            <w:pPr>
              <w:spacing w:after="0"/>
              <w:rPr>
                <w:sz w:val="14"/>
                <w:szCs w:val="14"/>
                <w:color w:val="auto"/>
              </w:rPr>
            </w:pPr>
          </w:p>
        </w:tc>
        <w:tc>
          <w:tcPr>
            <w:tcW w:w="50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7"/>
                <w:szCs w:val="17"/>
                <w:color w:val="auto"/>
              </w:rPr>
              <w:t>Offer Letter of Employment, dated as of October 2,</w:t>
            </w:r>
          </w:p>
        </w:tc>
        <w:tc>
          <w:tcPr>
            <w:tcW w:w="2240" w:type="dxa"/>
            <w:vAlign w:val="bottom"/>
            <w:shd w:val="clear" w:color="auto" w:fill="CCEEFF"/>
          </w:tcPr>
          <w:p>
            <w:pPr>
              <w:jc w:val="center"/>
              <w:ind w:left="353"/>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5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10/4/2022</w:t>
            </w:r>
          </w:p>
        </w:tc>
        <w:tc>
          <w:tcPr>
            <w:tcW w:w="1500" w:type="dxa"/>
            <w:vAlign w:val="bottom"/>
            <w:shd w:val="clear" w:color="auto" w:fill="CCEEFF"/>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2022, by and between Quantum-Si Incorporated and</w:t>
            </w:r>
          </w:p>
        </w:tc>
        <w:tc>
          <w:tcPr>
            <w:tcW w:w="2240" w:type="dxa"/>
            <w:vAlign w:val="bottom"/>
            <w:tcBorders>
              <w:top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rPr>
              <w:t>(Exhibit 10.1)</w:t>
            </w:r>
          </w:p>
        </w:tc>
        <w:tc>
          <w:tcPr>
            <w:tcW w:w="15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r>
      <w:tr>
        <w:trPr>
          <w:trHeight w:val="226"/>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Jeffrey Hawkins</w:t>
            </w:r>
          </w:p>
        </w:tc>
        <w:tc>
          <w:tcPr>
            <w:tcW w:w="2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69"/>
        </w:trPr>
        <w:tc>
          <w:tcPr>
            <w:tcW w:w="740" w:type="dxa"/>
            <w:vAlign w:val="bottom"/>
            <w:gridSpan w:val="6"/>
          </w:tcPr>
          <w:p>
            <w:pPr>
              <w:jc w:val="center"/>
              <w:ind w:left="173"/>
              <w:spacing w:after="0" w:line="169"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8+</w:t>
              </w:r>
            </w:hyperlink>
          </w:p>
        </w:tc>
        <w:tc>
          <w:tcPr>
            <w:tcW w:w="240" w:type="dxa"/>
            <w:vAlign w:val="bottom"/>
          </w:tcPr>
          <w:p>
            <w:pPr>
              <w:spacing w:after="0"/>
              <w:rPr>
                <w:sz w:val="14"/>
                <w:szCs w:val="14"/>
                <w:color w:val="auto"/>
              </w:rPr>
            </w:pPr>
          </w:p>
        </w:tc>
        <w:tc>
          <w:tcPr>
            <w:tcW w:w="5020" w:type="dxa"/>
            <w:vAlign w:val="bottom"/>
          </w:tcPr>
          <w:p>
            <w:pPr>
              <w:ind w:left="260"/>
              <w:spacing w:after="0" w:line="169" w:lineRule="exact"/>
              <w:rPr>
                <w:sz w:val="20"/>
                <w:szCs w:val="20"/>
                <w:color w:val="auto"/>
              </w:rPr>
            </w:pPr>
            <w:r>
              <w:rPr>
                <w:rFonts w:ascii="Times New Roman" w:cs="Times New Roman" w:eastAsia="Times New Roman" w:hAnsi="Times New Roman"/>
                <w:sz w:val="17"/>
                <w:szCs w:val="17"/>
                <w:color w:val="auto"/>
              </w:rPr>
              <w:t>Offer Letter of Employment, dated as of April 27, 2023,</w:t>
            </w:r>
          </w:p>
        </w:tc>
        <w:tc>
          <w:tcPr>
            <w:tcW w:w="2240" w:type="dxa"/>
            <w:vAlign w:val="bottom"/>
          </w:tcPr>
          <w:p>
            <w:pPr>
              <w:jc w:val="center"/>
              <w:ind w:left="353"/>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5/2/2023</w:t>
            </w:r>
          </w:p>
        </w:tc>
        <w:tc>
          <w:tcPr>
            <w:tcW w:w="1500" w:type="dxa"/>
            <w:vAlign w:val="bottom"/>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by and between Quantum-Si Incorporated and Jeffry</w:t>
            </w:r>
          </w:p>
        </w:tc>
        <w:tc>
          <w:tcPr>
            <w:tcW w:w="224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(Exhibit 10.1)</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Keyes</w:t>
            </w:r>
          </w:p>
        </w:tc>
        <w:tc>
          <w:tcPr>
            <w:tcW w:w="2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69"/>
        </w:trPr>
        <w:tc>
          <w:tcPr>
            <w:tcW w:w="740" w:type="dxa"/>
            <w:vAlign w:val="bottom"/>
            <w:gridSpan w:val="6"/>
            <w:shd w:val="clear" w:color="auto" w:fill="CCEEFF"/>
          </w:tcPr>
          <w:p>
            <w:pPr>
              <w:jc w:val="center"/>
              <w:ind w:left="173"/>
              <w:spacing w:after="0" w:line="169"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9+</w:t>
              </w:r>
            </w:hyperlink>
          </w:p>
        </w:tc>
        <w:tc>
          <w:tcPr>
            <w:tcW w:w="240" w:type="dxa"/>
            <w:vAlign w:val="bottom"/>
            <w:shd w:val="clear" w:color="auto" w:fill="CCEEFF"/>
          </w:tcPr>
          <w:p>
            <w:pPr>
              <w:spacing w:after="0"/>
              <w:rPr>
                <w:sz w:val="14"/>
                <w:szCs w:val="14"/>
                <w:color w:val="auto"/>
              </w:rPr>
            </w:pPr>
          </w:p>
        </w:tc>
        <w:tc>
          <w:tcPr>
            <w:tcW w:w="5020" w:type="dxa"/>
            <w:vAlign w:val="bottom"/>
            <w:shd w:val="clear" w:color="auto" w:fill="CCEEFF"/>
          </w:tcPr>
          <w:p>
            <w:pPr>
              <w:ind w:left="260"/>
              <w:spacing w:after="0" w:line="169" w:lineRule="exact"/>
              <w:rPr>
                <w:sz w:val="20"/>
                <w:szCs w:val="20"/>
                <w:color w:val="auto"/>
              </w:rPr>
            </w:pPr>
            <w:r>
              <w:rPr>
                <w:rFonts w:ascii="Times New Roman" w:cs="Times New Roman" w:eastAsia="Times New Roman" w:hAnsi="Times New Roman"/>
                <w:sz w:val="17"/>
                <w:szCs w:val="17"/>
                <w:color w:val="auto"/>
              </w:rPr>
              <w:t>Offer Letter of Employment, dated as of December 8,</w:t>
            </w:r>
          </w:p>
        </w:tc>
        <w:tc>
          <w:tcPr>
            <w:tcW w:w="2240" w:type="dxa"/>
            <w:vAlign w:val="bottom"/>
            <w:shd w:val="clear" w:color="auto" w:fill="CCEEFF"/>
          </w:tcPr>
          <w:p>
            <w:pPr>
              <w:jc w:val="center"/>
              <w:ind w:left="373"/>
              <w:spacing w:after="0" w:line="169" w:lineRule="exact"/>
              <w:rPr>
                <w:sz w:val="20"/>
                <w:szCs w:val="20"/>
                <w:color w:val="auto"/>
              </w:rPr>
            </w:pPr>
            <w:r>
              <w:rPr>
                <w:rFonts w:ascii="Times New Roman" w:cs="Times New Roman" w:eastAsia="Times New Roman" w:hAnsi="Times New Roman"/>
                <w:sz w:val="17"/>
                <w:szCs w:val="17"/>
                <w:color w:val="auto"/>
              </w:rPr>
              <w:t>Form 10-K</w:t>
            </w:r>
          </w:p>
        </w:tc>
        <w:tc>
          <w:tcPr>
            <w:tcW w:w="15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3/17/2023</w:t>
            </w:r>
          </w:p>
        </w:tc>
        <w:tc>
          <w:tcPr>
            <w:tcW w:w="1500" w:type="dxa"/>
            <w:vAlign w:val="bottom"/>
            <w:shd w:val="clear" w:color="auto" w:fill="CCEEFF"/>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2022, by and between Quantum-Si Incorporated and</w:t>
            </w:r>
          </w:p>
        </w:tc>
        <w:tc>
          <w:tcPr>
            <w:tcW w:w="2240" w:type="dxa"/>
            <w:vAlign w:val="bottom"/>
            <w:tcBorders>
              <w:top w:val="single" w:sz="8" w:color="CCEEFF"/>
            </w:tcBorders>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rPr>
              <w:t>(Exhibit 10.9)</w:t>
            </w:r>
          </w:p>
        </w:tc>
        <w:tc>
          <w:tcPr>
            <w:tcW w:w="15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r>
      <w:tr>
        <w:trPr>
          <w:trHeight w:val="226"/>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Grace Johnston</w:t>
            </w:r>
          </w:p>
        </w:tc>
        <w:tc>
          <w:tcPr>
            <w:tcW w:w="2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69"/>
        </w:trPr>
        <w:tc>
          <w:tcPr>
            <w:tcW w:w="980" w:type="dxa"/>
            <w:vAlign w:val="bottom"/>
            <w:gridSpan w:val="7"/>
          </w:tcPr>
          <w:p>
            <w:pPr>
              <w:jc w:val="center"/>
              <w:spacing w:after="0" w:line="169"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10+</w:t>
              </w:r>
            </w:hyperlink>
          </w:p>
        </w:tc>
        <w:tc>
          <w:tcPr>
            <w:tcW w:w="5020" w:type="dxa"/>
            <w:vAlign w:val="bottom"/>
          </w:tcPr>
          <w:p>
            <w:pPr>
              <w:ind w:left="260"/>
              <w:spacing w:after="0" w:line="169" w:lineRule="exact"/>
              <w:rPr>
                <w:sz w:val="20"/>
                <w:szCs w:val="20"/>
                <w:color w:val="auto"/>
              </w:rPr>
            </w:pPr>
            <w:r>
              <w:rPr>
                <w:rFonts w:ascii="Times New Roman" w:cs="Times New Roman" w:eastAsia="Times New Roman" w:hAnsi="Times New Roman"/>
                <w:sz w:val="17"/>
                <w:szCs w:val="17"/>
                <w:color w:val="auto"/>
              </w:rPr>
              <w:t>Offer Letter of Employment, dated as of November 4,</w:t>
            </w:r>
          </w:p>
        </w:tc>
        <w:tc>
          <w:tcPr>
            <w:tcW w:w="2240" w:type="dxa"/>
            <w:vAlign w:val="bottom"/>
          </w:tcPr>
          <w:p>
            <w:pPr>
              <w:jc w:val="center"/>
              <w:ind w:left="373"/>
              <w:spacing w:after="0" w:line="169" w:lineRule="exact"/>
              <w:rPr>
                <w:sz w:val="20"/>
                <w:szCs w:val="20"/>
                <w:color w:val="auto"/>
              </w:rPr>
            </w:pPr>
            <w:r>
              <w:rPr>
                <w:rFonts w:ascii="Times New Roman" w:cs="Times New Roman" w:eastAsia="Times New Roman" w:hAnsi="Times New Roman"/>
                <w:sz w:val="17"/>
                <w:szCs w:val="17"/>
                <w:color w:val="auto"/>
              </w:rPr>
              <w:t>Form 10-K</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3/1/2022</w:t>
            </w:r>
          </w:p>
        </w:tc>
        <w:tc>
          <w:tcPr>
            <w:tcW w:w="1500" w:type="dxa"/>
            <w:vAlign w:val="bottom"/>
          </w:tcPr>
          <w:p>
            <w:pPr>
              <w:jc w:val="right"/>
              <w:ind w:right="25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2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2020, by and between Q-SI Operations Inc. (formerly</w:t>
            </w:r>
          </w:p>
        </w:tc>
        <w:tc>
          <w:tcPr>
            <w:tcW w:w="224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(Exhibit 10.12)</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Quantum-Si Incorporated) and Christian LaPointe,</w:t>
            </w:r>
          </w:p>
        </w:tc>
        <w:tc>
          <w:tcPr>
            <w:tcW w:w="2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ind w:left="1240"/>
        <w:spacing w:after="0"/>
        <w:rPr>
          <w:sz w:val="20"/>
          <w:szCs w:val="20"/>
          <w:color w:val="auto"/>
        </w:rPr>
      </w:pPr>
      <w:r>
        <w:rPr>
          <w:rFonts w:ascii="Times New Roman" w:cs="Times New Roman" w:eastAsia="Times New Roman" w:hAnsi="Times New Roman"/>
          <w:sz w:val="17"/>
          <w:szCs w:val="17"/>
          <w:color w:val="auto"/>
        </w:rPr>
        <w:t>Ph.D., as supplemented by the Letter Agreement, dated</w:t>
      </w:r>
    </w:p>
    <w:p>
      <w:pPr>
        <w:spacing w:after="0" w:line="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as of February 16, 2021, by and between Q-SI</w:t>
      </w:r>
    </w:p>
    <w:p>
      <w:pPr>
        <w:spacing w:after="0" w:line="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Operations Inc. and Christian LaPointe, Ph.D.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gridSpan w:val="4"/>
            <w:shd w:val="clear" w:color="auto" w:fill="CCEEFF"/>
          </w:tcPr>
          <w:p>
            <w:pPr>
              <w:jc w:val="center"/>
              <w:ind w:left="213"/>
              <w:spacing w:after="0"/>
              <w:rPr>
                <w:rFonts w:ascii="Times New Roman" w:cs="Times New Roman" w:eastAsia="Times New Roman" w:hAnsi="Times New Roman"/>
                <w:sz w:val="17"/>
                <w:szCs w:val="17"/>
                <w:color w:val="0000EE"/>
                <w:w w:val="99"/>
              </w:rPr>
            </w:pPr>
            <w:hyperlink r:id="rId132">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11</w:t>
              </w:r>
            </w:hyperlink>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Technology and Services Exchange Agreement, dated as</w:t>
            </w:r>
          </w:p>
        </w:tc>
        <w:tc>
          <w:tcPr>
            <w:tcW w:w="2900" w:type="dxa"/>
            <w:vAlign w:val="bottom"/>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Form 10-Q</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11/15/2021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of February 17, 2021, by and among Q-SI Operations</w:t>
            </w: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10.1)</w:t>
            </w:r>
          </w:p>
        </w:tc>
        <w:tc>
          <w:tcPr>
            <w:tcW w:w="14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r>
      <w:tr>
        <w:trPr>
          <w:trHeight w:val="208"/>
        </w:trPr>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 (formerly Quantum-Si Incorporated) and the</w:t>
            </w:r>
          </w:p>
        </w:tc>
        <w:tc>
          <w:tcPr>
            <w:tcW w:w="2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6"/>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participants named therein</w:t>
            </w:r>
          </w:p>
        </w:tc>
        <w:tc>
          <w:tcPr>
            <w:tcW w:w="29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69"/>
        </w:trPr>
        <w:tc>
          <w:tcPr>
            <w:tcW w:w="740" w:type="dxa"/>
            <w:vAlign w:val="bottom"/>
            <w:gridSpan w:val="5"/>
          </w:tcPr>
          <w:p>
            <w:pPr>
              <w:jc w:val="center"/>
              <w:ind w:left="153"/>
              <w:spacing w:after="0" w:line="169" w:lineRule="exact"/>
              <w:rPr>
                <w:rFonts w:ascii="Times New Roman" w:cs="Times New Roman" w:eastAsia="Times New Roman" w:hAnsi="Times New Roman"/>
                <w:sz w:val="17"/>
                <w:szCs w:val="17"/>
                <w:color w:val="0000EE"/>
                <w:w w:val="99"/>
              </w:rPr>
            </w:pPr>
            <w:hyperlink r:id="rId133">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12</w:t>
              </w:r>
            </w:hyperlink>
          </w:p>
        </w:tc>
        <w:tc>
          <w:tcPr>
            <w:tcW w:w="60" w:type="dxa"/>
            <w:vAlign w:val="bottom"/>
          </w:tcPr>
          <w:p>
            <w:pPr>
              <w:spacing w:after="0"/>
              <w:rPr>
                <w:sz w:val="14"/>
                <w:szCs w:val="14"/>
                <w:color w:val="auto"/>
              </w:rPr>
            </w:pPr>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Protein Engineering Collaboration Agreement, dated as</w:t>
            </w:r>
          </w:p>
        </w:tc>
        <w:tc>
          <w:tcPr>
            <w:tcW w:w="2900" w:type="dxa"/>
            <w:vAlign w:val="bottom"/>
          </w:tcPr>
          <w:p>
            <w:pPr>
              <w:jc w:val="center"/>
              <w:ind w:left="994"/>
              <w:spacing w:after="0" w:line="169" w:lineRule="exact"/>
              <w:rPr>
                <w:sz w:val="20"/>
                <w:szCs w:val="20"/>
                <w:color w:val="auto"/>
              </w:rPr>
            </w:pPr>
            <w:r>
              <w:rPr>
                <w:rFonts w:ascii="Times New Roman" w:cs="Times New Roman" w:eastAsia="Times New Roman" w:hAnsi="Times New Roman"/>
                <w:sz w:val="17"/>
                <w:szCs w:val="17"/>
                <w:color w:val="auto"/>
              </w:rPr>
              <w:t>Form 10-K</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3/17/2023</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of March 13, 2023, by and between Quantum-Si</w:t>
            </w: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10.14)</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Incorporated and Protein Evolution, Inc.</w:t>
            </w:r>
          </w:p>
        </w:tc>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9"/>
        </w:trPr>
        <w:tc>
          <w:tcPr>
            <w:tcW w:w="800" w:type="dxa"/>
            <w:vAlign w:val="bottom"/>
            <w:gridSpan w:val="6"/>
            <w:shd w:val="clear" w:color="auto" w:fill="CCEEFF"/>
          </w:tcPr>
          <w:p>
            <w:pPr>
              <w:jc w:val="center"/>
              <w:ind w:left="93"/>
              <w:spacing w:after="0" w:line="169"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13.1+</w:t>
              </w:r>
            </w:hyperlink>
          </w:p>
        </w:tc>
        <w:tc>
          <w:tcPr>
            <w:tcW w:w="456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Quantum-Si Incorporated 2021 Equity Incentive Plan</w:t>
            </w:r>
          </w:p>
        </w:tc>
        <w:tc>
          <w:tcPr>
            <w:tcW w:w="2900" w:type="dxa"/>
            <w:vAlign w:val="bottom"/>
            <w:shd w:val="clear" w:color="auto" w:fill="CCEEFF"/>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10.13.1)</w:t>
            </w:r>
          </w:p>
        </w:tc>
        <w:tc>
          <w:tcPr>
            <w:tcW w:w="14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r>
      <w:tr>
        <w:trPr>
          <w:trHeight w:val="169"/>
        </w:trPr>
        <w:tc>
          <w:tcPr>
            <w:tcW w:w="800" w:type="dxa"/>
            <w:vAlign w:val="bottom"/>
            <w:gridSpan w:val="6"/>
          </w:tcPr>
          <w:p>
            <w:pPr>
              <w:jc w:val="center"/>
              <w:ind w:left="93"/>
              <w:spacing w:after="0" w:line="169"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13.2+</w:t>
              </w:r>
            </w:hyperlink>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Form of Stock Option Agreement under 2021 Equity</w:t>
            </w:r>
          </w:p>
        </w:tc>
        <w:tc>
          <w:tcPr>
            <w:tcW w:w="2900" w:type="dxa"/>
            <w:vAlign w:val="bottom"/>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Incentive Plan</w:t>
            </w: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10.13.2)</w:t>
            </w: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9"/>
        </w:trPr>
        <w:tc>
          <w:tcPr>
            <w:tcW w:w="800" w:type="dxa"/>
            <w:vAlign w:val="bottom"/>
            <w:gridSpan w:val="6"/>
            <w:shd w:val="clear" w:color="auto" w:fill="CCEEFF"/>
          </w:tcPr>
          <w:p>
            <w:pPr>
              <w:jc w:val="center"/>
              <w:ind w:left="93"/>
              <w:spacing w:after="0" w:line="169"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13.3+</w:t>
            </w:r>
          </w:p>
        </w:tc>
        <w:tc>
          <w:tcPr>
            <w:tcW w:w="456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Form of Restricted Stock Unit Agreement under 2021</w:t>
            </w:r>
          </w:p>
        </w:tc>
        <w:tc>
          <w:tcPr>
            <w:tcW w:w="2900" w:type="dxa"/>
            <w:vAlign w:val="bottom"/>
            <w:shd w:val="clear" w:color="auto" w:fill="CCEEFF"/>
          </w:tcPr>
          <w:p>
            <w:pPr>
              <w:ind w:left="48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4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Equity Incentive Plan</w:t>
            </w:r>
          </w:p>
        </w:tc>
        <w:tc>
          <w:tcPr>
            <w:tcW w:w="29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r>
      <w:tr>
        <w:trPr>
          <w:trHeight w:val="169"/>
        </w:trPr>
        <w:tc>
          <w:tcPr>
            <w:tcW w:w="800" w:type="dxa"/>
            <w:vAlign w:val="bottom"/>
            <w:gridSpan w:val="6"/>
          </w:tcPr>
          <w:p>
            <w:pPr>
              <w:jc w:val="center"/>
              <w:ind w:left="93"/>
              <w:spacing w:after="0" w:line="169"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14.1+</w:t>
              </w:r>
            </w:hyperlink>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Q-SI Operations Inc. 2013 Employee, Director and</w:t>
            </w:r>
          </w:p>
        </w:tc>
        <w:tc>
          <w:tcPr>
            <w:tcW w:w="2900" w:type="dxa"/>
            <w:vAlign w:val="bottom"/>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Consultant Equity Incentive Plan, as amended</w:t>
            </w: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10.14.1)</w:t>
            </w: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9"/>
        </w:trPr>
        <w:tc>
          <w:tcPr>
            <w:tcW w:w="800" w:type="dxa"/>
            <w:vAlign w:val="bottom"/>
            <w:gridSpan w:val="6"/>
            <w:shd w:val="clear" w:color="auto" w:fill="CCEEFF"/>
          </w:tcPr>
          <w:p>
            <w:pPr>
              <w:jc w:val="center"/>
              <w:ind w:left="93"/>
              <w:spacing w:after="0" w:line="169"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14.2+</w:t>
              </w:r>
            </w:hyperlink>
          </w:p>
        </w:tc>
        <w:tc>
          <w:tcPr>
            <w:tcW w:w="456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Form of Stock Option Agreement under 2013</w:t>
            </w:r>
          </w:p>
        </w:tc>
        <w:tc>
          <w:tcPr>
            <w:tcW w:w="2900" w:type="dxa"/>
            <w:vAlign w:val="bottom"/>
            <w:shd w:val="clear" w:color="auto" w:fill="CCEEFF"/>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Employee, Director and Consultant Equity Incentive</w:t>
            </w: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10.14.2)</w:t>
            </w:r>
          </w:p>
        </w:tc>
        <w:tc>
          <w:tcPr>
            <w:tcW w:w="14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r>
      <w:tr>
        <w:trPr>
          <w:trHeight w:val="226"/>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Plan, as amended</w:t>
            </w:r>
          </w:p>
        </w:tc>
        <w:tc>
          <w:tcPr>
            <w:tcW w:w="29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69"/>
        </w:trPr>
        <w:tc>
          <w:tcPr>
            <w:tcW w:w="800" w:type="dxa"/>
            <w:vAlign w:val="bottom"/>
            <w:gridSpan w:val="6"/>
          </w:tcPr>
          <w:p>
            <w:pPr>
              <w:jc w:val="center"/>
              <w:ind w:left="93"/>
              <w:spacing w:after="0" w:line="169"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14.3+</w:t>
              </w:r>
            </w:hyperlink>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Form of Restricted Stock Unit Agreement under 2013</w:t>
            </w:r>
          </w:p>
        </w:tc>
        <w:tc>
          <w:tcPr>
            <w:tcW w:w="2900" w:type="dxa"/>
            <w:vAlign w:val="bottom"/>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18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Employee, Director and Consultant Equity Incentive</w:t>
            </w: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10.14.3)</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Plan, as amended</w:t>
            </w:r>
          </w:p>
        </w:tc>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9"/>
        </w:trPr>
        <w:tc>
          <w:tcPr>
            <w:tcW w:w="800" w:type="dxa"/>
            <w:vAlign w:val="bottom"/>
            <w:gridSpan w:val="6"/>
            <w:shd w:val="clear" w:color="auto" w:fill="CCEEFF"/>
          </w:tcPr>
          <w:p>
            <w:pPr>
              <w:jc w:val="center"/>
              <w:ind w:left="93"/>
              <w:spacing w:after="0" w:line="169"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15+</w:t>
              </w:r>
            </w:hyperlink>
          </w:p>
        </w:tc>
        <w:tc>
          <w:tcPr>
            <w:tcW w:w="456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Form of Performance-Based Non-Qualified Stock</w:t>
            </w:r>
          </w:p>
        </w:tc>
        <w:tc>
          <w:tcPr>
            <w:tcW w:w="2900" w:type="dxa"/>
            <w:vAlign w:val="bottom"/>
            <w:shd w:val="clear" w:color="auto" w:fill="CCEEFF"/>
          </w:tcPr>
          <w:p>
            <w:pPr>
              <w:jc w:val="center"/>
              <w:ind w:left="994"/>
              <w:spacing w:after="0" w:line="169" w:lineRule="exact"/>
              <w:rPr>
                <w:sz w:val="20"/>
                <w:szCs w:val="20"/>
                <w:color w:val="auto"/>
              </w:rPr>
            </w:pPr>
            <w:r>
              <w:rPr>
                <w:rFonts w:ascii="Times New Roman" w:cs="Times New Roman" w:eastAsia="Times New Roman" w:hAnsi="Times New Roman"/>
                <w:sz w:val="17"/>
                <w:szCs w:val="17"/>
                <w:color w:val="auto"/>
              </w:rPr>
              <w:t>Form S-8</w:t>
            </w: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11/10/2022</w:t>
            </w:r>
          </w:p>
        </w:tc>
        <w:tc>
          <w:tcPr>
            <w:tcW w:w="15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333-268301</w:t>
            </w: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Option Agreement</w:t>
            </w: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99.1)</w:t>
            </w:r>
          </w:p>
        </w:tc>
        <w:tc>
          <w:tcPr>
            <w:tcW w:w="14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r>
      <w:tr>
        <w:trPr>
          <w:trHeight w:val="178"/>
        </w:trPr>
        <w:tc>
          <w:tcPr>
            <w:tcW w:w="240" w:type="dxa"/>
            <w:vAlign w:val="bottom"/>
            <w:gridSpan w:val="2"/>
          </w:tcPr>
          <w:p>
            <w:pPr>
              <w:spacing w:after="0"/>
              <w:rPr>
                <w:sz w:val="15"/>
                <w:szCs w:val="15"/>
                <w:color w:val="auto"/>
              </w:rPr>
            </w:pPr>
          </w:p>
        </w:tc>
        <w:tc>
          <w:tcPr>
            <w:tcW w:w="500" w:type="dxa"/>
            <w:vAlign w:val="bottom"/>
            <w:tcBorders>
              <w:bottom w:val="single" w:sz="8" w:color="0000EE"/>
            </w:tcBorders>
            <w:gridSpan w:val="3"/>
          </w:tcPr>
          <w:p>
            <w:pPr>
              <w:jc w:val="center"/>
              <w:spacing w:after="0" w:line="169"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16+</w:t>
            </w:r>
          </w:p>
        </w:tc>
        <w:tc>
          <w:tcPr>
            <w:tcW w:w="60" w:type="dxa"/>
            <w:vAlign w:val="bottom"/>
          </w:tcPr>
          <w:p>
            <w:pPr>
              <w:spacing w:after="0"/>
              <w:rPr>
                <w:sz w:val="15"/>
                <w:szCs w:val="15"/>
                <w:color w:val="auto"/>
              </w:rPr>
            </w:pPr>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Nonemployee Director Compensation Policy</w:t>
            </w:r>
          </w:p>
        </w:tc>
        <w:tc>
          <w:tcPr>
            <w:tcW w:w="2900" w:type="dxa"/>
            <w:vAlign w:val="bottom"/>
          </w:tcPr>
          <w:p>
            <w:pPr>
              <w:ind w:left="48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8"/>
        </w:trPr>
        <w:tc>
          <w:tcPr>
            <w:tcW w:w="740" w:type="dxa"/>
            <w:vAlign w:val="bottom"/>
            <w:gridSpan w:val="5"/>
            <w:shd w:val="clear" w:color="auto" w:fill="CCEEFF"/>
          </w:tcPr>
          <w:p>
            <w:pPr>
              <w:jc w:val="center"/>
              <w:ind w:left="153"/>
              <w:spacing w:after="0" w:line="179" w:lineRule="exact"/>
              <w:rPr>
                <w:rFonts w:ascii="Times New Roman" w:cs="Times New Roman" w:eastAsia="Times New Roman" w:hAnsi="Times New Roman"/>
                <w:sz w:val="17"/>
                <w:szCs w:val="17"/>
                <w:color w:val="0000EE"/>
                <w:w w:val="99"/>
              </w:rPr>
            </w:pPr>
            <w:hyperlink r:id="rId140">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17</w:t>
              </w:r>
            </w:hyperlink>
          </w:p>
        </w:tc>
        <w:tc>
          <w:tcPr>
            <w:tcW w:w="60" w:type="dxa"/>
            <w:vAlign w:val="bottom"/>
            <w:shd w:val="clear" w:color="auto" w:fill="CCEEFF"/>
          </w:tcPr>
          <w:p>
            <w:pPr>
              <w:spacing w:after="0"/>
              <w:rPr>
                <w:sz w:val="15"/>
                <w:szCs w:val="15"/>
                <w:color w:val="auto"/>
              </w:rPr>
            </w:pPr>
          </w:p>
        </w:tc>
        <w:tc>
          <w:tcPr>
            <w:tcW w:w="4560" w:type="dxa"/>
            <w:vAlign w:val="bottom"/>
            <w:shd w:val="clear" w:color="auto" w:fill="CCEEFF"/>
          </w:tcPr>
          <w:p>
            <w:pPr>
              <w:ind w:left="440"/>
              <w:spacing w:after="0" w:line="179" w:lineRule="exact"/>
              <w:rPr>
                <w:sz w:val="20"/>
                <w:szCs w:val="20"/>
                <w:color w:val="auto"/>
              </w:rPr>
            </w:pPr>
            <w:r>
              <w:rPr>
                <w:rFonts w:ascii="Times New Roman" w:cs="Times New Roman" w:eastAsia="Times New Roman" w:hAnsi="Times New Roman"/>
                <w:sz w:val="17"/>
                <w:szCs w:val="17"/>
                <w:color w:val="auto"/>
              </w:rPr>
              <w:t>Form of Indemnification Agreement</w:t>
            </w:r>
          </w:p>
        </w:tc>
        <w:tc>
          <w:tcPr>
            <w:tcW w:w="2900" w:type="dxa"/>
            <w:vAlign w:val="bottom"/>
            <w:shd w:val="clear" w:color="auto" w:fill="CCEEFF"/>
          </w:tcPr>
          <w:p>
            <w:pPr>
              <w:jc w:val="center"/>
              <w:ind w:left="974"/>
              <w:spacing w:after="0" w:line="17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10.16)</w:t>
            </w:r>
          </w:p>
        </w:tc>
        <w:tc>
          <w:tcPr>
            <w:tcW w:w="14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r>
      <w:tr>
        <w:trPr>
          <w:trHeight w:val="169"/>
        </w:trPr>
        <w:tc>
          <w:tcPr>
            <w:tcW w:w="740" w:type="dxa"/>
            <w:vAlign w:val="bottom"/>
            <w:gridSpan w:val="5"/>
          </w:tcPr>
          <w:p>
            <w:pPr>
              <w:jc w:val="center"/>
              <w:ind w:left="153"/>
              <w:spacing w:after="0" w:line="169" w:lineRule="exact"/>
              <w:rPr>
                <w:rFonts w:ascii="Times New Roman" w:cs="Times New Roman" w:eastAsia="Times New Roman" w:hAnsi="Times New Roman"/>
                <w:sz w:val="17"/>
                <w:szCs w:val="17"/>
                <w:color w:val="0000EE"/>
                <w:w w:val="99"/>
              </w:rPr>
            </w:pPr>
            <w:hyperlink r:id="rId141">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18</w:t>
              </w:r>
            </w:hyperlink>
          </w:p>
        </w:tc>
        <w:tc>
          <w:tcPr>
            <w:tcW w:w="60" w:type="dxa"/>
            <w:vAlign w:val="bottom"/>
          </w:tcPr>
          <w:p>
            <w:pPr>
              <w:spacing w:after="0"/>
              <w:rPr>
                <w:sz w:val="14"/>
                <w:szCs w:val="14"/>
                <w:color w:val="auto"/>
              </w:rPr>
            </w:pPr>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Amended and Restated Registration Rights Agreement,</w:t>
            </w:r>
          </w:p>
        </w:tc>
        <w:tc>
          <w:tcPr>
            <w:tcW w:w="2900" w:type="dxa"/>
            <w:vAlign w:val="bottom"/>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6/15/2021</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dated as of June 10, 2021, by and among Quantum-Si</w:t>
            </w: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10.17)</w:t>
            </w: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Incorporated (formerly HighCape Capital Acquisition</w:t>
            </w:r>
          </w:p>
        </w:tc>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Corp.) and certain of its securityholders</w:t>
            </w:r>
          </w:p>
        </w:tc>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9"/>
        </w:trPr>
        <w:tc>
          <w:tcPr>
            <w:tcW w:w="740" w:type="dxa"/>
            <w:vAlign w:val="bottom"/>
            <w:gridSpan w:val="5"/>
            <w:shd w:val="clear" w:color="auto" w:fill="CCEEFF"/>
          </w:tcPr>
          <w:p>
            <w:pPr>
              <w:jc w:val="center"/>
              <w:ind w:left="153"/>
              <w:spacing w:after="0" w:line="169" w:lineRule="exact"/>
              <w:rPr>
                <w:rFonts w:ascii="Times New Roman" w:cs="Times New Roman" w:eastAsia="Times New Roman" w:hAnsi="Times New Roman"/>
                <w:sz w:val="17"/>
                <w:szCs w:val="17"/>
                <w:color w:val="0000EE"/>
                <w:w w:val="99"/>
              </w:rPr>
            </w:pPr>
            <w:hyperlink r:id="rId142">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19</w:t>
              </w:r>
            </w:hyperlink>
          </w:p>
        </w:tc>
        <w:tc>
          <w:tcPr>
            <w:tcW w:w="60" w:type="dxa"/>
            <w:vAlign w:val="bottom"/>
            <w:shd w:val="clear" w:color="auto" w:fill="CCEEFF"/>
          </w:tcPr>
          <w:p>
            <w:pPr>
              <w:spacing w:after="0"/>
              <w:rPr>
                <w:sz w:val="14"/>
                <w:szCs w:val="14"/>
                <w:color w:val="auto"/>
              </w:rPr>
            </w:pPr>
          </w:p>
        </w:tc>
        <w:tc>
          <w:tcPr>
            <w:tcW w:w="456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Lease Agreement between Quantum-Si Incorporated and</w:t>
            </w:r>
          </w:p>
        </w:tc>
        <w:tc>
          <w:tcPr>
            <w:tcW w:w="2900" w:type="dxa"/>
            <w:vAlign w:val="bottom"/>
            <w:shd w:val="clear" w:color="auto" w:fill="CCEEFF"/>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6/24/2021</w:t>
            </w:r>
          </w:p>
        </w:tc>
        <w:tc>
          <w:tcPr>
            <w:tcW w:w="15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08"/>
        </w:trPr>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BP3-SD5 5510 Morehouse Drive LLC, dated June 18,</w:t>
            </w: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10.1)</w:t>
            </w:r>
          </w:p>
        </w:tc>
        <w:tc>
          <w:tcPr>
            <w:tcW w:w="14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r>
      <w:tr>
        <w:trPr>
          <w:trHeight w:val="226"/>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2021</w:t>
            </w:r>
          </w:p>
        </w:tc>
        <w:tc>
          <w:tcPr>
            <w:tcW w:w="29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69"/>
        </w:trPr>
        <w:tc>
          <w:tcPr>
            <w:tcW w:w="740" w:type="dxa"/>
            <w:vAlign w:val="bottom"/>
            <w:gridSpan w:val="5"/>
          </w:tcPr>
          <w:p>
            <w:pPr>
              <w:jc w:val="center"/>
              <w:ind w:left="153"/>
              <w:spacing w:after="0" w:line="169" w:lineRule="exact"/>
              <w:rPr>
                <w:rFonts w:ascii="Times New Roman" w:cs="Times New Roman" w:eastAsia="Times New Roman" w:hAnsi="Times New Roman"/>
                <w:sz w:val="17"/>
                <w:szCs w:val="17"/>
                <w:color w:val="0000EE"/>
                <w:w w:val="99"/>
              </w:rPr>
            </w:pPr>
            <w:hyperlink r:id="rId143">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20</w:t>
              </w:r>
            </w:hyperlink>
          </w:p>
        </w:tc>
        <w:tc>
          <w:tcPr>
            <w:tcW w:w="60" w:type="dxa"/>
            <w:vAlign w:val="bottom"/>
          </w:tcPr>
          <w:p>
            <w:pPr>
              <w:spacing w:after="0"/>
              <w:rPr>
                <w:sz w:val="14"/>
                <w:szCs w:val="14"/>
                <w:color w:val="auto"/>
              </w:rPr>
            </w:pPr>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Lease Agreement between Quantum-Si Incorporated and</w:t>
            </w:r>
          </w:p>
        </w:tc>
        <w:tc>
          <w:tcPr>
            <w:tcW w:w="2900" w:type="dxa"/>
            <w:vAlign w:val="bottom"/>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1/24/2022</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Winchester Office LLC, dated December 28, 2021</w:t>
            </w: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10.1)</w:t>
            </w: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9"/>
        </w:trPr>
        <w:tc>
          <w:tcPr>
            <w:tcW w:w="800" w:type="dxa"/>
            <w:vAlign w:val="bottom"/>
            <w:gridSpan w:val="6"/>
            <w:shd w:val="clear" w:color="auto" w:fill="CCEEFF"/>
          </w:tcPr>
          <w:p>
            <w:pPr>
              <w:jc w:val="center"/>
              <w:ind w:left="93"/>
              <w:spacing w:after="0" w:line="169"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21+</w:t>
              </w:r>
            </w:hyperlink>
          </w:p>
        </w:tc>
        <w:tc>
          <w:tcPr>
            <w:tcW w:w="456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Quantum-Si Incorporated Executive Severance Plan</w:t>
            </w:r>
          </w:p>
        </w:tc>
        <w:tc>
          <w:tcPr>
            <w:tcW w:w="2900" w:type="dxa"/>
            <w:vAlign w:val="bottom"/>
            <w:shd w:val="clear" w:color="auto" w:fill="CCEEFF"/>
          </w:tcPr>
          <w:p>
            <w:pPr>
              <w:jc w:val="center"/>
              <w:ind w:left="974"/>
              <w:spacing w:after="0" w:line="169" w:lineRule="exact"/>
              <w:rPr>
                <w:sz w:val="20"/>
                <w:szCs w:val="20"/>
                <w:color w:val="auto"/>
              </w:rPr>
            </w:pPr>
            <w:r>
              <w:rPr>
                <w:rFonts w:ascii="Times New Roman" w:cs="Times New Roman" w:eastAsia="Times New Roman" w:hAnsi="Times New Roman"/>
                <w:sz w:val="17"/>
                <w:szCs w:val="17"/>
                <w:color w:val="auto"/>
              </w:rPr>
              <w:t>Form 8-K</w:t>
            </w: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7/6/2021</w:t>
            </w:r>
          </w:p>
        </w:tc>
        <w:tc>
          <w:tcPr>
            <w:tcW w:w="15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56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(Exhibit 10.1)</w:t>
            </w:r>
          </w:p>
        </w:tc>
        <w:tc>
          <w:tcPr>
            <w:tcW w:w="14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r>
      <w:tr>
        <w:trPr>
          <w:trHeight w:val="169"/>
        </w:trPr>
        <w:tc>
          <w:tcPr>
            <w:tcW w:w="800" w:type="dxa"/>
            <w:vAlign w:val="bottom"/>
            <w:gridSpan w:val="6"/>
          </w:tcPr>
          <w:p>
            <w:pPr>
              <w:jc w:val="center"/>
              <w:ind w:left="93"/>
              <w:spacing w:after="0" w:line="169"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22+</w:t>
              </w:r>
            </w:hyperlink>
          </w:p>
        </w:tc>
        <w:tc>
          <w:tcPr>
            <w:tcW w:w="4560" w:type="dxa"/>
            <w:vAlign w:val="bottom"/>
          </w:tcPr>
          <w:p>
            <w:pPr>
              <w:ind w:left="440"/>
              <w:spacing w:after="0" w:line="169" w:lineRule="exact"/>
              <w:rPr>
                <w:sz w:val="20"/>
                <w:szCs w:val="20"/>
                <w:color w:val="auto"/>
              </w:rPr>
            </w:pPr>
            <w:r>
              <w:rPr>
                <w:rFonts w:ascii="Times New Roman" w:cs="Times New Roman" w:eastAsia="Times New Roman" w:hAnsi="Times New Roman"/>
                <w:sz w:val="17"/>
                <w:szCs w:val="17"/>
                <w:color w:val="auto"/>
              </w:rPr>
              <w:t>2023 Inducement Equity Incentive Plan</w:t>
            </w:r>
          </w:p>
        </w:tc>
        <w:tc>
          <w:tcPr>
            <w:tcW w:w="2900" w:type="dxa"/>
            <w:vAlign w:val="bottom"/>
          </w:tcPr>
          <w:p>
            <w:pPr>
              <w:jc w:val="center"/>
              <w:ind w:left="994"/>
              <w:spacing w:after="0" w:line="169" w:lineRule="exact"/>
              <w:rPr>
                <w:sz w:val="20"/>
                <w:szCs w:val="20"/>
                <w:color w:val="auto"/>
              </w:rPr>
            </w:pPr>
            <w:r>
              <w:rPr>
                <w:rFonts w:ascii="Times New Roman" w:cs="Times New Roman" w:eastAsia="Times New Roman" w:hAnsi="Times New Roman"/>
                <w:sz w:val="17"/>
                <w:szCs w:val="17"/>
                <w:color w:val="auto"/>
              </w:rPr>
              <w:t>Form S-8</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7/20/2023</w:t>
            </w:r>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333-273350</w:t>
            </w:r>
          </w:p>
        </w:tc>
      </w:tr>
      <w:tr>
        <w:trPr>
          <w:trHeight w:val="227"/>
        </w:trPr>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90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(Exhibit 99.1)</w:t>
            </w:r>
          </w:p>
        </w:tc>
        <w:tc>
          <w:tcPr>
            <w:tcW w:w="1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757"/>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900" w:type="dxa"/>
            <w:vAlign w:val="bottom"/>
          </w:tcPr>
          <w:p>
            <w:pPr>
              <w:jc w:val="right"/>
              <w:ind w:right="2454"/>
              <w:spacing w:after="0"/>
              <w:rPr>
                <w:sz w:val="20"/>
                <w:szCs w:val="20"/>
                <w:color w:val="auto"/>
              </w:rPr>
            </w:pPr>
            <w:r>
              <w:rPr>
                <w:rFonts w:ascii="Times New Roman" w:cs="Times New Roman" w:eastAsia="Times New Roman" w:hAnsi="Times New Roman"/>
                <w:sz w:val="14"/>
                <w:szCs w:val="14"/>
                <w:color w:val="auto"/>
              </w:rPr>
              <w:t>107</w:t>
            </w: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
        </w:trPr>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 w:type="dxa"/>
            <w:vAlign w:val="bottom"/>
            <w:gridSpan w:val="7"/>
            <w:shd w:val="clear" w:color="auto" w:fill="CCEEFF"/>
          </w:tcPr>
          <w:p>
            <w:pPr>
              <w:jc w:val="center"/>
              <w:ind w:left="93"/>
              <w:spacing w:after="0"/>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22.1+</w:t>
              </w:r>
            </w:hyperlink>
          </w:p>
        </w:tc>
        <w:tc>
          <w:tcPr>
            <w:tcW w:w="220" w:type="dxa"/>
            <w:vAlign w:val="bottom"/>
            <w:shd w:val="clear" w:color="auto" w:fill="CCEEFF"/>
          </w:tcPr>
          <w:p>
            <w:pPr>
              <w:spacing w:after="0"/>
              <w:rPr>
                <w:sz w:val="17"/>
                <w:szCs w:val="17"/>
                <w:color w:val="auto"/>
              </w:rPr>
            </w:pPr>
          </w:p>
        </w:tc>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of Stock Option Agreement under the 2023</w:t>
            </w:r>
          </w:p>
        </w:tc>
        <w:tc>
          <w:tcPr>
            <w:tcW w:w="272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7"/>
                <w:szCs w:val="17"/>
                <w:color w:val="auto"/>
              </w:rPr>
              <w:t>Form S-8</w:t>
            </w:r>
          </w:p>
        </w:tc>
        <w:tc>
          <w:tcPr>
            <w:tcW w:w="1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7/20/2023</w:t>
            </w:r>
          </w:p>
        </w:tc>
        <w:tc>
          <w:tcPr>
            <w:tcW w:w="15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333-273350</w:t>
            </w: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right w:val="single" w:sz="8" w:color="CCEEFF"/>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right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Inducement Equity Incentive Plan</w:t>
            </w:r>
          </w:p>
        </w:tc>
        <w:tc>
          <w:tcPr>
            <w:tcW w:w="2720" w:type="dxa"/>
            <w:vAlign w:val="bottom"/>
            <w:tcBorders>
              <w:top w:val="single" w:sz="8" w:color="CCEEFF"/>
            </w:tcBorders>
            <w:shd w:val="clear" w:color="auto" w:fill="CCEEFF"/>
          </w:tcPr>
          <w:p>
            <w:pPr>
              <w:jc w:val="center"/>
              <w:ind w:left="893"/>
              <w:spacing w:after="0"/>
              <w:rPr>
                <w:sz w:val="20"/>
                <w:szCs w:val="20"/>
                <w:color w:val="auto"/>
              </w:rPr>
            </w:pPr>
            <w:r>
              <w:rPr>
                <w:rFonts w:ascii="Times New Roman" w:cs="Times New Roman" w:eastAsia="Times New Roman" w:hAnsi="Times New Roman"/>
                <w:sz w:val="17"/>
                <w:szCs w:val="17"/>
                <w:color w:val="auto"/>
              </w:rPr>
              <w:t>(Exhibit 99.2)</w:t>
            </w:r>
          </w:p>
        </w:tc>
        <w:tc>
          <w:tcPr>
            <w:tcW w:w="14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r>
      <w:tr>
        <w:trPr>
          <w:trHeight w:val="208"/>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69"/>
        </w:trPr>
        <w:tc>
          <w:tcPr>
            <w:tcW w:w="800" w:type="dxa"/>
            <w:vAlign w:val="bottom"/>
            <w:gridSpan w:val="7"/>
          </w:tcPr>
          <w:p>
            <w:pPr>
              <w:jc w:val="center"/>
              <w:ind w:left="93"/>
              <w:spacing w:after="0" w:line="169" w:lineRule="exact"/>
              <w:rPr>
                <w:rFonts w:ascii="Times New Roman" w:cs="Times New Roman" w:eastAsia="Times New Roman" w:hAnsi="Times New Roman"/>
                <w:sz w:val="17"/>
                <w:szCs w:val="17"/>
                <w:color w:val="0000EE"/>
                <w:w w:val="99"/>
              </w:rPr>
            </w:pPr>
            <w:hyperlink r:id="rId147">
              <w:r>
                <w:rPr>
                  <w:rFonts w:ascii="Times New Roman" w:cs="Times New Roman" w:eastAsia="Times New Roman" w:hAnsi="Times New Roman"/>
                  <w:sz w:val="17"/>
                  <w:szCs w:val="17"/>
                  <w:color w:val="0000EE"/>
                  <w:w w:val="99"/>
                </w:rPr>
                <w:t>10.</w:t>
              </w:r>
              <w:r>
                <w:rPr>
                  <w:rFonts w:ascii="Times New Roman" w:cs="Times New Roman" w:eastAsia="Times New Roman" w:hAnsi="Times New Roman"/>
                  <w:sz w:val="17"/>
                  <w:szCs w:val="17"/>
                  <w:u w:val="single" w:color="auto"/>
                  <w:color w:val="0000EE"/>
                  <w:w w:val="99"/>
                </w:rPr>
                <w:t>24</w:t>
              </w:r>
            </w:hyperlink>
          </w:p>
        </w:tc>
        <w:tc>
          <w:tcPr>
            <w:tcW w:w="220" w:type="dxa"/>
            <w:vAlign w:val="bottom"/>
          </w:tcPr>
          <w:p>
            <w:pPr>
              <w:spacing w:after="0"/>
              <w:rPr>
                <w:sz w:val="14"/>
                <w:szCs w:val="14"/>
                <w:color w:val="auto"/>
              </w:rPr>
            </w:pPr>
          </w:p>
        </w:tc>
        <w:tc>
          <w:tcPr>
            <w:tcW w:w="448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Equity Distribution Agreement, dated as of August 11,</w:t>
            </w:r>
          </w:p>
        </w:tc>
        <w:tc>
          <w:tcPr>
            <w:tcW w:w="2720" w:type="dxa"/>
            <w:vAlign w:val="bottom"/>
          </w:tcPr>
          <w:p>
            <w:pPr>
              <w:jc w:val="center"/>
              <w:ind w:left="893"/>
              <w:spacing w:after="0" w:line="169" w:lineRule="exact"/>
              <w:rPr>
                <w:sz w:val="20"/>
                <w:szCs w:val="20"/>
                <w:color w:val="auto"/>
              </w:rPr>
            </w:pPr>
            <w:r>
              <w:rPr>
                <w:rFonts w:ascii="Times New Roman" w:cs="Times New Roman" w:eastAsia="Times New Roman" w:hAnsi="Times New Roman"/>
                <w:sz w:val="17"/>
                <w:szCs w:val="17"/>
                <w:color w:val="auto"/>
              </w:rPr>
              <w:t>Form S-3</w:t>
            </w:r>
          </w:p>
        </w:tc>
        <w:tc>
          <w:tcPr>
            <w:tcW w:w="1480" w:type="dxa"/>
            <w:vAlign w:val="bottom"/>
          </w:tcPr>
          <w:p>
            <w:pPr>
              <w:jc w:val="right"/>
              <w:ind w:right="293"/>
              <w:spacing w:after="0" w:line="169" w:lineRule="exact"/>
              <w:rPr>
                <w:sz w:val="20"/>
                <w:szCs w:val="20"/>
                <w:color w:val="auto"/>
              </w:rPr>
            </w:pPr>
            <w:r>
              <w:rPr>
                <w:rFonts w:ascii="Times New Roman" w:cs="Times New Roman" w:eastAsia="Times New Roman" w:hAnsi="Times New Roman"/>
                <w:sz w:val="17"/>
                <w:szCs w:val="17"/>
                <w:color w:val="auto"/>
              </w:rPr>
              <w:t>8/11/2023</w:t>
            </w:r>
          </w:p>
        </w:tc>
        <w:tc>
          <w:tcPr>
            <w:tcW w:w="1540" w:type="dxa"/>
            <w:vAlign w:val="bottom"/>
          </w:tcPr>
          <w:p>
            <w:pPr>
              <w:jc w:val="center"/>
              <w:ind w:left="13"/>
              <w:spacing w:after="0" w:line="169" w:lineRule="exact"/>
              <w:rPr>
                <w:sz w:val="20"/>
                <w:szCs w:val="20"/>
                <w:color w:val="auto"/>
              </w:rPr>
            </w:pPr>
            <w:r>
              <w:rPr>
                <w:rFonts w:ascii="Times New Roman" w:cs="Times New Roman" w:eastAsia="Times New Roman" w:hAnsi="Times New Roman"/>
                <w:sz w:val="17"/>
                <w:szCs w:val="17"/>
                <w:color w:val="auto"/>
              </w:rPr>
              <w:t>333-272934</w:t>
            </w:r>
          </w:p>
        </w:tc>
      </w:tr>
      <w:tr>
        <w:trPr>
          <w:trHeight w:val="20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 by and between Quantum-Si Incorporated and</w:t>
            </w:r>
          </w:p>
        </w:tc>
        <w:tc>
          <w:tcPr>
            <w:tcW w:w="2720" w:type="dxa"/>
            <w:vAlign w:val="bottom"/>
          </w:tcPr>
          <w:p>
            <w:pPr>
              <w:jc w:val="center"/>
              <w:ind w:left="873"/>
              <w:spacing w:after="0"/>
              <w:rPr>
                <w:sz w:val="20"/>
                <w:szCs w:val="20"/>
                <w:color w:val="auto"/>
              </w:rPr>
            </w:pPr>
            <w:r>
              <w:rPr>
                <w:rFonts w:ascii="Times New Roman" w:cs="Times New Roman" w:eastAsia="Times New Roman" w:hAnsi="Times New Roman"/>
                <w:sz w:val="17"/>
                <w:szCs w:val="17"/>
                <w:color w:val="auto"/>
              </w:rPr>
              <w:t>(Exhibit 1.2)</w:t>
            </w: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Evercore Group L.L.C.</w:t>
            </w:r>
          </w:p>
        </w:tc>
        <w:tc>
          <w:tcPr>
            <w:tcW w:w="2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69"/>
        </w:trPr>
        <w:tc>
          <w:tcPr>
            <w:tcW w:w="680" w:type="dxa"/>
            <w:vAlign w:val="bottom"/>
            <w:gridSpan w:val="6"/>
            <w:shd w:val="clear" w:color="auto" w:fill="CCEEFF"/>
          </w:tcPr>
          <w:p>
            <w:pPr>
              <w:jc w:val="center"/>
              <w:ind w:left="213"/>
              <w:spacing w:after="0" w:line="169"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21.</w:t>
              </w:r>
              <w:r>
                <w:rPr>
                  <w:rFonts w:ascii="Times New Roman" w:cs="Times New Roman" w:eastAsia="Times New Roman" w:hAnsi="Times New Roman"/>
                  <w:sz w:val="17"/>
                  <w:szCs w:val="17"/>
                  <w:u w:val="single" w:color="auto"/>
                  <w:color w:val="0000EE"/>
                </w:rPr>
                <w:t>1</w:t>
              </w:r>
            </w:hyperlink>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8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List of Subsidiaries</w:t>
            </w:r>
          </w:p>
        </w:tc>
        <w:tc>
          <w:tcPr>
            <w:tcW w:w="2720" w:type="dxa"/>
            <w:vAlign w:val="bottom"/>
            <w:shd w:val="clear" w:color="auto" w:fill="CCEEFF"/>
          </w:tcPr>
          <w:p>
            <w:pPr>
              <w:jc w:val="center"/>
              <w:ind w:left="893"/>
              <w:spacing w:after="0" w:line="169" w:lineRule="exact"/>
              <w:rPr>
                <w:sz w:val="20"/>
                <w:szCs w:val="20"/>
                <w:color w:val="auto"/>
              </w:rPr>
            </w:pPr>
            <w:r>
              <w:rPr>
                <w:rFonts w:ascii="Times New Roman" w:cs="Times New Roman" w:eastAsia="Times New Roman" w:hAnsi="Times New Roman"/>
                <w:sz w:val="17"/>
                <w:szCs w:val="17"/>
                <w:color w:val="auto"/>
              </w:rPr>
              <w:t>Form 10-K</w:t>
            </w:r>
          </w:p>
        </w:tc>
        <w:tc>
          <w:tcPr>
            <w:tcW w:w="1480" w:type="dxa"/>
            <w:vAlign w:val="bottom"/>
            <w:shd w:val="clear" w:color="auto" w:fill="CCEEFF"/>
          </w:tcPr>
          <w:p>
            <w:pPr>
              <w:jc w:val="right"/>
              <w:ind w:right="293"/>
              <w:spacing w:after="0" w:line="169" w:lineRule="exact"/>
              <w:rPr>
                <w:sz w:val="20"/>
                <w:szCs w:val="20"/>
                <w:color w:val="auto"/>
              </w:rPr>
            </w:pPr>
            <w:r>
              <w:rPr>
                <w:rFonts w:ascii="Times New Roman" w:cs="Times New Roman" w:eastAsia="Times New Roman" w:hAnsi="Times New Roman"/>
                <w:sz w:val="17"/>
                <w:szCs w:val="17"/>
                <w:color w:val="auto"/>
              </w:rPr>
              <w:t>3/17/2023</w:t>
            </w:r>
          </w:p>
        </w:tc>
        <w:tc>
          <w:tcPr>
            <w:tcW w:w="1540" w:type="dxa"/>
            <w:vAlign w:val="bottom"/>
            <w:shd w:val="clear" w:color="auto" w:fill="CCEEFF"/>
          </w:tcPr>
          <w:p>
            <w:pPr>
              <w:jc w:val="center"/>
              <w:ind w:left="13"/>
              <w:spacing w:after="0" w:line="169" w:lineRule="exact"/>
              <w:rPr>
                <w:sz w:val="20"/>
                <w:szCs w:val="20"/>
                <w:color w:val="auto"/>
              </w:rPr>
            </w:pPr>
            <w:r>
              <w:rPr>
                <w:rFonts w:ascii="Times New Roman" w:cs="Times New Roman" w:eastAsia="Times New Roman" w:hAnsi="Times New Roman"/>
                <w:sz w:val="17"/>
                <w:szCs w:val="17"/>
                <w:color w:val="auto"/>
              </w:rPr>
              <w:t>001-39486</w:t>
            </w: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48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left="893"/>
              <w:spacing w:after="0"/>
              <w:rPr>
                <w:sz w:val="20"/>
                <w:szCs w:val="20"/>
                <w:color w:val="auto"/>
              </w:rPr>
            </w:pPr>
            <w:r>
              <w:rPr>
                <w:rFonts w:ascii="Times New Roman" w:cs="Times New Roman" w:eastAsia="Times New Roman" w:hAnsi="Times New Roman"/>
                <w:sz w:val="17"/>
                <w:szCs w:val="17"/>
                <w:color w:val="auto"/>
              </w:rPr>
              <w:t>(Exhibit 21.1)</w:t>
            </w:r>
          </w:p>
        </w:tc>
        <w:tc>
          <w:tcPr>
            <w:tcW w:w="14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r>
      <w:tr>
        <w:trPr>
          <w:trHeight w:val="208"/>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69"/>
        </w:trPr>
        <w:tc>
          <w:tcPr>
            <w:tcW w:w="680" w:type="dxa"/>
            <w:vAlign w:val="bottom"/>
            <w:gridSpan w:val="6"/>
          </w:tcPr>
          <w:p>
            <w:pPr>
              <w:jc w:val="center"/>
              <w:ind w:left="213"/>
              <w:spacing w:after="0" w:line="169"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Consent of Deloitte &amp; Touche LLP</w:t>
            </w:r>
          </w:p>
        </w:tc>
        <w:tc>
          <w:tcPr>
            <w:tcW w:w="2720" w:type="dxa"/>
            <w:vAlign w:val="bottom"/>
          </w:tcPr>
          <w:p>
            <w:pPr>
              <w:ind w:left="30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78"/>
        </w:trPr>
        <w:tc>
          <w:tcPr>
            <w:tcW w:w="680" w:type="dxa"/>
            <w:vAlign w:val="bottom"/>
            <w:gridSpan w:val="6"/>
            <w:shd w:val="clear" w:color="auto" w:fill="CCEEFF"/>
          </w:tcPr>
          <w:p>
            <w:pPr>
              <w:jc w:val="center"/>
              <w:ind w:left="213"/>
              <w:spacing w:after="0" w:line="179"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7"/>
                <w:szCs w:val="17"/>
                <w:color w:val="auto"/>
              </w:rPr>
              <w:t>Certification of the Principal Executive Officer pursuant</w:t>
            </w:r>
          </w:p>
        </w:tc>
        <w:tc>
          <w:tcPr>
            <w:tcW w:w="2720" w:type="dxa"/>
            <w:vAlign w:val="bottom"/>
            <w:shd w:val="clear" w:color="auto" w:fill="CCEEFF"/>
          </w:tcPr>
          <w:p>
            <w:pPr>
              <w:ind w:left="300"/>
              <w:spacing w:after="0" w:line="17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7"/>
        </w:trPr>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 Section 302 of the Sarbanes-Oxley Act of 2002</w:t>
            </w:r>
          </w:p>
        </w:tc>
        <w:tc>
          <w:tcPr>
            <w:tcW w:w="27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r>
      <w:tr>
        <w:trPr>
          <w:trHeight w:val="169"/>
        </w:trPr>
        <w:tc>
          <w:tcPr>
            <w:tcW w:w="680" w:type="dxa"/>
            <w:vAlign w:val="bottom"/>
            <w:gridSpan w:val="6"/>
          </w:tcPr>
          <w:p>
            <w:pPr>
              <w:jc w:val="center"/>
              <w:ind w:left="213"/>
              <w:spacing w:after="0" w:line="169"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Certification of the Principal Financial Officer pursuant</w:t>
            </w:r>
          </w:p>
        </w:tc>
        <w:tc>
          <w:tcPr>
            <w:tcW w:w="2720" w:type="dxa"/>
            <w:vAlign w:val="bottom"/>
          </w:tcPr>
          <w:p>
            <w:pPr>
              <w:ind w:left="30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27"/>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 Section 302 of the Sarbanes-Oxley Act of 2002</w:t>
            </w:r>
          </w:p>
        </w:tc>
        <w:tc>
          <w:tcPr>
            <w:tcW w:w="2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69"/>
        </w:trPr>
        <w:tc>
          <w:tcPr>
            <w:tcW w:w="640" w:type="dxa"/>
            <w:vAlign w:val="bottom"/>
            <w:tcBorders>
              <w:right w:val="single" w:sz="8" w:color="CCEEFF"/>
            </w:tcBorders>
            <w:gridSpan w:val="5"/>
            <w:shd w:val="clear" w:color="auto" w:fill="CCEEFF"/>
          </w:tcPr>
          <w:p>
            <w:pPr>
              <w:jc w:val="center"/>
              <w:ind w:left="253"/>
              <w:spacing w:after="0" w:line="169" w:lineRule="exact"/>
              <w:rPr>
                <w:sz w:val="20"/>
                <w:szCs w:val="20"/>
                <w:color w:val="auto"/>
              </w:rPr>
            </w:pPr>
            <w:r>
              <w:rPr>
                <w:rFonts w:ascii="Times New Roman" w:cs="Times New Roman" w:eastAsia="Times New Roman" w:hAnsi="Times New Roman"/>
                <w:sz w:val="17"/>
                <w:szCs w:val="17"/>
                <w:color w:val="0000EE"/>
              </w:rPr>
              <w:t>32*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8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7"/>
                <w:szCs w:val="17"/>
                <w:color w:val="auto"/>
              </w:rPr>
              <w:t>Certifications of the Chief Executive Officer and Chief</w:t>
            </w:r>
          </w:p>
        </w:tc>
        <w:tc>
          <w:tcPr>
            <w:tcW w:w="272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08"/>
        </w:trPr>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Financial Officer pursuant to Section 906 of the</w:t>
            </w:r>
          </w:p>
        </w:tc>
        <w:tc>
          <w:tcPr>
            <w:tcW w:w="27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r>
      <w:tr>
        <w:trPr>
          <w:trHeight w:val="226"/>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Sarbanes-Oxley Act of 2002</w:t>
            </w:r>
          </w:p>
        </w:tc>
        <w:tc>
          <w:tcPr>
            <w:tcW w:w="27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08"/>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78"/>
        </w:trPr>
        <w:tc>
          <w:tcPr>
            <w:tcW w:w="640" w:type="dxa"/>
            <w:vAlign w:val="bottom"/>
            <w:gridSpan w:val="5"/>
          </w:tcPr>
          <w:p>
            <w:pPr>
              <w:jc w:val="center"/>
              <w:ind w:left="253"/>
              <w:spacing w:after="0" w:line="169" w:lineRule="exact"/>
              <w:rPr>
                <w:sz w:val="20"/>
                <w:szCs w:val="20"/>
                <w:color w:val="auto"/>
              </w:rPr>
            </w:pPr>
            <w:r>
              <w:rPr>
                <w:rFonts w:ascii="Times New Roman" w:cs="Times New Roman" w:eastAsia="Times New Roman" w:hAnsi="Times New Roman"/>
                <w:sz w:val="17"/>
                <w:szCs w:val="17"/>
                <w:color w:val="0000EE"/>
              </w:rPr>
              <w:t>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8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Clawback Policy, effective as of August 3, 2023</w:t>
            </w:r>
          </w:p>
        </w:tc>
        <w:tc>
          <w:tcPr>
            <w:tcW w:w="2720" w:type="dxa"/>
            <w:vAlign w:val="bottom"/>
          </w:tcPr>
          <w:p>
            <w:pPr>
              <w:ind w:left="300"/>
              <w:spacing w:after="0" w:line="16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0"/>
        </w:trPr>
        <w:tc>
          <w:tcPr>
            <w:tcW w:w="180" w:type="dxa"/>
            <w:vAlign w:val="bottom"/>
          </w:tcPr>
          <w:p>
            <w:pPr>
              <w:spacing w:after="0"/>
              <w:rPr>
                <w:sz w:val="16"/>
                <w:szCs w:val="16"/>
                <w:color w:val="auto"/>
              </w:rPr>
            </w:pPr>
          </w:p>
        </w:tc>
        <w:tc>
          <w:tcPr>
            <w:tcW w:w="840" w:type="dxa"/>
            <w:vAlign w:val="bottom"/>
            <w:gridSpan w:val="7"/>
          </w:tcPr>
          <w:p>
            <w:pPr>
              <w:jc w:val="center"/>
              <w:ind w:right="220"/>
              <w:spacing w:after="0" w:line="189" w:lineRule="exact"/>
              <w:rPr>
                <w:sz w:val="20"/>
                <w:szCs w:val="20"/>
                <w:color w:val="auto"/>
              </w:rPr>
            </w:pPr>
            <w:r>
              <w:rPr>
                <w:rFonts w:ascii="Times New Roman" w:cs="Times New Roman" w:eastAsia="Times New Roman" w:hAnsi="Times New Roman"/>
                <w:sz w:val="17"/>
                <w:szCs w:val="17"/>
                <w:color w:val="auto"/>
              </w:rPr>
              <w:t>101.INS</w:t>
            </w:r>
          </w:p>
        </w:tc>
        <w:tc>
          <w:tcPr>
            <w:tcW w:w="448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Inline XBRL Instance Document (the instance document</w:t>
            </w:r>
          </w:p>
        </w:tc>
        <w:tc>
          <w:tcPr>
            <w:tcW w:w="272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does not appear in the Interactive Data File because its</w:t>
            </w:r>
          </w:p>
        </w:tc>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XBRL tags are embedded within the Inline XBRL</w:t>
            </w:r>
          </w:p>
        </w:tc>
        <w:tc>
          <w:tcPr>
            <w:tcW w:w="2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6"/>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document)</w:t>
            </w:r>
          </w:p>
        </w:tc>
        <w:tc>
          <w:tcPr>
            <w:tcW w:w="2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8"/>
        </w:trPr>
        <w:tc>
          <w:tcPr>
            <w:tcW w:w="1020" w:type="dxa"/>
            <w:vAlign w:val="bottom"/>
            <w:gridSpan w:val="8"/>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101.SCH</w:t>
            </w:r>
          </w:p>
        </w:tc>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2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0"/>
        </w:trPr>
        <w:tc>
          <w:tcPr>
            <w:tcW w:w="1020" w:type="dxa"/>
            <w:vAlign w:val="bottom"/>
            <w:gridSpan w:val="8"/>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101.CAL</w:t>
            </w:r>
          </w:p>
        </w:tc>
        <w:tc>
          <w:tcPr>
            <w:tcW w:w="448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272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6"/>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Document</w:t>
            </w:r>
          </w:p>
        </w:tc>
        <w:tc>
          <w:tcPr>
            <w:tcW w:w="2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90"/>
        </w:trPr>
        <w:tc>
          <w:tcPr>
            <w:tcW w:w="1020" w:type="dxa"/>
            <w:vAlign w:val="bottom"/>
            <w:gridSpan w:val="8"/>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101.DEF</w:t>
            </w:r>
          </w:p>
        </w:tc>
        <w:tc>
          <w:tcPr>
            <w:tcW w:w="44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27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6"/>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Document</w:t>
            </w:r>
          </w:p>
        </w:tc>
        <w:tc>
          <w:tcPr>
            <w:tcW w:w="27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90"/>
        </w:trPr>
        <w:tc>
          <w:tcPr>
            <w:tcW w:w="1020" w:type="dxa"/>
            <w:vAlign w:val="bottom"/>
            <w:gridSpan w:val="8"/>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101.LAB</w:t>
            </w:r>
          </w:p>
        </w:tc>
        <w:tc>
          <w:tcPr>
            <w:tcW w:w="448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272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6"/>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Document</w:t>
            </w:r>
          </w:p>
        </w:tc>
        <w:tc>
          <w:tcPr>
            <w:tcW w:w="2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90"/>
        </w:trPr>
        <w:tc>
          <w:tcPr>
            <w:tcW w:w="1020" w:type="dxa"/>
            <w:vAlign w:val="bottom"/>
            <w:gridSpan w:val="8"/>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101.PRE</w:t>
            </w:r>
          </w:p>
        </w:tc>
        <w:tc>
          <w:tcPr>
            <w:tcW w:w="44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Presentation</w:t>
            </w:r>
          </w:p>
        </w:tc>
        <w:tc>
          <w:tcPr>
            <w:tcW w:w="272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6"/>
        </w:trPr>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Linkbase Document</w:t>
            </w:r>
          </w:p>
        </w:tc>
        <w:tc>
          <w:tcPr>
            <w:tcW w:w="27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90"/>
        </w:trPr>
        <w:tc>
          <w:tcPr>
            <w:tcW w:w="640" w:type="dxa"/>
            <w:vAlign w:val="bottom"/>
            <w:gridSpan w:val="5"/>
          </w:tcPr>
          <w:p>
            <w:pPr>
              <w:jc w:val="center"/>
              <w:ind w:left="253"/>
              <w:spacing w:after="0" w:line="189" w:lineRule="exact"/>
              <w:rPr>
                <w:sz w:val="20"/>
                <w:szCs w:val="20"/>
                <w:color w:val="auto"/>
              </w:rPr>
            </w:pPr>
            <w:r>
              <w:rPr>
                <w:rFonts w:ascii="Times New Roman" w:cs="Times New Roman" w:eastAsia="Times New Roman" w:hAnsi="Times New Roman"/>
                <w:sz w:val="17"/>
                <w:szCs w:val="17"/>
                <w:color w:val="auto"/>
              </w:rPr>
              <w:t>104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8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Cover Page Interactive Data File (embedded within the</w:t>
            </w:r>
          </w:p>
        </w:tc>
        <w:tc>
          <w:tcPr>
            <w:tcW w:w="2720" w:type="dxa"/>
            <w:vAlign w:val="bottom"/>
          </w:tcPr>
          <w:p>
            <w:pPr>
              <w:ind w:left="300"/>
              <w:spacing w:after="0" w:line="189" w:lineRule="exact"/>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6"/>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document)</w:t>
            </w:r>
          </w:p>
        </w:tc>
        <w:tc>
          <w:tcPr>
            <w:tcW w:w="2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89" w:lineRule="exact"/>
        <w:rPr>
          <w:sz w:val="20"/>
          <w:szCs w:val="20"/>
          <w:color w:val="auto"/>
        </w:rPr>
      </w:pPr>
    </w:p>
    <w:p>
      <w:pPr>
        <w:ind w:left="320" w:hanging="316"/>
        <w:spacing w:after="0" w:line="293"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46" w:lineRule="exact"/>
        <w:rPr>
          <w:sz w:val="20"/>
          <w:szCs w:val="20"/>
          <w:color w:val="auto"/>
        </w:rPr>
      </w:pPr>
    </w:p>
    <w:p>
      <w:pPr>
        <w:ind w:left="320" w:hanging="316"/>
        <w:spacing w:after="0"/>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20" w:lineRule="exact"/>
        <w:rPr>
          <w:sz w:val="20"/>
          <w:szCs w:val="20"/>
          <w:color w:val="auto"/>
        </w:rPr>
      </w:pPr>
    </w:p>
    <w:p>
      <w:pPr>
        <w:jc w:val="both"/>
        <w:ind w:left="320" w:hanging="316"/>
        <w:spacing w:after="0" w:line="267" w:lineRule="auto"/>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 that accompany this Annual Report on Form 10-K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10-K), irrespective of any general incorporation language contained in such filing.</w:t>
      </w:r>
    </w:p>
    <w:p>
      <w:pPr>
        <w:spacing w:after="0" w:line="16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29, 2024</w:t>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By: /s/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7620</wp:posOffset>
            </wp:positionV>
            <wp:extent cx="335851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3358515" cy="1651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7"/>
          <w:szCs w:val="17"/>
          <w:color w:val="auto"/>
        </w:rPr>
        <w:t>Jeffrey Hawkins</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each of Jeffrey Hawkins and Jeffry Keyes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substitutes or substitute, may lawfully do or cause to be done by virtue hereof.</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Power of Attorney as of the date indicated opposite his or her name.</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44" w:lineRule="exact"/>
        <w:rPr>
          <w:sz w:val="20"/>
          <w:szCs w:val="20"/>
          <w:color w:val="auto"/>
        </w:rPr>
      </w:pPr>
    </w:p>
    <w:p>
      <w:pPr>
        <w:ind w:left="2140"/>
        <w:spacing w:after="0"/>
        <w:tabs>
          <w:tab w:leader="none" w:pos="7000" w:val="left"/>
          <w:tab w:leader="none" w:pos="1028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Hawkins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Jeffry Keyes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Jonathan M. Rothberg,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 M. Rothberg, Ph.D.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Ruth Fattori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Ruth Fattori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Amir Jafri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Amir Jafri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John Patrick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Patrick Kenny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Brigid A.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Brigid A. Makes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Scott Mendel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Scott Mendel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97878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297878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Rakin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433" w:lineRule="exact"/>
        <w:rPr>
          <w:sz w:val="20"/>
          <w:szCs w:val="20"/>
          <w:color w:val="auto"/>
        </w:rPr>
      </w:pPr>
    </w:p>
    <w:p>
      <w:pPr>
        <w:sectPr>
          <w:pgSz w:w="11900" w:h="16838" w:orient="portrait"/>
          <w:cols w:equalWidth="0" w:num="3">
            <w:col w:w="4820" w:space="720"/>
            <w:col w:w="3560" w:space="720"/>
            <w:col w:w="1420"/>
          </w:cols>
          <w:pgMar w:left="320" w:top="115" w:right="3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67945</wp:posOffset>
            </wp:positionV>
            <wp:extent cx="713740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The following summary of the material terms of the capital stock of Quantum-Si Incorporated (formerly HighCape Capital Acquisition Corp.) is not intended to be a complete summary of the rights and preferences of such securities, and is qualified by reference to our Second Amended and Restated Certificate of Incorporation, as amended (the “</w:t>
      </w:r>
      <w:r>
        <w:rPr>
          <w:rFonts w:ascii="Times New Roman" w:cs="Times New Roman" w:eastAsia="Times New Roman" w:hAnsi="Times New Roman"/>
          <w:sz w:val="17"/>
          <w:szCs w:val="17"/>
          <w:i w:val="1"/>
          <w:iCs w:val="1"/>
          <w:u w:val="single" w:color="auto"/>
          <w:color w:val="auto"/>
        </w:rPr>
        <w:t>Charter</w:t>
      </w:r>
      <w:r>
        <w:rPr>
          <w:rFonts w:ascii="Times New Roman" w:cs="Times New Roman" w:eastAsia="Times New Roman" w:hAnsi="Times New Roman"/>
          <w:sz w:val="17"/>
          <w:szCs w:val="17"/>
          <w:i w:val="1"/>
          <w:iCs w:val="1"/>
          <w:color w:val="auto"/>
        </w:rPr>
        <w:t>”), our Amended and Restated Bylaws (the “</w:t>
      </w:r>
      <w:r>
        <w:rPr>
          <w:rFonts w:ascii="Times New Roman" w:cs="Times New Roman" w:eastAsia="Times New Roman" w:hAnsi="Times New Roman"/>
          <w:sz w:val="17"/>
          <w:szCs w:val="17"/>
          <w:i w:val="1"/>
          <w:iCs w:val="1"/>
          <w:u w:val="single" w:color="auto"/>
          <w:color w:val="auto"/>
        </w:rPr>
        <w:t>Bylaws</w:t>
      </w:r>
      <w:r>
        <w:rPr>
          <w:rFonts w:ascii="Times New Roman" w:cs="Times New Roman" w:eastAsia="Times New Roman" w:hAnsi="Times New Roman"/>
          <w:sz w:val="17"/>
          <w:szCs w:val="17"/>
          <w:i w:val="1"/>
          <w:iCs w:val="1"/>
          <w:color w:val="auto"/>
        </w:rPr>
        <w:t>”) and the warrant-related documents described herein, each of which are incorporated by reference as an exhibit to the Annual Report on Form 10-K of which this Exhibit is a part, and certain provisions of Delaware law. We urge you to read each of our Charter, our Bylaws and the warrant-related documents described herein in their entirety for a complete description of the rights and preferences of our securities. Unless the context requires otherwise, all references to “we”, “us,” “our,” the “Company” and “Quantum-Si” in this section refer solely to Quantum-Si Incorporated (formerly HighCape Capital Acquisition Corp.) and not to our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Quantum-Si is authorized to issue 628,000,000 shares, consisting of 600,000,000 shares of Class A common stock, par value $0.0001 per share (the “</w:t>
      </w:r>
      <w:r>
        <w:rPr>
          <w:rFonts w:ascii="Times New Roman" w:cs="Times New Roman" w:eastAsia="Times New Roman" w:hAnsi="Times New Roman"/>
          <w:sz w:val="17"/>
          <w:szCs w:val="17"/>
          <w:u w:val="single" w:color="auto"/>
          <w:color w:val="auto"/>
        </w:rPr>
        <w:t>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27,000,000 shares of Class B common stock, par value $0.0001 per share (the “</w:t>
      </w:r>
      <w:r>
        <w:rPr>
          <w:rFonts w:ascii="Times New Roman" w:cs="Times New Roman" w:eastAsia="Times New Roman" w:hAnsi="Times New Roman"/>
          <w:sz w:val="17"/>
          <w:szCs w:val="17"/>
          <w:u w:val="single" w:color="auto"/>
          <w:color w:val="auto"/>
        </w:rPr>
        <w:t>Class B common stock</w:t>
      </w:r>
      <w:r>
        <w:rPr>
          <w:rFonts w:ascii="Times New Roman" w:cs="Times New Roman" w:eastAsia="Times New Roman" w:hAnsi="Times New Roman"/>
          <w:sz w:val="17"/>
          <w:szCs w:val="17"/>
          <w:color w:val="auto"/>
        </w:rPr>
        <w:t>”), and 1,000,000 shares of preferred stock, par value $0.0001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Holders of Class A common stock are entitled to cast one vote per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are not entitled to cumulate their votes in the election of directors.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2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of Directors of Quantum-Si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 Up</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On the liquidation, dissolution, distribution of assets or winding up of Quantum-Si, each holder of Class A common stock, together with each holder of Class B common stock, will be entitled, pro rata on a per share basis, to all assets of Quantum-Si of whatever kind available for distribution to the holders of common stock, subject to the designations, preferences, limitations, restrictions and relative rights of any other class or series of preferred stock of Quantum-Si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Matters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Holders of shares of Class A common stock do not have subscription, redemption or conversion rights. All the outstanding shares of Class A common stock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212090</wp:posOffset>
            </wp:positionV>
            <wp:extent cx="713740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i w:val="1"/>
          <w:iCs w:val="1"/>
          <w:color w:val="auto"/>
        </w:rPr>
        <w:t>Class B Common Stock</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Holders of Class B common stock are entitled to cast 20 votes per share of Class B common stock. Generally, holders of all classes of our common stock vote together as a single class, and an action is approved by Quantum-Si stockholders if a majority of votes cast affirmatively or negatively on the action are cast in favor of the action, while directors are elected by a plurality of the votes cast. Holders of Class B common stock are not entitled to cumulate their votes in the election of directors.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2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Optional Conversion</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Holders of Class B common stock have the right to convert shares of their Class B common stock into fully paid and non-assessable shares of Class A common stock, on a one-to-one basis, at the option of the holder at any time upon written notice to Quantum-Si.</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Mandatory Conversion</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Holders of Class B common stock will have their Class B common stock automatically converted into Class A common stock, on a one-to-one basis, upon the occurrence of any of the events described below:</w:t>
      </w:r>
    </w:p>
    <w:p>
      <w:pPr>
        <w:spacing w:after="0" w:line="146" w:lineRule="exact"/>
        <w:rPr>
          <w:sz w:val="20"/>
          <w:szCs w:val="20"/>
          <w:color w:val="auto"/>
        </w:rPr>
      </w:pPr>
    </w:p>
    <w:p>
      <w:pPr>
        <w:jc w:val="both"/>
        <w:ind w:left="620" w:hanging="304"/>
        <w:spacing w:after="0" w:line="267"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assignment, transfer, conveyance, hypothecation, or other transfer or disposition, directly or indirectly, of any Class B common stock or any legal or beneficial interest in such share, whether or not for value and whether voluntary or involuntary or by operation of law (including by merger, consolidation, or otherwise), including, without limitation the transfer of a share of Class B common stock to a broker or other nominee or the transfer of, or entering into a binding agreement with respect to, voting control over such share by proxy or otherwise, other than a permitted transfer.</w:t>
      </w:r>
    </w:p>
    <w:p>
      <w:pPr>
        <w:spacing w:after="0" w:line="169" w:lineRule="exact"/>
        <w:rPr>
          <w:rFonts w:ascii="Times New Roman" w:cs="Times New Roman" w:eastAsia="Times New Roman" w:hAnsi="Times New Roman"/>
          <w:sz w:val="17"/>
          <w:szCs w:val="17"/>
          <w:color w:val="auto"/>
        </w:rPr>
      </w:pPr>
    </w:p>
    <w:p>
      <w:pPr>
        <w:jc w:val="both"/>
        <w:ind w:left="620" w:hanging="304"/>
        <w:spacing w:after="0" w:line="267"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first date on which Dr. Rothberg, together with all other qualified stockholders, collectively cease to beneficially own at least 20% of the number of Class B common stock (as such number of shares is equitably adjusted in respect of any reclassification, stock dividend, subdivision, combination, or recapitalization of the Class B common stock) collectively beneficially owned by Dr. Rothberg and permitted transferees of Class B common stock as of the effective time of the Merger (defined below).</w:t>
      </w:r>
    </w:p>
    <w:p>
      <w:pPr>
        <w:spacing w:after="0" w:line="169"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date specified by the affirmative vote of the holders of at least two-thirds (2/3) of the outstanding shares of Class B common stock, voting as a separate class.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 Up</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On the liquidation, dissolution, distribution of assets or winding up of Quantum-Si, each holder of Class B common stock, together with each holder of Class A common stock, will be entitled, pro rata on a per share basis, to all assets of Quantum-Si of whatever kind available for distribution to the holders of common stock, subject to the designations, preferences, limitations, restrictions and relative rights of any other class or series of preferred stock of Quantum-Si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2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Charter provides that the Board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dividend rates, conversion rights, exchange rights, voting rights, rights and terms of redemption, dissolution preferences, and treatment in the case of a merger, business combination transaction, or sale of Quantum-Si’s assets, which rights may be greater than the rights of the holders of the common stock. There are no shares of preferred stock outstanding as of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purpose of authorizing the Board to issue preferred stock and determine the rights and preferences of any classes or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dividend or liquidation rights of our common stock. As a result of these or other factors, the issuance of preferred stock could have an adverse impact on the market price of our common stock.</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Warrants and Private Placement Warrants</w:t>
      </w:r>
    </w:p>
    <w:p>
      <w:pPr>
        <w:spacing w:after="0" w:line="222" w:lineRule="exact"/>
        <w:rPr>
          <w:sz w:val="20"/>
          <w:szCs w:val="20"/>
          <w:color w:val="auto"/>
        </w:rPr>
      </w:pPr>
    </w:p>
    <w:p>
      <w:pPr>
        <w:jc w:val="both"/>
        <w:ind w:firstLine="346"/>
        <w:spacing w:after="0" w:line="262" w:lineRule="auto"/>
        <w:rPr>
          <w:sz w:val="20"/>
          <w:szCs w:val="20"/>
          <w:color w:val="auto"/>
        </w:rPr>
      </w:pPr>
      <w:r>
        <w:rPr>
          <w:rFonts w:ascii="Times New Roman" w:cs="Times New Roman" w:eastAsia="Times New Roman" w:hAnsi="Times New Roman"/>
          <w:sz w:val="17"/>
          <w:szCs w:val="17"/>
          <w:color w:val="auto"/>
        </w:rPr>
        <w:t>As of December 31, 2023, there were an aggregate of 3,833,319 outstanding public warrants issued in connection with the initial public offering of Quantum-Si’s predecessor company (the “</w:t>
      </w:r>
      <w:r>
        <w:rPr>
          <w:rFonts w:ascii="Times New Roman" w:cs="Times New Roman" w:eastAsia="Times New Roman" w:hAnsi="Times New Roman"/>
          <w:sz w:val="17"/>
          <w:szCs w:val="17"/>
          <w:u w:val="single" w:color="auto"/>
          <w:color w:val="auto"/>
        </w:rPr>
        <w:t>Public Warrants</w:t>
      </w:r>
      <w:r>
        <w:rPr>
          <w:rFonts w:ascii="Times New Roman" w:cs="Times New Roman" w:eastAsia="Times New Roman" w:hAnsi="Times New Roman"/>
          <w:sz w:val="17"/>
          <w:szCs w:val="17"/>
          <w:color w:val="auto"/>
        </w:rPr>
        <w:t>”), which entitle the holder to acquire Class A common stock. Each whole Public Warrant entitles the registered holder to purchase one share of Class A common stock at an exercise price of $11.50 per share, subject to adjustment as discussed below. A holder may exercise its Public Warrant only for a whole number of shares of Class A common stock. This means only a whole Public Warrant may be exercised at a given time by a warrant holder. No fractional Public Warrants will be issued upon separation of the units and only whole Public Warrants will trade. The Public Warrants will expire on June 10, 2026 at 5:00 p.m., New York City time, or earlier upon redemption or liquidation.</w:t>
      </w:r>
    </w:p>
    <w:p>
      <w:pPr>
        <w:spacing w:after="0" w:line="175" w:lineRule="exact"/>
        <w:rPr>
          <w:sz w:val="20"/>
          <w:szCs w:val="20"/>
          <w:color w:val="auto"/>
        </w:rPr>
      </w:pPr>
    </w:p>
    <w:p>
      <w:pPr>
        <w:jc w:val="both"/>
        <w:ind w:firstLine="346"/>
        <w:spacing w:after="0" w:line="260" w:lineRule="auto"/>
        <w:rPr>
          <w:sz w:val="20"/>
          <w:szCs w:val="20"/>
          <w:color w:val="auto"/>
        </w:rPr>
      </w:pPr>
      <w:r>
        <w:rPr>
          <w:rFonts w:ascii="Times New Roman" w:cs="Times New Roman" w:eastAsia="Times New Roman" w:hAnsi="Times New Roman"/>
          <w:sz w:val="17"/>
          <w:szCs w:val="17"/>
          <w:color w:val="auto"/>
        </w:rPr>
        <w:t>As of December 31, 2023, there were 135,000 private placement warrants (the “</w:t>
      </w:r>
      <w:r>
        <w:rPr>
          <w:rFonts w:ascii="Times New Roman" w:cs="Times New Roman" w:eastAsia="Times New Roman" w:hAnsi="Times New Roman"/>
          <w:sz w:val="17"/>
          <w:szCs w:val="17"/>
          <w:u w:val="single" w:color="auto"/>
          <w:color w:val="auto"/>
        </w:rPr>
        <w:t>Private Placement Warrants</w:t>
      </w:r>
      <w:r>
        <w:rPr>
          <w:rFonts w:ascii="Times New Roman" w:cs="Times New Roman" w:eastAsia="Times New Roman" w:hAnsi="Times New Roman"/>
          <w:sz w:val="17"/>
          <w:szCs w:val="17"/>
          <w:color w:val="auto"/>
        </w:rPr>
        <w:t>” and together with the Public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originally issued in a private placement in connection with the initial public offering of Quantum-Si’s predecessor company outstanding. The Private Placement Warrants are not redeemable by the Company for cash so long as they are held by the initial stockholders or their permitted transferees. The initial purchasers of the Private Placement Warrants, or their permitted transferees, have the option to exercise the Private Placement Warrants on a cashless basis. Except as described in this paragraph, the Private Placement Warrants have terms and provisions that are identical to those of the Public Warrants, including that they may be redeemed for shares of Class A common stock. If the Private Placement Warrants are held by holders other than the initial purchasers of the Private Placement Warrants or their permitted transferees, the Private Placement Warrants will be redeemable by us and exercisable by the holders on the same basis as the Public Warrants.</w:t>
      </w:r>
    </w:p>
    <w:p>
      <w:pPr>
        <w:spacing w:after="0" w:line="177" w:lineRule="exact"/>
        <w:rPr>
          <w:sz w:val="20"/>
          <w:szCs w:val="20"/>
          <w:color w:val="auto"/>
        </w:rPr>
      </w:pPr>
    </w:p>
    <w:p>
      <w:pPr>
        <w:jc w:val="both"/>
        <w:ind w:firstLine="346"/>
        <w:spacing w:after="0" w:line="260" w:lineRule="auto"/>
        <w:rPr>
          <w:sz w:val="20"/>
          <w:szCs w:val="20"/>
          <w:color w:val="auto"/>
        </w:rPr>
      </w:pPr>
      <w:r>
        <w:rPr>
          <w:rFonts w:ascii="Times New Roman" w:cs="Times New Roman" w:eastAsia="Times New Roman" w:hAnsi="Times New Roman"/>
          <w:sz w:val="17"/>
          <w:szCs w:val="17"/>
          <w:color w:val="auto"/>
        </w:rPr>
        <w:t>Quantum-Si will not be obligated to deliver any shares of Class A common stock pursuant to the exercise of a Warrant and will have no obligation to settle such Warrant exercise unless a registration statement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covering the issuance of the shares of Class A common issuable upon exercise of the Warrants is then effective and a current prospectus relating to those shares of Class A common stock is available, subject to us satisfying our obligations described below with respect to registration. No Warrant will be exercisable for cash or on a cashless basis, and Quantum-Si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Redemptions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Quantum-Si may call the Public Warrants for redemption for cash:</w:t>
      </w:r>
    </w:p>
    <w:p>
      <w:pPr>
        <w:spacing w:after="0" w:line="220" w:lineRule="exact"/>
        <w:rPr>
          <w:sz w:val="20"/>
          <w:szCs w:val="20"/>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(the “30-day redemption period”) to each Public Warrant holder; and</w:t>
      </w:r>
    </w:p>
    <w:p>
      <w:pPr>
        <w:spacing w:after="0" w:line="220" w:lineRule="exact"/>
        <w:rPr>
          <w:rFonts w:ascii="Times New Roman" w:cs="Times New Roman" w:eastAsia="Times New Roman" w:hAnsi="Times New Roman"/>
          <w:sz w:val="17"/>
          <w:szCs w:val="17"/>
          <w:color w:val="auto"/>
        </w:rPr>
      </w:pPr>
    </w:p>
    <w:p>
      <w:pPr>
        <w:ind w:left="620" w:right="340" w:hanging="304"/>
        <w:spacing w:after="0" w:line="274"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Class A common stock equals or exceeds $18.00 per share (as adjusted for stock splits, stock capitalizations, reorganizations, recapitalizations and the like) for any 20 trading days within a 30-trading day period ending three business days before Quantum-Si sends the notice of redemption to the Public Warrant holders.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If and when the Warrants become redeemable by Quantum-Si, Quantum-Si may exercise its redemption right even if Quantum-Si is unable to register or qualify the underlying securities for sale under all applicable state securities laws.</w:t>
      </w:r>
    </w:p>
    <w:p>
      <w:pPr>
        <w:spacing w:after="0" w:line="14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Quantum-Si has established the last of the redemption criterion discussed above to prevent a redemption call unless there is at the time of the call a significant premium to the warrant exercise price. If the foregoing conditions are satisfied and Quantum-Si issues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dividends, reorganizations, recapitalizations and the like and for certain issuances of Class A common stock and equity-linked securities as described below) as well as the $11.50 warrant exercise price after the redemption notice is issued.</w:t>
      </w: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Redemption procedures and cashless exercise</w:t>
      </w:r>
    </w:p>
    <w:p>
      <w:pPr>
        <w:spacing w:after="0" w:line="222"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If Quantum-Si calls the Warrants for redemption as described above, Quantum-Si management will have the option to require any holder that wishes to exercise his, her or its Warrant to do so on a “cashless basis.” In determining whether to require all holders to exercise their Warrants on a “cashless basis,” Quantum-Si’s management will consider, among other factors, Quantum-Si’s cash position, the number of Warrants that are outstanding and the dilutive effect on Quantum-Si’s stockholders of issuing the maximum number of shares of Class A common stock issuable upon the exercise of its Warrants. If Quantum-Si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of the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redemption is sent to the holders of Warrants. If the Quantum-Si management takes advantage of this option, the notice of redemption will contain the information necessary to calculate the number of shares of Quantum-Si Class A common stock to be received upon exercise of the Warrants, including the “fair market value” in such case. Requiring a cashless exercise in this manner will reduce the number of shares to be issued and thereby lessen the dilutive effect of a warrant redemption. Quantum-Si believes this feature is an attractive option to Quantum-Si if Quantum-Si does not need the cash from the exercise of the Warrants. If Quantum-Si calls the Warrants for redemption and Quantum-Si management does not take advantage of this option, the holders of the private placement Warrants,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5"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A holder of a warrant may notify Quantum-Si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spacing w:after="0" w:line="170"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share capitalization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 (2) the quotient of (x) the price per share of Class A common stock paid in such rights offering and (y)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addition, if Quantum-Si, at any time while the Warrants are outstanding and unexpired, pays a dividend or makes a distribution in cash, securities or other assets to the holders of Class A common stock on account of such shares of Class A common stock (or other securities into which the Warrants are convertible), other than (a) as described above, (b) certain ordinary cash dividends, (c) to satisfy the redemption rights of the holders of shares of Class A common stock in connection with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70"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70"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Class A common stock (other than those described above or that solely affect the par value of such shares of Class A common stock), or in the case of any merger or consolidation of Quantum-Si with or into another corporation (other than a consolidation or merger in which Quantum-Si is the continuing corporation and that does not result in any reclassification or reorganization of outstanding shares of Class A common stock), or in the case of any sale or conveyance to another corporation or entity of the assets or other property of Quantum-Si as an entirety or substantially as an entirety in connection with which Quantum-Si is dissolved, the holders of the Warrants will thereafter have the right to purchase and receive, upon the basis and upon the terms and conditions specified in the Warrants and in lieu of the shares of the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7"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The Warrants are issued in registered form under a warrant agreement between Continental Stock Transfer &amp; Trust Company, as warrant agent, and Quantum-Si.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w:t>
      </w:r>
    </w:p>
    <w:p>
      <w:pPr>
        <w:spacing w:after="0" w:line="38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Quantum-Si,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 No fractional shares will be issued upon exercise of the Warrants. If, upon exercise of the Warrants, a holder would be entitled to receive a fractional interest in a share, Quantum-Si will, upon exercise, round down to the nearest whole number the number of shares of Class A common stock to be issued to the warrant holder.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2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Pursuant to subscription agreements entered into on February 18, 2021, certain institutional investors (the “</w:t>
      </w:r>
      <w:r>
        <w:rPr>
          <w:rFonts w:ascii="Times New Roman" w:cs="Times New Roman" w:eastAsia="Times New Roman" w:hAnsi="Times New Roman"/>
          <w:sz w:val="17"/>
          <w:szCs w:val="17"/>
          <w:u w:val="single" w:color="auto"/>
          <w:color w:val="auto"/>
        </w:rPr>
        <w:t>PIPE Investors</w:t>
      </w:r>
      <w:r>
        <w:rPr>
          <w:rFonts w:ascii="Times New Roman" w:cs="Times New Roman" w:eastAsia="Times New Roman" w:hAnsi="Times New Roman"/>
          <w:sz w:val="17"/>
          <w:szCs w:val="17"/>
          <w:color w:val="auto"/>
        </w:rPr>
        <w:t>”) purchased shares of HighCape Capital Acquisition Corp. (“</w:t>
      </w:r>
      <w:r>
        <w:rPr>
          <w:rFonts w:ascii="Times New Roman" w:cs="Times New Roman" w:eastAsia="Times New Roman" w:hAnsi="Times New Roman"/>
          <w:sz w:val="17"/>
          <w:szCs w:val="17"/>
          <w:u w:val="single" w:color="auto"/>
          <w:color w:val="auto"/>
        </w:rPr>
        <w:t>HighCape</w:t>
      </w:r>
      <w:r>
        <w:rPr>
          <w:rFonts w:ascii="Times New Roman" w:cs="Times New Roman" w:eastAsia="Times New Roman" w:hAnsi="Times New Roman"/>
          <w:sz w:val="17"/>
          <w:szCs w:val="17"/>
          <w:color w:val="auto"/>
        </w:rPr>
        <w:t>”) Class A common stock immediately prior to the closing of the Business Combination (as defined below) (the “</w:t>
      </w:r>
      <w:r>
        <w:rPr>
          <w:rFonts w:ascii="Times New Roman" w:cs="Times New Roman" w:eastAsia="Times New Roman" w:hAnsi="Times New Roman"/>
          <w:sz w:val="17"/>
          <w:szCs w:val="17"/>
          <w:u w:val="single" w:color="auto"/>
          <w:color w:val="auto"/>
        </w:rPr>
        <w:t>PIPE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and the PIPE Investors are entitled to certain registration rights. Additionally, pursuant to subscription agreements entered into on February 18, 2021, certain affiliates of Foresite Capital Management, LLC (the “F</w:t>
      </w:r>
      <w:r>
        <w:rPr>
          <w:rFonts w:ascii="Times New Roman" w:cs="Times New Roman" w:eastAsia="Times New Roman" w:hAnsi="Times New Roman"/>
          <w:sz w:val="17"/>
          <w:szCs w:val="17"/>
          <w:u w:val="single" w:color="auto"/>
          <w:color w:val="auto"/>
        </w:rPr>
        <w:t>oresite Funds</w:t>
      </w:r>
      <w:r>
        <w:rPr>
          <w:rFonts w:ascii="Times New Roman" w:cs="Times New Roman" w:eastAsia="Times New Roman" w:hAnsi="Times New Roman"/>
          <w:sz w:val="17"/>
          <w:szCs w:val="17"/>
          <w:color w:val="auto"/>
        </w:rPr>
        <w:t>”) purchased shares of HighCape Class A common stock immediately prior to the closing of the transactions contemplated by that certain Business Combination Agreement, dated February 18, 2021 (the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and the Foresite Funds are entitled to certain registration rights. In particular, Quantum-Si agreed to, file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(at Quantum-Si’s sole cost and expense) a registration statement registering the resale of the shares of Class A common stock issued to the PIPE Investors and Foresite Funds. The registration statement was initially filed on July 2, 2021, as amended on July 19, 2021, and initially declared effective by the SEC on July 21, 2021. The post-effective amendment to the registration statement filed on July 15, 2022 was declared effective by the SEC on July 18, 2022.</w:t>
      </w:r>
    </w:p>
    <w:p>
      <w:pPr>
        <w:spacing w:after="0" w:line="18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At the closing of the Business Combination, Quantum-Si, the initial stockholders, including the Sponsor, certain affiliates of Glenview Capital Management, LLC (the “</w:t>
      </w:r>
      <w:r>
        <w:rPr>
          <w:rFonts w:ascii="Times New Roman" w:cs="Times New Roman" w:eastAsia="Times New Roman" w:hAnsi="Times New Roman"/>
          <w:sz w:val="17"/>
          <w:szCs w:val="17"/>
          <w:u w:val="single" w:color="auto"/>
          <w:color w:val="auto"/>
        </w:rPr>
        <w:t>Sponsor Group Holders</w:t>
      </w:r>
      <w:r>
        <w:rPr>
          <w:rFonts w:ascii="Times New Roman" w:cs="Times New Roman" w:eastAsia="Times New Roman" w:hAnsi="Times New Roman"/>
          <w:sz w:val="17"/>
          <w:szCs w:val="17"/>
          <w:color w:val="auto"/>
        </w:rPr>
        <w:t>”) and certain holders of Legacy Quantum-Si capital stock (the “</w:t>
      </w:r>
      <w:r>
        <w:rPr>
          <w:rFonts w:ascii="Times New Roman" w:cs="Times New Roman" w:eastAsia="Times New Roman" w:hAnsi="Times New Roman"/>
          <w:sz w:val="17"/>
          <w:szCs w:val="17"/>
          <w:u w:val="single" w:color="auto"/>
          <w:color w:val="auto"/>
        </w:rPr>
        <w:t>Quantum-Si Holders</w:t>
      </w:r>
      <w:r>
        <w:rPr>
          <w:rFonts w:ascii="Times New Roman" w:cs="Times New Roman" w:eastAsia="Times New Roman" w:hAnsi="Times New Roman"/>
          <w:sz w:val="17"/>
          <w:szCs w:val="17"/>
          <w:color w:val="auto"/>
        </w:rPr>
        <w:t>”) entered into an amended and restated registration rights agreement (the “</w:t>
      </w:r>
      <w:r>
        <w:rPr>
          <w:rFonts w:ascii="Times New Roman" w:cs="Times New Roman" w:eastAsia="Times New Roman" w:hAnsi="Times New Roman"/>
          <w:sz w:val="17"/>
          <w:szCs w:val="17"/>
          <w:u w:val="single" w:color="auto"/>
          <w:color w:val="auto"/>
        </w:rPr>
        <w:t>Amended and Restated Registration Rights Agreement</w:t>
      </w:r>
      <w:r>
        <w:rPr>
          <w:rFonts w:ascii="Times New Roman" w:cs="Times New Roman" w:eastAsia="Times New Roman" w:hAnsi="Times New Roman"/>
          <w:sz w:val="17"/>
          <w:szCs w:val="17"/>
          <w:color w:val="auto"/>
        </w:rPr>
        <w:t>”), pursuant to which, among other things, the Sponsor Group Holders and the Legacy Quantum-Si Holders were granted certain registration rights with respect to their respective shares of our common stock, in each case, on the terms and subject to the conditions therein. In particular, the Amended and Restated Registration Rights Agreement provides for the following registration rights:</w:t>
      </w:r>
    </w:p>
    <w:p>
      <w:pPr>
        <w:spacing w:after="0" w:line="172" w:lineRule="exact"/>
        <w:rPr>
          <w:sz w:val="20"/>
          <w:szCs w:val="20"/>
          <w:color w:val="auto"/>
        </w:rPr>
      </w:pPr>
    </w:p>
    <w:p>
      <w:pPr>
        <w:ind w:left="620" w:right="20" w:hanging="304"/>
        <w:spacing w:after="0" w:line="260"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rights. Quantum-Si was required to use its commercially reasonable efforts to file a registration statement under the Securities Act to permit the public resale of all registrable securities as permitted by Rule 415 of the Securities Act. At any time at which Quantum-Si has an effective shelf registration statement with respect to a holder’s registrable securities, any such holder may request to sell all or a portion of their registrable securities pursuant to an underwritten offering pursuant to such shelf registration statement, provided that such holder(s) reasonably expect any such sales to generate aggregate gross proceeds in excess of $25 million or reasonably expect to sell all of the registrable securities held by such holder, but in no event for aggregate gross proceeds of less than $5 million in gross proceeds. Quantum-Si will enter into an underwriting agreement with a managing underwriter or underwriters selected by the initiating holder(s), after consultation with Quantum-Si, and will take all such other reasonable actions as are requested by the managing underwriter to expedite or facilitate the disposition of such registrable securities.</w:t>
      </w:r>
    </w:p>
    <w:p>
      <w:pPr>
        <w:spacing w:after="0" w:line="176" w:lineRule="exact"/>
        <w:rPr>
          <w:rFonts w:ascii="Times New Roman" w:cs="Times New Roman" w:eastAsia="Times New Roman" w:hAnsi="Times New Roman"/>
          <w:sz w:val="17"/>
          <w:szCs w:val="17"/>
          <w:color w:val="auto"/>
        </w:rPr>
      </w:pPr>
    </w:p>
    <w:p>
      <w:pPr>
        <w:ind w:left="620" w:right="140" w:hanging="304"/>
        <w:spacing w:after="0" w:line="264"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registration rights. At any time after the closing of the Business Combination, if Quantum-Si does not have an effective registration statement outstanding, Quantum-Si will be required, upon the written request of the holders of at least a majority-in-interest of the then-outstanding registrable securities held by the Sponsor Group Holders or the Quantum-Si Holders, as soon as practicable but not more than 45 days after receipt of such written request, to file a registration statement and to effect the registration of all or part of their registrable securities. Quantum-Si is not obligated to effect more than an aggregate of three registrations pursuant to a demand registration request.</w:t>
      </w:r>
    </w:p>
    <w:p>
      <w:pPr>
        <w:spacing w:after="0" w:line="172" w:lineRule="exact"/>
        <w:rPr>
          <w:rFonts w:ascii="Times New Roman" w:cs="Times New Roman" w:eastAsia="Times New Roman" w:hAnsi="Times New Roman"/>
          <w:sz w:val="17"/>
          <w:szCs w:val="17"/>
          <w:color w:val="auto"/>
        </w:rPr>
      </w:pPr>
    </w:p>
    <w:p>
      <w:pPr>
        <w:ind w:left="620" w:right="40" w:hanging="304"/>
        <w:spacing w:after="0" w:line="260"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Piggyback registration rights. At any time after the closing of the Business Combination, if Quantum-Si proposes to file a registration statement under the Securities Act to register any of its equity securities, or securities or other obligations exchangeable or convertible into equity securities, or to conduct a public offering, either for its own account or for the account of any other person, subject to certain exceptions and reductions as described in the Amended and Restated Registration Rights Agreement, then Quantum-Si will give written notice of such proposed filing to the holders of registrable securities as soon as practicable but not less than 10 days before the anticipated filing of such registration statement. Upon the written request of any holder of registrable securities in response to such written notice, Quantum-Si will, in good faith, cause such registrable securities to be included in the registration statement and use its commercially reasonable efforts to cause the underwriters of any proposed underwritten offering to include such holders’ registrable securities on the same terms and conditions as any similar securities of Quantum-Si included in such registration.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addition, Quantum-Si agreed it would use its best efforts to file with the SEC a registration statement registering the issuance, under the Securities Act, of the shares of Class A common stock issuable upon exercise of the Public Warrants, as described above under “</w:t>
      </w:r>
      <w:r>
        <w:rPr>
          <w:rFonts w:ascii="Times New Roman" w:cs="Times New Roman" w:eastAsia="Times New Roman" w:hAnsi="Times New Roman"/>
          <w:sz w:val="17"/>
          <w:szCs w:val="17"/>
          <w:i w:val="1"/>
          <w:iCs w:val="1"/>
          <w:color w:val="auto"/>
        </w:rPr>
        <w:t>Public Warrants and Private Placement Warrants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Exclusive Forum</w:t>
      </w:r>
    </w:p>
    <w:p>
      <w:pPr>
        <w:spacing w:after="0" w:line="22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Quantum-Si’s Charter provides that, to the fullest extent permitted by law, unless Quantum-Si otherwise consents in writing, the Court of Chancery (the “</w:t>
      </w:r>
      <w:r>
        <w:rPr>
          <w:rFonts w:ascii="Times New Roman" w:cs="Times New Roman" w:eastAsia="Times New Roman" w:hAnsi="Times New Roman"/>
          <w:sz w:val="17"/>
          <w:szCs w:val="17"/>
          <w:u w:val="single" w:color="auto"/>
          <w:color w:val="auto"/>
        </w:rPr>
        <w:t>Chancery Court</w:t>
      </w:r>
      <w:r>
        <w:rPr>
          <w:rFonts w:ascii="Times New Roman" w:cs="Times New Roman" w:eastAsia="Times New Roman" w:hAnsi="Times New Roman"/>
          <w:sz w:val="17"/>
          <w:szCs w:val="17"/>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Quantum-Si, (2) any action asserting a claim of breach of a fiduciary duty owed by, or any other wrongdoing by, any current or former director, officer, other employee or stockholder of Quantum-Si, (3) any action asserting a claim against Quantum-Si arising pursuant to any provision of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Charter or Bylaws, or as to which the DGCL confers jurisdiction on the Court of Chancery, (4) any action to interpret, apply, enforce or determine the validity of any provisions of the Charter or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and the provisions of the Charter described above will not apply to claims arising under the Exchange Act or other federal securities laws for which there is exclusive federal jurisdiction.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Provisions of the Charter, Bylaws and Applicable Law</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Certain provisions of the Charter, Bylaws, and laws of the State of Delaware, where Quantum-Si is incorporated, may discourage or make more difficult a takeover attempt that a stockholder might consider in his or her best interest. These provisions may also adversely affect prevailing market prices for the Class A common stock and the Class B common stock. Quantum-Si believes that the benefits of increased protection give Quantum-Si the potential ability to negotiate with the proponent of an unsolicited proposal to acquire or restructure Quantum-Si and outweigh the disadvantage of discouraging those proposals because negotiation of the proposals could result in an improvement of their terms.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Shares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However, the listing requirements of The Nasdaq Stock Market, which would apply if and so long as the Class A common stock remains listed on The Nasdaq Stock Market,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Quantum-Si by means of a proxy contest, tender offer, merger,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Dual Class Stock</w:t>
      </w:r>
    </w:p>
    <w:p>
      <w:pPr>
        <w:spacing w:after="0" w:line="22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As described above, the Charter provides for a dual class common stock structure which provides Dr. Rothberg with the ability to control the outcome of matters requiring stockholder approval, even though he owns significantly less than a majority of the shares of our outstanding common stock, including the election of directors and significant corporate transactions, such as a merger or other sale of Quantum-Si or its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Blank Check Preferred Stock</w:t>
      </w:r>
    </w:p>
    <w:p>
      <w:pPr>
        <w:spacing w:after="0" w:line="22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Charter provides for 1,000,000 authorized shares of preferred stock. The existence of authorized but unissued shares of preferred stock may enable the Board to render more difficult or to discourage an attempt to obtain control of us by means of a merger, tender offer, proxy contest or otherwise. For example, if in the due exercise of its fiduciary obligations, the Board were to determine that a takeover proposal is not in the best interests of Quantum-Si or its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 holders of shares of common stock and may have the effect of delaying, deterring or preventing a change in control of Quantum-Si.</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i w:val="1"/>
          <w:iCs w:val="1"/>
          <w:color w:val="auto"/>
        </w:rPr>
        <w:t>Number of Directors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Charter and Bylaws provide that, subject to any rights of holders of preferred stock to elect additional directors under specified circumstances, the number of directors may be fixed from time to time solely pursuant to a resolution adopted by the Board; provided, however, that prior to the first date on which the issued and outstanding shares of Class B common stock represent less than 50% of the voting power of the then outstanding shares of capital stock of Quantum-Si that would be entitled to vote for the election of directors at an annual meeting of stockholders, unless approved by the holders of a majority in voting power of the shares of capital stock of Quantum-Si that would then be entitled to vote in the election of directors at an annual meeting or by written consent, the number of directors may not exceed nine (9).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Advance Notification of Stockholder Meetings, Nominations and Proposals</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Quantum-Si with certain information. Generally, to be timely, a stockholder’s notice must be delivered to, or mailed and received at Quantum-Si’s principal executive offices not less than 90 days nor more than 120 days prior to the first anniversary of the immediately preceding annual meeting of stockholders. The Bylaws also specify requirements as to the form and content of a stockholder’s notice. The Bylaws allow the chairman of the meeting at a meeting of the stockholders to determine whether a proposal to the meeting was properly brought and to adopt rules and regulations for the conduct of meetings, except to the extent inconsistent with such rules, regulations and procedures as adopted by the Board,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Quantum-Si.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Stockholder Action by Written Consent</w:t>
      </w:r>
    </w:p>
    <w:p>
      <w:pPr>
        <w:spacing w:after="0" w:line="22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 xml:space="preserve">The Charter provides that, subject to the terms of any series of Quantum-Si preferred stock, any action required or permitted to be taken by the stockholders of Quantum-Si must be effected at an annual or special meeting of the stockholders and may not be effected by written consent in lieu of a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prior to the first date on which the issued and outstanding shares of Class B common stock represent less than 50% of the voting power of the then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shares of capital stock of Quantum-Si that would then be entitled to vote for the election of directors, any action required or permitted to be taken at any annual or special meeting of stockholders, may be taken by written consent if such written consent is signed by the holders of the outstanding stock having not less than the minimum number of votes that would be necessary to authorize or take such action at a meeting at which all shares entitled to vote on such matter were present and voted.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of the Charter and Bylaws</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DGCL provides generally that the affirmative vote of a majority of the outstanding shares entitled to vote thereon, voting together a single class, is required to amend a corporation’s certificate of incorporation, unless the certificate of incorporation requires a greater percentage.</w:t>
      </w:r>
    </w:p>
    <w:p>
      <w:pPr>
        <w:spacing w:after="0" w:line="146"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The Charter provides that it may be amended by Quantum-Si in the manners provided therein or prescribed by statute. The Charter provides that the affirmative vote of the holders of a majority of the voting power of the then-outstanding shares of capital stock entitled to vote generally in the election of directors, voting together as a single class, will be required to amend or repeal any provision of the Charter, or adopt any provision of the Charter inconsistent therewith.</w:t>
      </w:r>
    </w:p>
    <w:p>
      <w:pPr>
        <w:spacing w:after="0" w:line="377"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If any of the Class B common stock shares are outstanding, in addition to any vote required by Delaware law, the affirmative vote of the holders of two-thirds (2/3) of the outstanding shares of Class B common stock, voting as a separate class, is required to amend the Charter (1) in a manner that changes any of the voting, conversion, dividend or liquidation provisions of the shares of Class B common stock, (2) to provide for each share of Class A common stock or any preferred stock to have more than one vote per share or any rights to a separate class vote of the holders of shares of Class A common stock other than as provided by the Charter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If any shares of Class A common stock are outstanding, Quantum-Si will not, without the prior affirmative vote of the holders of a majority of the outstanding shares of Class A common stock, voting as a separate class, in addition to any other vote required by applicable law or the Charter, directly or indirectly, whether by amendment, or through merger, recapitalization, consolidation or otherwise amend, alter, change, repeal or adopt any provision of the Charter (1) in a manner that is inconsistent with, or that otherwise alters or changes the powers, preferences, or special rights of the shares of Class A common stock so as to affect them adversely; or (2) to provide for each share of Class B common stock to have more than twenty (20) votes per share or any rights to a separate class vote of the holders of shares of Class B common stock other than as provided by the Charter or required by the DGCL.</w:t>
      </w:r>
    </w:p>
    <w:p>
      <w:pPr>
        <w:spacing w:after="0" w:line="175"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Charter also provides that the Board will have the power to adopt, amend, alter, or repeal the Bylaws by the affirmative vote of a majority of the directors present at any regular or special meeting of the Board at which a quorum is present in any manner not inconsistent with the laws of the State of Delaware or the Charter. The stockholders of Quantum-Si are prohibited from adopting, amending, altering, or repealing the Bylaws, or to adopt any provision inconsistent with the Bylaws, unless such action is approved, in addition to any other vote required by the Charter, by (i) prior to the date on which the issued and outstanding shares of Class B common stock represent less than 50% of the total voting power of the then outstanding shares of our capital stock that would then be entitled to vote in the election of directors at an annual meeting of stockholders, the holders of a majority in voting power of the shares of our capital stock that would then be entitled to vote in the election of directors at an annual meeting of stockholders, and (ii) on and after such date, the holders of two-thirds (2/3rds) of the voting power of the shares of our capital stock that would then be entitled to vote in the election of directors at an annual meeting of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146" w:lineRule="exact"/>
        <w:rPr>
          <w:sz w:val="20"/>
          <w:szCs w:val="20"/>
          <w:color w:val="auto"/>
        </w:rPr>
      </w:pPr>
    </w:p>
    <w:p>
      <w:pPr>
        <w:ind w:left="620" w:hanging="304"/>
        <w:spacing w:after="0" w:line="293"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time the board of directors of the corporation approved either the business combination or the transaction which resulted in the stockholder becoming an interested stockholder;</w:t>
      </w:r>
    </w:p>
    <w:p>
      <w:pPr>
        <w:spacing w:after="0" w:line="146" w:lineRule="exact"/>
        <w:rPr>
          <w:rFonts w:ascii="Times New Roman" w:cs="Times New Roman" w:eastAsia="Times New Roman" w:hAnsi="Times New Roman"/>
          <w:sz w:val="17"/>
          <w:szCs w:val="17"/>
          <w:color w:val="auto"/>
        </w:rPr>
      </w:pPr>
    </w:p>
    <w:p>
      <w:pPr>
        <w:jc w:val="both"/>
        <w:ind w:left="620" w:hanging="304"/>
        <w:spacing w:after="0" w:line="264"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2" w:lineRule="exact"/>
        <w:rPr>
          <w:rFonts w:ascii="Times New Roman" w:cs="Times New Roman" w:eastAsia="Times New Roman" w:hAnsi="Times New Roman"/>
          <w:sz w:val="17"/>
          <w:szCs w:val="17"/>
          <w:color w:val="auto"/>
        </w:rPr>
      </w:pPr>
    </w:p>
    <w:p>
      <w:pPr>
        <w:jc w:val="both"/>
        <w:ind w:left="620" w:hanging="304"/>
        <w:spacing w:after="0" w:line="285"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367"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Quantum-Si’s outstanding voting stock. For purposes of this section only, “voting stock” has the meaning given to it in Section 203 of the DGCL.</w:t>
      </w:r>
    </w:p>
    <w:p>
      <w:pPr>
        <w:spacing w:after="0" w:line="17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Since Quantum-Si has not opted out of Section 203 of the DGCL, it will apply to Quantum-Si. As a result, this provision will make it more difficult for a person who would be an “interested stockholder” to effect various business combinations with Quantum-Si for a three-year period. This provision may encourage companies interested in acquiring Quantum-Si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i w:val="1"/>
          <w:iCs w:val="1"/>
          <w:color w:val="auto"/>
        </w:rPr>
        <w:t>Cumulative Voting</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Under Delaware law, the right to vote cumulatively does not exist unless the charter specifically authorizes cumulative voting. The Charter does not authorize cumulative voting.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Liability and Indemnification of Officers and Directors</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damages for any breach of fiduciary duty as a director or officer where, in civil proceedings, the person acted in good faith and in a manner that person reasonably believed to be in or not opposed to the best interests of Quantum-Si or, in criminal proceedings, where the person had no reasonable cause to believe that his or her conduct was unlawful.</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Bylaws provide that Quantum-Si shall indemnify and advance expenses to Quantum-Si’s directors and officers to the fullest extent authorized by the DGCL. Quantum-Si also is expressly authorized to carry directors’ and officers’ liability insurance providing indemnification for Quantum-Si directors, officers, and certain employees for some liabilities. Quantum-Si believes that these indemnification and advancement provisions and insurance are useful to attract and retain qualified directors and executive officers.</w:t>
      </w:r>
    </w:p>
    <w:p>
      <w:pPr>
        <w:spacing w:after="0" w:line="170"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The limitation of liability, advancement and indemnification provisions in the Charter and Bylaws may discourage stockholders from bringing lawsuits against directors for any alleged breach of their fiduciary duty. These provisions also may have the effect of reducing the likelihood of derivative litigation against directors and officers, even though such an action, if successful, might otherwise benefit Quantum-Si and its stockholders. In addition, your investment may be adversely affected to the extent Quantum-Si pays the costs of settlement and damage awards against directors and officer pursuant to these indemnification provisions.</w:t>
      </w:r>
    </w:p>
    <w:p>
      <w:pPr>
        <w:spacing w:after="0" w:line="38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There is currently no pending material litigation or proceeding involving any of Quantum-Si’s directors, officers, or employees for which indemnification is sought.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Opportunities</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Charter provides for the renouncement by Quantum-Si of any interest or expectancy of Quantum-Si in, or being offered an opportunity to participate in any matter, transaction, or interest that is presented to, or acquired, created, or developed by, or which otherwise comes into possession of, any director of Quantum-Si who is not an employee of Quantum-Si or any of its subsidiaries, unless such matter, transaction, or interest is presented to, or acquired, created, or developed by, or otherwise comes into the possession of a director of Quantum-Si expressly and solely in that director’s capacity as a director of Quantum-Si.</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Dissenters’ Rights of Appraisal and Payment</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Under the DGCL, with certain exceptions, Quantum-Si’s stockholders will have appraisal rights in connection with a merger or consolidation of Quantum-Si.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 Derivative Actions</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Under the DGCL, any of Quantum-Si’s stockholders may bring an action in Quantum-Si’s name to procure a judgment in Quantum-Si’s favor, also known as a derivative action, provided that the stockholder bringing the action is a holder of Quantum-Si’s shares at the time of the transaction to which the action relates or such stockholder’s stock thereafter devolved by operation of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transfer agent for Quantum-Si capital stock is Continental Stock Transfer &amp; Trust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Exchange Listing</w:t>
      </w:r>
    </w:p>
    <w:p>
      <w:pPr>
        <w:spacing w:after="0" w:line="222" w:lineRule="exact"/>
        <w:rPr>
          <w:sz w:val="20"/>
          <w:szCs w:val="20"/>
          <w:color w:val="auto"/>
        </w:rPr>
      </w:pPr>
    </w:p>
    <w:p>
      <w:pPr>
        <w:ind w:right="180" w:firstLine="312"/>
        <w:spacing w:after="0" w:line="293" w:lineRule="auto"/>
        <w:rPr>
          <w:sz w:val="20"/>
          <w:szCs w:val="20"/>
          <w:color w:val="auto"/>
        </w:rPr>
      </w:pPr>
      <w:r>
        <w:rPr>
          <w:rFonts w:ascii="Times New Roman" w:cs="Times New Roman" w:eastAsia="Times New Roman" w:hAnsi="Times New Roman"/>
          <w:sz w:val="17"/>
          <w:szCs w:val="17"/>
          <w:color w:val="auto"/>
        </w:rPr>
        <w:t>Quantum-Si’s Class A common stock and Public Warrants to purchase Class A common stock are listed for trading on The Nasdaq Stock Market under the symbol “QSI” and “QSIAW”, respectively.</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13740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ind w:left="101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10.13.3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 Grant Notice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Restricted Stock Unit Grant under the Company’s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2021 Equity Incentive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Number: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Type: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Shares:</w:t>
      </w:r>
    </w:p>
    <w:p>
      <w:pPr>
        <w:sectPr>
          <w:pgSz w:w="11900" w:h="16838" w:orient="portrait"/>
          <w:cols w:equalWidth="0" w:num="1">
            <w:col w:w="11240"/>
          </w:cols>
          <w:pgMar w:left="320" w:top="264" w:right="3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Vesting of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This Restricted Stock Unit Award shall vest as follows provided the Participant is an Employee, director or Consultant of the Company or of an Affiliate on the applicable vesting date:</w:t>
      </w:r>
    </w:p>
    <w:p>
      <w:pPr>
        <w:spacing w:after="0" w:line="146" w:lineRule="exact"/>
        <w:rPr>
          <w:sz w:val="20"/>
          <w:szCs w:val="20"/>
          <w:color w:val="auto"/>
        </w:rPr>
      </w:pPr>
    </w:p>
    <w:p>
      <w:pPr>
        <w:sectPr>
          <w:pgSz w:w="11900" w:h="16838" w:orient="portrait"/>
          <w:cols w:equalWidth="0" w:num="2">
            <w:col w:w="2100" w:space="720"/>
            <w:col w:w="8420"/>
          </w:cols>
          <w:pgMar w:left="320" w:top="264" w:right="339" w:bottom="1440" w:gutter="0" w:footer="0" w:header="0"/>
          <w:type w:val="continuous"/>
        </w:sectPr>
      </w:pPr>
    </w:p>
    <w:p>
      <w:pPr>
        <w:ind w:left="2820"/>
        <w:spacing w:after="0"/>
        <w:rPr>
          <w:sz w:val="20"/>
          <w:szCs w:val="20"/>
          <w:color w:val="auto"/>
        </w:rPr>
      </w:pPr>
      <w:r>
        <w:rPr>
          <w:rFonts w:ascii="Times New Roman" w:cs="Times New Roman" w:eastAsia="Times New Roman" w:hAnsi="Times New Roman"/>
          <w:sz w:val="17"/>
          <w:szCs w:val="17"/>
          <w:color w:val="auto"/>
        </w:rPr>
        <w:t>[Vesting Schedule Description]</w:t>
      </w:r>
    </w:p>
    <w:p>
      <w:pPr>
        <w:sectPr>
          <w:pgSz w:w="11900" w:h="16838" w:orient="portrait"/>
          <w:cols w:equalWidth="0" w:num="1">
            <w:col w:w="11240"/>
          </w:cols>
          <w:pgMar w:left="320" w:top="264" w:right="339" w:bottom="1440" w:gutter="0" w:footer="0" w:header="0"/>
          <w:type w:val="continuous"/>
        </w:sectPr>
      </w:pP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and the Participant acknowledge receipt of this Restricted Stock Unit Award Grant Notice and agree to the terms of the Restricted Stock Unit Agreement attached hereto and incorporated by reference herein, the Company’s 2021 Equity Incentive Plan and the terms of this Restricted Stock Unit Award as set forth above.</w:t>
      </w:r>
    </w:p>
    <w:p>
      <w:pPr>
        <w:spacing w:after="0" w:line="16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-120015</wp:posOffset>
            </wp:positionV>
            <wp:extent cx="335026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3350260" cy="1651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147955</wp:posOffset>
            </wp:positionV>
            <wp:extent cx="356489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3564890" cy="1651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3740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AGREEMENT –</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INCORPORATED TERMS AND CONDITIONS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AGREEMENT made as of the date of grant set forth in the Restricted Stock Unit Award Grant Notice between Quantum-Si Incorporated (the “Company”), a Delaware corporation, and the individual whose name appears on the Restricted Stock Unit Award Grant Notice (the “Participant”).</w:t>
      </w:r>
    </w:p>
    <w:p>
      <w:pPr>
        <w:spacing w:after="0" w:line="14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WHEREAS, the Company has adopted the 2021 Equity Incentive Plan (the “Plan”), to promote the interests of the Company by providing an incentive for Employees, directors and Consultants of the Company and its Affiliates;</w:t>
      </w:r>
    </w:p>
    <w:p>
      <w:pPr>
        <w:spacing w:after="0" w:line="14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WHEREAS, pursuant to the provisions of the Plan, the Company desires to grant to the Participant restricted stock units (“RSUs”) related to the Company’s Class A common stock, $.0001 par value per share (“Common Stock”), in accordance with the provisions of the Plan, all on the terms and conditions hereinafter set forth; and</w:t>
      </w:r>
    </w:p>
    <w:p>
      <w:pPr>
        <w:spacing w:after="0" w:line="16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WHEREAS, the Company and the Participant understand and agree that any terms used and not defined herein have the meanings ascribed to such terms in the Plan.</w:t>
      </w:r>
    </w:p>
    <w:p>
      <w:pPr>
        <w:spacing w:after="0" w:line="146" w:lineRule="exact"/>
        <w:rPr>
          <w:sz w:val="20"/>
          <w:szCs w:val="20"/>
          <w:color w:val="auto"/>
        </w:rPr>
      </w:pPr>
    </w:p>
    <w:p>
      <w:pPr>
        <w:jc w:val="both"/>
        <w:ind w:firstLine="679"/>
        <w:spacing w:after="0" w:line="293" w:lineRule="auto"/>
        <w:rPr>
          <w:sz w:val="20"/>
          <w:szCs w:val="20"/>
          <w:color w:val="auto"/>
        </w:rPr>
      </w:pPr>
      <w:r>
        <w:rPr>
          <w:rFonts w:ascii="Times New Roman" w:cs="Times New Roman" w:eastAsia="Times New Roman" w:hAnsi="Times New Roman"/>
          <w:sz w:val="17"/>
          <w:szCs w:val="17"/>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46" w:lineRule="exact"/>
        <w:rPr>
          <w:sz w:val="20"/>
          <w:szCs w:val="20"/>
          <w:color w:val="auto"/>
        </w:rPr>
      </w:pPr>
    </w:p>
    <w:p>
      <w:pPr>
        <w:jc w:val="both"/>
        <w:ind w:firstLine="628"/>
        <w:spacing w:after="0" w:line="267" w:lineRule="auto"/>
        <w:tabs>
          <w:tab w:leader="none" w:pos="123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Award</w:t>
      </w:r>
      <w:r>
        <w:rPr>
          <w:rFonts w:ascii="Times New Roman" w:cs="Times New Roman" w:eastAsia="Times New Roman" w:hAnsi="Times New Roman"/>
          <w:sz w:val="17"/>
          <w:szCs w:val="17"/>
          <w:color w:val="auto"/>
        </w:rPr>
        <w:t>. The Company hereby grants to the Participant an award for the number of RSUs set forth in the Restricted Stock Unit Award Grant Notice (the “Award”). Each RSU represents a contingent entitlement of the Participant to receive one share of Common Stock, on the terms and conditions and subject to all the limitations set forth herein and in the Plan, which is incorporated herein by reference. The Participant acknowledges receipt of a copy of the Plan.</w:t>
      </w:r>
    </w:p>
    <w:p>
      <w:pPr>
        <w:spacing w:after="0" w:line="169" w:lineRule="exact"/>
        <w:rPr>
          <w:rFonts w:ascii="Times New Roman" w:cs="Times New Roman" w:eastAsia="Times New Roman" w:hAnsi="Times New Roman"/>
          <w:sz w:val="17"/>
          <w:szCs w:val="17"/>
          <w:color w:val="auto"/>
        </w:rPr>
      </w:pPr>
    </w:p>
    <w:p>
      <w:pPr>
        <w:ind w:left="1240" w:hanging="612"/>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Award</w:t>
      </w:r>
      <w:r>
        <w:rPr>
          <w:rFonts w:ascii="Times New Roman" w:cs="Times New Roman" w:eastAsia="Times New Roman" w:hAnsi="Times New Roman"/>
          <w:sz w:val="17"/>
          <w:szCs w:val="17"/>
          <w:color w:val="auto"/>
        </w:rPr>
        <w:t>.</w:t>
      </w:r>
    </w:p>
    <w:p>
      <w:pPr>
        <w:spacing w:after="0" w:line="220" w:lineRule="exact"/>
        <w:rPr>
          <w:rFonts w:ascii="Times New Roman" w:cs="Times New Roman" w:eastAsia="Times New Roman" w:hAnsi="Times New Roman"/>
          <w:sz w:val="17"/>
          <w:szCs w:val="17"/>
          <w:color w:val="auto"/>
        </w:rPr>
      </w:pPr>
    </w:p>
    <w:p>
      <w:pPr>
        <w:jc w:val="both"/>
        <w:ind w:firstLine="1251"/>
        <w:spacing w:after="0" w:line="262" w:lineRule="auto"/>
        <w:tabs>
          <w:tab w:leader="none" w:pos="199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of Common Stock equivalent to the number of RSUs as set forth in the Restricted Stock Unit Award Grant Notice provided that the Participant is providing service to the Company or an Affiliate on such vesting date. Such shares of Common Stock shall thereafter be delivered by the Company to the Participant within five business days of the applicable vesting date and in accordance with this Agreement and the Plan.</w:t>
      </w:r>
    </w:p>
    <w:p>
      <w:pPr>
        <w:spacing w:after="0" w:line="174" w:lineRule="exact"/>
        <w:rPr>
          <w:rFonts w:ascii="Times New Roman" w:cs="Times New Roman" w:eastAsia="Times New Roman" w:hAnsi="Times New Roman"/>
          <w:sz w:val="17"/>
          <w:szCs w:val="17"/>
          <w:color w:val="auto"/>
        </w:rPr>
      </w:pPr>
    </w:p>
    <w:p>
      <w:pPr>
        <w:jc w:val="both"/>
        <w:ind w:firstLine="1251"/>
        <w:spacing w:after="0" w:line="267" w:lineRule="auto"/>
        <w:tabs>
          <w:tab w:leader="none" w:pos="189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set forth in this Agreement, if the Participant ceases to be providing services for any reason to the Company or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jc w:val="both"/>
        <w:ind w:firstLine="628"/>
        <w:spacing w:after="0" w:line="260" w:lineRule="auto"/>
        <w:tabs>
          <w:tab w:leader="none" w:pos="119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Prohibitions on Transfer and Sale</w:t>
      </w:r>
      <w:r>
        <w:rPr>
          <w:rFonts w:ascii="Times New Roman" w:cs="Times New Roman" w:eastAsia="Times New Roman" w:hAnsi="Times New Roman"/>
          <w:sz w:val="17"/>
          <w:szCs w:val="17"/>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of Common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384" w:lineRule="exact"/>
        <w:rPr>
          <w:rFonts w:ascii="Times New Roman" w:cs="Times New Roman" w:eastAsia="Times New Roman" w:hAnsi="Times New Roman"/>
          <w:sz w:val="17"/>
          <w:szCs w:val="17"/>
          <w:color w:val="auto"/>
        </w:rPr>
      </w:pPr>
    </w:p>
    <w:p>
      <w:pPr>
        <w:jc w:val="both"/>
        <w:ind w:firstLine="628"/>
        <w:spacing w:after="0" w:line="274" w:lineRule="auto"/>
        <w:tabs>
          <w:tab w:leader="none" w:pos="121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The Plan contains provisions covering the treatment of RSUs and shares of Common Stock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162" w:lineRule="exact"/>
        <w:rPr>
          <w:rFonts w:ascii="Times New Roman" w:cs="Times New Roman" w:eastAsia="Times New Roman" w:hAnsi="Times New Roman"/>
          <w:sz w:val="17"/>
          <w:szCs w:val="17"/>
          <w:color w:val="auto"/>
        </w:rPr>
      </w:pPr>
    </w:p>
    <w:p>
      <w:pPr>
        <w:jc w:val="both"/>
        <w:ind w:firstLine="628"/>
        <w:spacing w:after="0" w:line="260" w:lineRule="auto"/>
        <w:tabs>
          <w:tab w:leader="none" w:pos="123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Compliance</w:t>
      </w:r>
      <w:r>
        <w:rPr>
          <w:rFonts w:ascii="Times New Roman" w:cs="Times New Roman" w:eastAsia="Times New Roman" w:hAnsi="Times New Roman"/>
          <w:sz w:val="17"/>
          <w:szCs w:val="17"/>
          <w:color w:val="auto"/>
        </w:rPr>
        <w:t>. The Participant specifically acknowledges and agrees that any sales of shares of Common Stock shall be made in accordance with the requirements of the Securities Act of 1933, as amended. The Company currently has an effective registration statement on file with the Securities and Exchange Commission with respect to the Common Stock to be granted hereunder. The Company intends to maintain this registration statement but has no obligation to do so. If the registration statement ceases to be effective for any reason, Participant will not be able to transfer or sell any of the shares of Common Stock issued to the Participant pursuant to this Agreement unless exemptions from registration or filings under applicable securities laws are available. Furthermore, despite registration, applicable securities laws may restrict the ability of the Participant to sell his or her Common Stock, including due to the Participant’s affiliation with the Company. The Company shall not be obligated to either issue the Common Stock or permit the resale of any shares of Common Stock if such issuance or resale would violate any applicable securities law, rule or regulation.</w:t>
      </w:r>
    </w:p>
    <w:p>
      <w:pPr>
        <w:spacing w:after="0" w:line="176" w:lineRule="exact"/>
        <w:rPr>
          <w:rFonts w:ascii="Times New Roman" w:cs="Times New Roman" w:eastAsia="Times New Roman" w:hAnsi="Times New Roman"/>
          <w:sz w:val="17"/>
          <w:szCs w:val="17"/>
          <w:color w:val="auto"/>
        </w:rPr>
      </w:pPr>
    </w:p>
    <w:p>
      <w:pPr>
        <w:ind w:firstLine="628"/>
        <w:spacing w:after="0" w:line="293" w:lineRule="auto"/>
        <w:tabs>
          <w:tab w:leader="none" w:pos="132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The Participant shall have no right as a stockholder, including voting and dividend rights, with respect to the RSUs subject to this Agreement.</w:t>
      </w:r>
    </w:p>
    <w:p>
      <w:pPr>
        <w:spacing w:after="0" w:line="146" w:lineRule="exact"/>
        <w:rPr>
          <w:rFonts w:ascii="Times New Roman" w:cs="Times New Roman" w:eastAsia="Times New Roman" w:hAnsi="Times New Roman"/>
          <w:sz w:val="17"/>
          <w:szCs w:val="17"/>
          <w:color w:val="auto"/>
        </w:rPr>
      </w:pPr>
    </w:p>
    <w:p>
      <w:pPr>
        <w:jc w:val="both"/>
        <w:ind w:firstLine="628"/>
        <w:spacing w:after="0" w:line="274" w:lineRule="auto"/>
        <w:tabs>
          <w:tab w:leader="none" w:pos="13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the Plan</w:t>
      </w:r>
      <w:r>
        <w:rPr>
          <w:rFonts w:ascii="Times New Roman" w:cs="Times New Roman" w:eastAsia="Times New Roman" w:hAnsi="Times New Roman"/>
          <w:sz w:val="17"/>
          <w:szCs w:val="17"/>
          <w:color w:val="auto"/>
        </w:rPr>
        <w:t>. The Participant specifically understands and agrees that the RSUs and the shares of Common Stock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firstLine="628"/>
        <w:spacing w:after="0" w:line="264" w:lineRule="auto"/>
        <w:tabs>
          <w:tab w:leader="none" w:pos="130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Liability of the Participant and Payment of Taxes</w:t>
      </w:r>
      <w:r>
        <w:rPr>
          <w:rFonts w:ascii="Times New Roman" w:cs="Times New Roman" w:eastAsia="Times New Roman" w:hAnsi="Times New Roman"/>
          <w:sz w:val="17"/>
          <w:szCs w:val="17"/>
          <w:color w:val="auto"/>
        </w:rPr>
        <w:t>. The Participant acknowledges and agrees that any income or other taxes due from the Participant with respect to this Award or the shares of Common Stock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Administrator as follows:</w:t>
      </w:r>
    </w:p>
    <w:p>
      <w:pPr>
        <w:spacing w:after="0" w:line="172" w:lineRule="exact"/>
        <w:rPr>
          <w:rFonts w:ascii="Times New Roman" w:cs="Times New Roman" w:eastAsia="Times New Roman" w:hAnsi="Times New Roman"/>
          <w:sz w:val="17"/>
          <w:szCs w:val="17"/>
          <w:color w:val="auto"/>
        </w:rPr>
      </w:pPr>
    </w:p>
    <w:p>
      <w:pPr>
        <w:jc w:val="both"/>
        <w:ind w:firstLine="1251"/>
        <w:spacing w:after="0" w:line="266" w:lineRule="auto"/>
        <w:tabs>
          <w:tab w:leader="none" w:pos="198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reducing the number of shares of Common Stock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w:t>
      </w:r>
    </w:p>
    <w:p>
      <w:pPr>
        <w:spacing w:after="0" w:line="380" w:lineRule="exact"/>
        <w:rPr>
          <w:rFonts w:ascii="Times New Roman" w:cs="Times New Roman" w:eastAsia="Times New Roman" w:hAnsi="Times New Roman"/>
          <w:sz w:val="17"/>
          <w:szCs w:val="17"/>
          <w:color w:val="auto"/>
        </w:rPr>
      </w:pPr>
    </w:p>
    <w:p>
      <w:pPr>
        <w:jc w:val="both"/>
        <w:ind w:firstLine="1251"/>
        <w:spacing w:after="0" w:line="274" w:lineRule="auto"/>
        <w:tabs>
          <w:tab w:leader="none" w:pos="211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162" w:lineRule="exact"/>
        <w:rPr>
          <w:rFonts w:ascii="Times New Roman" w:cs="Times New Roman" w:eastAsia="Times New Roman" w:hAnsi="Times New Roman"/>
          <w:sz w:val="17"/>
          <w:szCs w:val="17"/>
          <w:color w:val="auto"/>
        </w:rPr>
      </w:pPr>
    </w:p>
    <w:p>
      <w:pPr>
        <w:jc w:val="both"/>
        <w:ind w:firstLine="1251"/>
        <w:spacing w:after="0" w:line="259" w:lineRule="auto"/>
        <w:tabs>
          <w:tab w:leader="none" w:pos="200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requiring the sale by the Participant on the applicable vesting date of such number of shares of Common Stock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Such sales shall be made pursuant to a mandatory “sell-to-cover” program instituted by the Company with no discretion by the Participant with respect to any sale under the “sell-to-cover” program.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of Common Stock.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of Common Stock, the Participant shall execute any such documents requested by the broker in order to effectuate the sale of shares of Common Stock and payment of the withholding obligation to the Company.</w:t>
      </w:r>
    </w:p>
    <w:p>
      <w:pPr>
        <w:spacing w:after="0" w:line="38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It is the Company’s intention that the Participant’s tax obligations under this Section 8 shall be satisfied through the procedure of Subsection (c) above, unless the Company provides notice of an alternate procedure under this Section, in its discretion. The Company shall not deliver any shares of Common Stock to the Participant until it is satisfied that all required withholdings have been made.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1260" w:right="6420" w:hanging="632"/>
        <w:spacing w:after="0" w:line="510" w:lineRule="auto"/>
        <w:tabs>
          <w:tab w:leader="none" w:pos="124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Participant Acknowledgements and Authorizations</w:t>
      </w:r>
      <w:r>
        <w:rPr>
          <w:rFonts w:ascii="Times New Roman" w:cs="Times New Roman" w:eastAsia="Times New Roman" w:hAnsi="Times New Roman"/>
          <w:sz w:val="17"/>
          <w:szCs w:val="17"/>
          <w:color w:val="auto"/>
        </w:rPr>
        <w:t>. The Participant acknowledges the following:</w:t>
      </w:r>
    </w:p>
    <w:p>
      <w:pPr>
        <w:ind w:left="2140" w:hanging="889"/>
        <w:spacing w:after="0"/>
        <w:tabs>
          <w:tab w:leader="none" w:pos="21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by the Plan or this Award obligated to continue the Participant as an employee, director or consultant of the</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or an Affiliate.</w:t>
      </w:r>
    </w:p>
    <w:p>
      <w:pPr>
        <w:spacing w:after="0" w:line="201" w:lineRule="exact"/>
        <w:rPr>
          <w:rFonts w:ascii="Times New Roman" w:cs="Times New Roman" w:eastAsia="Times New Roman" w:hAnsi="Times New Roman"/>
          <w:sz w:val="17"/>
          <w:szCs w:val="17"/>
          <w:color w:val="auto"/>
        </w:rPr>
      </w:pPr>
    </w:p>
    <w:p>
      <w:pPr>
        <w:ind w:left="2020" w:hanging="769"/>
        <w:spacing w:after="0"/>
        <w:tabs>
          <w:tab w:leader="none" w:pos="20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discretionary in nature and may be suspended or terminated by the Company at any time.</w:t>
      </w:r>
    </w:p>
    <w:p>
      <w:pPr>
        <w:spacing w:after="0" w:line="220" w:lineRule="exact"/>
        <w:rPr>
          <w:rFonts w:ascii="Times New Roman" w:cs="Times New Roman" w:eastAsia="Times New Roman" w:hAnsi="Times New Roman"/>
          <w:sz w:val="17"/>
          <w:szCs w:val="17"/>
          <w:color w:val="auto"/>
        </w:rPr>
      </w:pPr>
    </w:p>
    <w:p>
      <w:pPr>
        <w:ind w:firstLine="1251"/>
        <w:spacing w:after="0" w:line="293" w:lineRule="auto"/>
        <w:tabs>
          <w:tab w:leader="none" w:pos="206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this Award is considered a one-time benefit and does not create a contractual or other right to receive any other award under the Plan, benefits in lieu of awards or any other benefits in the future.</w:t>
      </w:r>
    </w:p>
    <w:p>
      <w:pPr>
        <w:spacing w:after="0" w:line="146" w:lineRule="exact"/>
        <w:rPr>
          <w:rFonts w:ascii="Times New Roman" w:cs="Times New Roman" w:eastAsia="Times New Roman" w:hAnsi="Times New Roman"/>
          <w:sz w:val="17"/>
          <w:szCs w:val="17"/>
          <w:color w:val="auto"/>
        </w:rPr>
      </w:pPr>
    </w:p>
    <w:p>
      <w:pPr>
        <w:ind w:firstLine="1251"/>
        <w:spacing w:after="0" w:line="293" w:lineRule="auto"/>
        <w:tabs>
          <w:tab w:leader="none" w:pos="200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46" w:lineRule="exact"/>
        <w:rPr>
          <w:rFonts w:ascii="Times New Roman" w:cs="Times New Roman" w:eastAsia="Times New Roman" w:hAnsi="Times New Roman"/>
          <w:sz w:val="17"/>
          <w:szCs w:val="17"/>
          <w:color w:val="auto"/>
        </w:rPr>
      </w:pPr>
    </w:p>
    <w:p>
      <w:pPr>
        <w:jc w:val="both"/>
        <w:ind w:firstLine="1251"/>
        <w:spacing w:after="0" w:line="267" w:lineRule="auto"/>
        <w:tabs>
          <w:tab w:leader="none" w:pos="1985"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169" w:lineRule="exact"/>
        <w:rPr>
          <w:rFonts w:ascii="Times New Roman" w:cs="Times New Roman" w:eastAsia="Times New Roman" w:hAnsi="Times New Roman"/>
          <w:sz w:val="17"/>
          <w:szCs w:val="17"/>
          <w:color w:val="auto"/>
        </w:rPr>
      </w:pPr>
    </w:p>
    <w:p>
      <w:pPr>
        <w:jc w:val="both"/>
        <w:ind w:firstLine="1251"/>
        <w:spacing w:after="0" w:line="267" w:lineRule="auto"/>
        <w:tabs>
          <w:tab w:leader="none" w:pos="189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69" w:lineRule="exact"/>
        <w:rPr>
          <w:rFonts w:ascii="Times New Roman" w:cs="Times New Roman" w:eastAsia="Times New Roman" w:hAnsi="Times New Roman"/>
          <w:sz w:val="17"/>
          <w:szCs w:val="17"/>
          <w:color w:val="auto"/>
        </w:rPr>
      </w:pPr>
    </w:p>
    <w:p>
      <w:pPr>
        <w:ind w:firstLine="628"/>
        <w:spacing w:after="0" w:line="293" w:lineRule="auto"/>
        <w:tabs>
          <w:tab w:leader="none" w:pos="126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required or permitted by the terms of this Agreement or the Plan shall be given by recognized courier service, facsimile, registered or certified mail, return receipt requested, addressed as follows: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Quantum-Si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 Business Park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Branford, CT 06405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20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If to the Participant at the Participant’s most recent address as shown in the employment or stock records of the Company. Any such notice shall be deemed to have been given on the earliest of receipt, one business day following delivery by the sender to a recognized courier service, or three business days following mailing by registered or certified mail.</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1280" w:hanging="652"/>
        <w:spacing w:after="0"/>
        <w:tabs>
          <w:tab w:leader="none" w:pos="12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and Successors</w:t>
      </w:r>
      <w:r>
        <w:rPr>
          <w:rFonts w:ascii="Times New Roman" w:cs="Times New Roman" w:eastAsia="Times New Roman" w:hAnsi="Times New Roman"/>
          <w:sz w:val="17"/>
          <w:szCs w:val="17"/>
          <w:color w:val="auto"/>
        </w:rPr>
        <w:t>.</w:t>
      </w:r>
    </w:p>
    <w:p>
      <w:pPr>
        <w:spacing w:after="0" w:line="220" w:lineRule="exact"/>
        <w:rPr>
          <w:rFonts w:ascii="Times New Roman" w:cs="Times New Roman" w:eastAsia="Times New Roman" w:hAnsi="Times New Roman"/>
          <w:sz w:val="17"/>
          <w:szCs w:val="17"/>
          <w:color w:val="auto"/>
        </w:rPr>
      </w:pPr>
    </w:p>
    <w:p>
      <w:pPr>
        <w:jc w:val="both"/>
        <w:ind w:firstLine="1251"/>
        <w:spacing w:after="0" w:line="274" w:lineRule="auto"/>
        <w:tabs>
          <w:tab w:leader="none" w:pos="2093"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62" w:lineRule="exact"/>
        <w:rPr>
          <w:rFonts w:ascii="Times New Roman" w:cs="Times New Roman" w:eastAsia="Times New Roman" w:hAnsi="Times New Roman"/>
          <w:sz w:val="17"/>
          <w:szCs w:val="17"/>
          <w:color w:val="auto"/>
        </w:rPr>
      </w:pPr>
    </w:p>
    <w:p>
      <w:pPr>
        <w:ind w:left="2020" w:hanging="769"/>
        <w:spacing w:after="0"/>
        <w:tabs>
          <w:tab w:leader="none" w:pos="202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inure to the benefit of and be binding upon the Company and its successors and assigns.</w:t>
      </w:r>
    </w:p>
    <w:p>
      <w:pPr>
        <w:spacing w:after="0" w:line="220" w:lineRule="exact"/>
        <w:rPr>
          <w:rFonts w:ascii="Times New Roman" w:cs="Times New Roman" w:eastAsia="Times New Roman" w:hAnsi="Times New Roman"/>
          <w:sz w:val="17"/>
          <w:szCs w:val="17"/>
          <w:color w:val="auto"/>
        </w:rPr>
      </w:pPr>
    </w:p>
    <w:p>
      <w:pPr>
        <w:jc w:val="both"/>
        <w:ind w:firstLine="628"/>
        <w:spacing w:after="0" w:line="267" w:lineRule="auto"/>
        <w:tabs>
          <w:tab w:leader="none" w:pos="119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Connecticut and agree that such litigation will be conducted in the state courts of Connecticut or the federal courts of the United States for the District of Connecticut.</w:t>
      </w:r>
    </w:p>
    <w:p>
      <w:pPr>
        <w:spacing w:after="0" w:line="169" w:lineRule="exact"/>
        <w:rPr>
          <w:rFonts w:ascii="Times New Roman" w:cs="Times New Roman" w:eastAsia="Times New Roman" w:hAnsi="Times New Roman"/>
          <w:sz w:val="17"/>
          <w:szCs w:val="17"/>
          <w:color w:val="auto"/>
        </w:rPr>
      </w:pPr>
    </w:p>
    <w:p>
      <w:pPr>
        <w:jc w:val="both"/>
        <w:ind w:firstLine="628"/>
        <w:spacing w:after="0" w:line="274" w:lineRule="auto"/>
        <w:tabs>
          <w:tab w:leader="none" w:pos="121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62" w:lineRule="exact"/>
        <w:rPr>
          <w:rFonts w:ascii="Times New Roman" w:cs="Times New Roman" w:eastAsia="Times New Roman" w:hAnsi="Times New Roman"/>
          <w:sz w:val="17"/>
          <w:szCs w:val="17"/>
          <w:color w:val="auto"/>
        </w:rPr>
      </w:pPr>
    </w:p>
    <w:p>
      <w:pPr>
        <w:jc w:val="both"/>
        <w:ind w:firstLine="628"/>
        <w:spacing w:after="0" w:line="267" w:lineRule="auto"/>
        <w:tabs>
          <w:tab w:leader="none" w:pos="122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69" w:lineRule="exact"/>
        <w:rPr>
          <w:rFonts w:ascii="Times New Roman" w:cs="Times New Roman" w:eastAsia="Times New Roman" w:hAnsi="Times New Roman"/>
          <w:sz w:val="17"/>
          <w:szCs w:val="17"/>
          <w:color w:val="auto"/>
        </w:rPr>
      </w:pPr>
    </w:p>
    <w:p>
      <w:pPr>
        <w:jc w:val="both"/>
        <w:ind w:firstLine="628"/>
        <w:spacing w:after="0" w:line="264" w:lineRule="auto"/>
        <w:tabs>
          <w:tab w:leader="none" w:pos="121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Modifications and Amendments; Waivers and Consents</w:t>
      </w:r>
      <w:r>
        <w:rPr>
          <w:rFonts w:ascii="Times New Roman" w:cs="Times New Roman" w:eastAsia="Times New Roman" w:hAnsi="Times New Roman"/>
          <w:sz w:val="17"/>
          <w:szCs w:val="17"/>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2" w:lineRule="exact"/>
        <w:rPr>
          <w:rFonts w:ascii="Times New Roman" w:cs="Times New Roman" w:eastAsia="Times New Roman" w:hAnsi="Times New Roman"/>
          <w:sz w:val="17"/>
          <w:szCs w:val="17"/>
          <w:color w:val="auto"/>
        </w:rPr>
      </w:pPr>
    </w:p>
    <w:p>
      <w:pPr>
        <w:jc w:val="both"/>
        <w:ind w:firstLine="628"/>
        <w:spacing w:after="0" w:line="274" w:lineRule="auto"/>
        <w:tabs>
          <w:tab w:leader="none" w:pos="118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both"/>
        <w:ind w:firstLine="628"/>
        <w:spacing w:after="0" w:line="264" w:lineRule="auto"/>
        <w:tabs>
          <w:tab w:leader="none" w:pos="114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3740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10.16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QUANTUM-SI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Amended on February 27, 2024)</w:t>
      </w:r>
    </w:p>
    <w:p>
      <w:pPr>
        <w:spacing w:after="0" w:line="200" w:lineRule="exact"/>
        <w:rPr>
          <w:sz w:val="20"/>
          <w:szCs w:val="20"/>
          <w:color w:val="auto"/>
        </w:rPr>
      </w:pPr>
    </w:p>
    <w:p>
      <w:pPr>
        <w:spacing w:after="0" w:line="23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Board of Directors of Quantum-Si Incorporated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approved the following Nonemployee Director Compensation Policy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to provide an inducement to obtain and retain the services of qualified persons to serve as members of the Company’s Board of Directors. The Policy establishes compensation to be paid to nonemployee directors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Applicable Persons</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This Policy shall apply to each director of the Company who is not an employee of the Company or any Affiliate (each, an “</w:t>
      </w:r>
      <w:r>
        <w:rPr>
          <w:rFonts w:ascii="Times New Roman" w:cs="Times New Roman" w:eastAsia="Times New Roman" w:hAnsi="Times New Roman"/>
          <w:sz w:val="17"/>
          <w:szCs w:val="17"/>
          <w:u w:val="single" w:color="auto"/>
          <w:color w:val="auto"/>
        </w:rPr>
        <w:t>Outside Director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an entity which is a direct or indirect parent or subsidiary of the Company, as determined pursuant to Section 424 of the Internal Revenue Code of 1986, as amended.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220" w:lineRule="exact"/>
        <w:rPr>
          <w:sz w:val="20"/>
          <w:szCs w:val="20"/>
          <w:color w:val="auto"/>
        </w:rPr>
      </w:pPr>
    </w:p>
    <w:p>
      <w:pPr>
        <w:ind w:left="320" w:hanging="316"/>
        <w:spacing w:after="0"/>
        <w:tabs>
          <w:tab w:leader="none" w:pos="3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Grants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u w:val="single" w:color="auto"/>
          <w:color w:val="auto"/>
        </w:rPr>
        <w:t>Annual Grants</w:t>
      </w:r>
    </w:p>
    <w:p>
      <w:pPr>
        <w:spacing w:after="0" w:line="220"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Each Outside Director shall be granted, automatically and without any action on the part of the Board of Directors, under the Company’s 2021 Equity Incentive Plan or a successor plan (the “</w:t>
      </w:r>
      <w:r>
        <w:rPr>
          <w:rFonts w:ascii="Times New Roman" w:cs="Times New Roman" w:eastAsia="Times New Roman" w:hAnsi="Times New Roman"/>
          <w:sz w:val="17"/>
          <w:szCs w:val="17"/>
          <w:u w:val="single" w:color="auto"/>
          <w:color w:val="auto"/>
        </w:rPr>
        <w:t>Equity Plan</w:t>
      </w:r>
      <w:r>
        <w:rPr>
          <w:rFonts w:ascii="Times New Roman" w:cs="Times New Roman" w:eastAsia="Times New Roman" w:hAnsi="Times New Roman"/>
          <w:sz w:val="17"/>
          <w:szCs w:val="17"/>
          <w:color w:val="auto"/>
        </w:rPr>
        <w:t>”), a number of non-qualified stock options (“</w:t>
      </w: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to purchase shares of the Company’s Class A common stock, par value $0.0001 per share (the “Common Stock”) having an aggregate grant date fair value of $145,000, valued based on a Black-Scholes valuation method (rounded down to the nearest whole share), each year beginning in 2024 on the first business day after the Company’s annual meeting of stockholders (the “</w:t>
      </w:r>
      <w:r>
        <w:rPr>
          <w:rFonts w:ascii="Times New Roman" w:cs="Times New Roman" w:eastAsia="Times New Roman" w:hAnsi="Times New Roman"/>
          <w:sz w:val="17"/>
          <w:szCs w:val="17"/>
          <w:u w:val="single" w:color="auto"/>
          <w:color w:val="auto"/>
        </w:rPr>
        <w:t>Annual Grant</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ind w:left="620" w:hanging="304"/>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Grants for Newly Appointed or Elected Directors</w:t>
      </w:r>
    </w:p>
    <w:p>
      <w:pPr>
        <w:spacing w:after="0" w:line="22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Each new Outside Director (including any Outside Director whose election to the Board of Directors was approved at the Company’s special meeting of stockholders on June 9, 2021) shall be granted, automatically and without any action on the part of the Board of Directors, under the Equity Plan, a number of restricted stock units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xml:space="preserve">”) (each RSU relating to one share of Common Stock, having an aggregate fair market value equal to $285,000, determined by </w:t>
      </w:r>
      <w:r>
        <w:rPr>
          <w:rFonts w:ascii="Times New Roman" w:cs="Times New Roman" w:eastAsia="Times New Roman" w:hAnsi="Times New Roman"/>
          <w:sz w:val="17"/>
          <w:szCs w:val="17"/>
          <w:u w:val="single" w:color="auto"/>
          <w:color w:val="auto"/>
        </w:rPr>
        <w:t>dividing</w:t>
      </w:r>
      <w:r>
        <w:rPr>
          <w:rFonts w:ascii="Times New Roman" w:cs="Times New Roman" w:eastAsia="Times New Roman" w:hAnsi="Times New Roman"/>
          <w:sz w:val="17"/>
          <w:szCs w:val="17"/>
          <w:color w:val="auto"/>
        </w:rPr>
        <w:t xml:space="preserve"> (A) $285,000 by (B) the closing price of the Common Stock on the Nasdaq Stock Market on the date of the grant (rounded down to the nearest whole share), on the first business day after the date that the Outside Director is first appointed or elected to the Board of Directors (the “</w:t>
      </w:r>
      <w:r>
        <w:rPr>
          <w:rFonts w:ascii="Times New Roman" w:cs="Times New Roman" w:eastAsia="Times New Roman" w:hAnsi="Times New Roman"/>
          <w:sz w:val="17"/>
          <w:szCs w:val="17"/>
          <w:u w:val="single" w:color="auto"/>
          <w:color w:val="auto"/>
        </w:rPr>
        <w:t>Initial Grant</w:t>
      </w:r>
      <w:r>
        <w:rPr>
          <w:rFonts w:ascii="Times New Roman" w:cs="Times New Roman" w:eastAsia="Times New Roman" w:hAnsi="Times New Roman"/>
          <w:sz w:val="17"/>
          <w:szCs w:val="17"/>
          <w:color w:val="auto"/>
        </w:rPr>
        <w:t>” and, together with the Annual Grants, the “</w:t>
      </w:r>
      <w:r>
        <w:rPr>
          <w:rFonts w:ascii="Times New Roman" w:cs="Times New Roman" w:eastAsia="Times New Roman" w:hAnsi="Times New Roman"/>
          <w:sz w:val="17"/>
          <w:szCs w:val="17"/>
          <w:u w:val="single" w:color="auto"/>
          <w:color w:val="auto"/>
        </w:rPr>
        <w:t>Outside Director Grants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20" w:hanging="304"/>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of Outside Director Grants</w:t>
      </w:r>
    </w:p>
    <w:p>
      <w:pPr>
        <w:spacing w:after="0" w:line="220"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Unless otherwise specified by the Board of Directors or the Compensation Committee at the time of grant, each Outside Director Grant shall: (i) vest, in the case of (A) an Annual Grant, at the end of the “</w:t>
      </w:r>
      <w:r>
        <w:rPr>
          <w:rFonts w:ascii="Times New Roman" w:cs="Times New Roman" w:eastAsia="Times New Roman" w:hAnsi="Times New Roman"/>
          <w:sz w:val="17"/>
          <w:szCs w:val="17"/>
          <w:u w:val="single" w:color="auto"/>
          <w:color w:val="auto"/>
        </w:rPr>
        <w:t>Directors’ Compensation Year</w:t>
      </w:r>
      <w:r>
        <w:rPr>
          <w:rFonts w:ascii="Times New Roman" w:cs="Times New Roman" w:eastAsia="Times New Roman" w:hAnsi="Times New Roman"/>
          <w:sz w:val="17"/>
          <w:szCs w:val="17"/>
          <w:color w:val="auto"/>
        </w:rPr>
        <w:t>,” which shall be defined as the period beginning on the date of each regular Annual Stockholders Meeting and ending on the date of the next regular Annual Stockholders Meeting, subject to the Outside Director’s continued service on the Board of Directors through the applicable Directors’ Compensation Year, and (B) an Initial Grant, in equal annual installments over three years from the date of the grant, subject to the Outside Director’s continued service on the Board of Directors on the applicable vesting dates; and (ii) be granted under the Company’s standard form of agreement unless on or prior to the date of grant the Board of Directors or the Compensation Committee shall determine that other terms or conditions shall be applicable.</w:t>
      </w:r>
    </w:p>
    <w:p>
      <w:pPr>
        <w:spacing w:after="0" w:line="173" w:lineRule="exact"/>
        <w:rPr>
          <w:sz w:val="20"/>
          <w:szCs w:val="20"/>
          <w:color w:val="auto"/>
        </w:rPr>
      </w:pPr>
    </w:p>
    <w:p>
      <w:pPr>
        <w:ind w:left="780" w:hanging="776"/>
        <w:spacing w:after="0"/>
        <w:tabs>
          <w:tab w:leader="none" w:pos="78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Fees</w:t>
      </w:r>
    </w:p>
    <w:p>
      <w:pPr>
        <w:spacing w:after="0" w:line="222"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Cash Fees</w:t>
      </w:r>
    </w:p>
    <w:p>
      <w:pPr>
        <w:spacing w:after="0" w:line="22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Each Outside Director will receive an annual cash retainer fee in the amount of $50,000, and the following additional annual cash fees shall be paid to the Outside Directors serving as the Chairman of the Board of Directors and on the Audit Committee, Compensation Committee and Nominating and Governance Committee, as applicable (collectively, the “</w:t>
      </w:r>
      <w:r>
        <w:rPr>
          <w:rFonts w:ascii="Times New Roman" w:cs="Times New Roman" w:eastAsia="Times New Roman" w:hAnsi="Times New Roman"/>
          <w:sz w:val="17"/>
          <w:szCs w:val="17"/>
          <w:u w:val="single" w:color="auto"/>
          <w:color w:val="auto"/>
        </w:rPr>
        <w:t>Annual Fees</w:t>
      </w:r>
      <w:r>
        <w:rPr>
          <w:rFonts w:ascii="Times New Roman" w:cs="Times New Roman" w:eastAsia="Times New Roman" w:hAnsi="Times New Roman"/>
          <w:sz w:val="17"/>
          <w:szCs w:val="17"/>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Annual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Annual</w:t>
            </w:r>
          </w:p>
        </w:tc>
      </w:tr>
      <w:tr>
        <w:trPr>
          <w:trHeight w:val="208"/>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Retainer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Retainer</w:t>
            </w:r>
          </w:p>
        </w:tc>
      </w:tr>
      <w:tr>
        <w:trPr>
          <w:trHeight w:val="208"/>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Amount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Amount for</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Board of Directors or Committee of Board of Directors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Chair</w:t>
            </w: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Other Members</w:t>
            </w:r>
          </w:p>
        </w:tc>
      </w:tr>
      <w:tr>
        <w:trPr>
          <w:trHeight w:val="208"/>
        </w:trPr>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Board of Directors (additional Chairman retainer)</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4"/>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208"/>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20,000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20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15,000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7,500</w:t>
            </w:r>
          </w:p>
        </w:tc>
      </w:tr>
      <w:tr>
        <w:trPr>
          <w:trHeight w:val="226"/>
        </w:trPr>
        <w:tc>
          <w:tcPr>
            <w:tcW w:w="854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Governance Committee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w:t>
            </w:r>
          </w:p>
        </w:tc>
      </w:tr>
    </w:tbl>
    <w:p>
      <w:pPr>
        <w:spacing w:after="0" w:line="200" w:lineRule="exact"/>
        <w:rPr>
          <w:sz w:val="20"/>
          <w:szCs w:val="20"/>
          <w:color w:val="auto"/>
        </w:rPr>
      </w:pPr>
    </w:p>
    <w:p>
      <w:pPr>
        <w:sectPr>
          <w:pgSz w:w="11900" w:h="16838" w:orient="portrait"/>
          <w:cols w:equalWidth="0" w:num="1">
            <w:col w:w="11240"/>
          </w:cols>
          <w:pgMar w:left="320" w:top="262" w:right="3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713740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type w:val="continuous"/>
        </w:sectPr>
      </w:pPr>
    </w:p>
    <w:bookmarkStart w:id="129" w:name="page130"/>
    <w:bookmarkEnd w:id="129"/>
    <w:p>
      <w:pPr>
        <w:ind w:left="620" w:hanging="304"/>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Terms for All Cash Fees</w:t>
      </w:r>
    </w:p>
    <w:p>
      <w:pPr>
        <w:spacing w:after="0" w:line="22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Annual Fees payable to Outside Directors shall be paid quarterly in arrears as soon as practicable following the last business day of each fiscal quarter, prorated for the number of days during which he or she provided service.</w:t>
      </w:r>
    </w:p>
    <w:p>
      <w:pPr>
        <w:spacing w:after="0" w:line="146"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Following an Outside Director’s first election or appointment to the Board of Directors, such Outside Director shall receive his or her cash compensation prorated during the first fiscal quarter in which he or she was initially appointed or elected for the number of days during which he or she provides service. If an Outside Director dies, resigns or is removed during any quarter, he or she shall be entitled to a cash payment on a prorated basis through his or her last day of service that shall be paid as soon as practicable following the last business day of the fiscal quarter.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Expenses</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Upon presentation of documentation of such expenses reasonably satisfactory to the Company, each Outside Director shall be reimbursed for his or her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Compensation Committee or the Board of Directors shall review this Policy from time to time to assess whether any amendments in the type and amount of compensation provided herein should be adjusted in order to fulfill the objectives of this Policy.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713740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333-259271, 333-263154, 333-268301, 333-270630 and 333-273350 on Form S-8 and Registration Statement Nos. 333-257676, 333-263514 and 333-273934 on Form S-3 of our report dated February 29, 2024, relating to the financial statements of Quantum-Si Incorporated, appearing in this Annual Report on Form 10-K of Quantum-Si Incorporated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713740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302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Hawkins, certify that:</w:t>
      </w:r>
    </w:p>
    <w:p>
      <w:pPr>
        <w:spacing w:after="0" w:line="220" w:lineRule="exact"/>
        <w:rPr>
          <w:sz w:val="20"/>
          <w:szCs w:val="20"/>
          <w:color w:val="auto"/>
        </w:rPr>
      </w:pPr>
    </w:p>
    <w:p>
      <w:pPr>
        <w:ind w:left="320" w:hanging="316"/>
        <w:spacing w:after="0"/>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Quantum-Si Incorporated;</w:t>
      </w:r>
    </w:p>
    <w:p>
      <w:pPr>
        <w:spacing w:after="0" w:line="220"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left="320" w:hanging="316"/>
        <w:spacing w:after="0" w:line="274"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29,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14566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214566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Hawkins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713740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302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Jeffry Keyes, certify that:</w:t>
      </w:r>
    </w:p>
    <w:p>
      <w:pPr>
        <w:spacing w:after="0" w:line="220" w:lineRule="exact"/>
        <w:rPr>
          <w:sz w:val="20"/>
          <w:szCs w:val="20"/>
          <w:color w:val="auto"/>
        </w:rPr>
      </w:pPr>
    </w:p>
    <w:p>
      <w:pPr>
        <w:ind w:left="320" w:hanging="316"/>
        <w:spacing w:after="0"/>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Quantum-Si Incorporated;</w:t>
      </w:r>
    </w:p>
    <w:p>
      <w:pPr>
        <w:spacing w:after="0" w:line="220"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left="320" w:hanging="316"/>
        <w:spacing w:after="0" w:line="274" w:lineRule="auto"/>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29,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14566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2145665"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Jeffry Keyes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713740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CERTIFICATIONS UNDER SECTION 906</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Annual Report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Dated: February 29,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20955</wp:posOffset>
            </wp:positionV>
            <wp:extent cx="356489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3564890" cy="16510"/>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Jeffrey Hawkins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Dated: February 29,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20955</wp:posOffset>
            </wp:positionV>
            <wp:extent cx="356489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3564890" cy="16510"/>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Jeffry Keyes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713740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252525"/>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97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52525"/>
        </w:rPr>
        <w:t>QUANTUM-SI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52525"/>
        </w:rPr>
        <w:t>CLAWBACK POLICY</w:t>
      </w:r>
    </w:p>
    <w:p>
      <w:pPr>
        <w:spacing w:after="0" w:line="33" w:lineRule="exact"/>
        <w:rPr>
          <w:sz w:val="20"/>
          <w:szCs w:val="20"/>
          <w:color w:val="auto"/>
        </w:rPr>
      </w:pPr>
    </w:p>
    <w:p>
      <w:pPr>
        <w:ind w:left="620" w:hanging="616"/>
        <w:spacing w:after="0"/>
        <w:tabs>
          <w:tab w:leader="none" w:pos="62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Introduction</w:t>
      </w:r>
    </w:p>
    <w:p>
      <w:pPr>
        <w:spacing w:after="0" w:line="200"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color w:val="252525"/>
        </w:rPr>
        <w:t>The Board of Directors (the “</w:t>
      </w:r>
      <w:r>
        <w:rPr>
          <w:rFonts w:ascii="Times New Roman" w:cs="Times New Roman" w:eastAsia="Times New Roman" w:hAnsi="Times New Roman"/>
          <w:sz w:val="17"/>
          <w:szCs w:val="17"/>
          <w:b w:val="1"/>
          <w:bCs w:val="1"/>
          <w:color w:val="252525"/>
        </w:rPr>
        <w:t>Board</w:t>
      </w:r>
      <w:r>
        <w:rPr>
          <w:rFonts w:ascii="Times New Roman" w:cs="Times New Roman" w:eastAsia="Times New Roman" w:hAnsi="Times New Roman"/>
          <w:sz w:val="17"/>
          <w:szCs w:val="17"/>
          <w:color w:val="252525"/>
        </w:rPr>
        <w:t>”) of Quantum-Si Incorporated (the “</w:t>
      </w:r>
      <w:r>
        <w:rPr>
          <w:rFonts w:ascii="Times New Roman" w:cs="Times New Roman" w:eastAsia="Times New Roman" w:hAnsi="Times New Roman"/>
          <w:sz w:val="17"/>
          <w:szCs w:val="17"/>
          <w:b w:val="1"/>
          <w:bCs w:val="1"/>
          <w:color w:val="252525"/>
        </w:rPr>
        <w:t>Company</w:t>
      </w:r>
      <w:r>
        <w:rPr>
          <w:rFonts w:ascii="Times New Roman" w:cs="Times New Roman" w:eastAsia="Times New Roman" w:hAnsi="Times New Roman"/>
          <w:sz w:val="17"/>
          <w:szCs w:val="17"/>
          <w:color w:val="252525"/>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cs="Times New Roman" w:eastAsia="Times New Roman" w:hAnsi="Times New Roman"/>
          <w:sz w:val="17"/>
          <w:szCs w:val="17"/>
          <w:b w:val="1"/>
          <w:bCs w:val="1"/>
          <w:color w:val="252525"/>
        </w:rPr>
        <w:t>Policy</w:t>
      </w:r>
      <w:r>
        <w:rPr>
          <w:rFonts w:ascii="Times New Roman" w:cs="Times New Roman" w:eastAsia="Times New Roman" w:hAnsi="Times New Roman"/>
          <w:sz w:val="17"/>
          <w:szCs w:val="17"/>
          <w:color w:val="252525"/>
        </w:rPr>
        <w:t>”). This Policy is designed to comply with Section 10D of the Securities Exchange Act of 1934, as amended (the “</w:t>
      </w:r>
      <w:r>
        <w:rPr>
          <w:rFonts w:ascii="Times New Roman" w:cs="Times New Roman" w:eastAsia="Times New Roman" w:hAnsi="Times New Roman"/>
          <w:sz w:val="17"/>
          <w:szCs w:val="17"/>
          <w:b w:val="1"/>
          <w:bCs w:val="1"/>
          <w:color w:val="252525"/>
        </w:rPr>
        <w:t>Exchange Act</w:t>
      </w:r>
      <w:r>
        <w:rPr>
          <w:rFonts w:ascii="Times New Roman" w:cs="Times New Roman" w:eastAsia="Times New Roman" w:hAnsi="Times New Roman"/>
          <w:sz w:val="17"/>
          <w:szCs w:val="17"/>
          <w:color w:val="252525"/>
        </w:rPr>
        <w:t>”) and final rules and amendments adopted by the Securities and Exchange Commission (the “</w:t>
      </w:r>
      <w:r>
        <w:rPr>
          <w:rFonts w:ascii="Times New Roman" w:cs="Times New Roman" w:eastAsia="Times New Roman" w:hAnsi="Times New Roman"/>
          <w:sz w:val="17"/>
          <w:szCs w:val="17"/>
          <w:b w:val="1"/>
          <w:bCs w:val="1"/>
          <w:color w:val="252525"/>
        </w:rPr>
        <w:t>SEC</w:t>
      </w:r>
      <w:r>
        <w:rPr>
          <w:rFonts w:ascii="Times New Roman" w:cs="Times New Roman" w:eastAsia="Times New Roman" w:hAnsi="Times New Roman"/>
          <w:sz w:val="17"/>
          <w:szCs w:val="17"/>
          <w:color w:val="252525"/>
        </w:rPr>
        <w:t>”) to implement the aforementioned legislation.</w:t>
      </w:r>
    </w:p>
    <w:p>
      <w:pPr>
        <w:spacing w:after="0" w:line="170" w:lineRule="exact"/>
        <w:rPr>
          <w:sz w:val="20"/>
          <w:szCs w:val="20"/>
          <w:color w:val="auto"/>
        </w:rPr>
      </w:pPr>
    </w:p>
    <w:p>
      <w:pPr>
        <w:ind w:left="620" w:hanging="616"/>
        <w:spacing w:after="0"/>
        <w:tabs>
          <w:tab w:leader="none" w:pos="62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w:t>
      </w:r>
    </w:p>
    <w:p>
      <w:pPr>
        <w:spacing w:after="0" w:line="222" w:lineRule="exact"/>
        <w:rPr>
          <w:sz w:val="20"/>
          <w:szCs w:val="20"/>
          <w:color w:val="auto"/>
        </w:rPr>
      </w:pPr>
    </w:p>
    <w:p>
      <w:pPr>
        <w:ind w:right="60" w:firstLine="624"/>
        <w:spacing w:after="0" w:line="274" w:lineRule="auto"/>
        <w:rPr>
          <w:sz w:val="20"/>
          <w:szCs w:val="20"/>
          <w:color w:val="auto"/>
        </w:rPr>
      </w:pPr>
      <w:r>
        <w:rPr>
          <w:rFonts w:ascii="Times New Roman" w:cs="Times New Roman" w:eastAsia="Times New Roman" w:hAnsi="Times New Roman"/>
          <w:sz w:val="17"/>
          <w:szCs w:val="17"/>
          <w:color w:val="252525"/>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spacing w:after="0" w:line="160" w:lineRule="exact"/>
        <w:rPr>
          <w:sz w:val="20"/>
          <w:szCs w:val="20"/>
          <w:color w:val="auto"/>
        </w:rPr>
      </w:pPr>
    </w:p>
    <w:p>
      <w:pPr>
        <w:ind w:left="620" w:hanging="616"/>
        <w:spacing w:after="0"/>
        <w:tabs>
          <w:tab w:leader="none" w:pos="62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Covered Executives</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 w:cs="Times New Roman" w:eastAsia="Times New Roman" w:hAnsi="Times New Roman"/>
          <w:sz w:val="17"/>
          <w:szCs w:val="17"/>
          <w:b w:val="1"/>
          <w:bCs w:val="1"/>
          <w:color w:val="252525"/>
        </w:rPr>
        <w:t>Covered Executives</w:t>
      </w:r>
      <w:r>
        <w:rPr>
          <w:rFonts w:ascii="Times New Roman" w:cs="Times New Roman" w:eastAsia="Times New Roman" w:hAnsi="Times New Roman"/>
          <w:sz w:val="17"/>
          <w:szCs w:val="17"/>
          <w:color w:val="252525"/>
        </w:rPr>
        <w:t>”).</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7"/>
          <w:szCs w:val="17"/>
          <w:b w:val="1"/>
          <w:bCs w:val="1"/>
          <w:u w:val="single" w:color="auto"/>
          <w:color w:val="auto"/>
        </w:rPr>
        <w:t>Incentive-Based Compensation</w:t>
      </w:r>
    </w:p>
    <w:p>
      <w:pPr>
        <w:spacing w:after="0" w:line="220"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252525"/>
        </w:rPr>
        <w:t>For purposes of this Policy, incentive-based compensation (“</w:t>
      </w:r>
      <w:r>
        <w:rPr>
          <w:rFonts w:ascii="Times New Roman" w:cs="Times New Roman" w:eastAsia="Times New Roman" w:hAnsi="Times New Roman"/>
          <w:sz w:val="17"/>
          <w:szCs w:val="17"/>
          <w:b w:val="1"/>
          <w:bCs w:val="1"/>
          <w:color w:val="252525"/>
        </w:rPr>
        <w:t>Incentive-Based Compensation</w:t>
      </w:r>
      <w:r>
        <w:rPr>
          <w:rFonts w:ascii="Times New Roman" w:cs="Times New Roman" w:eastAsia="Times New Roman" w:hAnsi="Times New Roman"/>
          <w:sz w:val="17"/>
          <w:szCs w:val="17"/>
          <w:color w:val="252525"/>
        </w:rPr>
        <w:t>”) includes any compensation that is granted, earned, or vested based wholly or in part upon the attainment of any financial reporting measures that are determined and presented in accordance with the accounting principles (“</w:t>
      </w:r>
      <w:r>
        <w:rPr>
          <w:rFonts w:ascii="Times New Roman" w:cs="Times New Roman" w:eastAsia="Times New Roman" w:hAnsi="Times New Roman"/>
          <w:sz w:val="17"/>
          <w:szCs w:val="17"/>
          <w:b w:val="1"/>
          <w:bCs w:val="1"/>
          <w:color w:val="252525"/>
        </w:rPr>
        <w:t>GAAP Measures</w:t>
      </w:r>
      <w:r>
        <w:rPr>
          <w:rFonts w:ascii="Times New Roman" w:cs="Times New Roman" w:eastAsia="Times New Roman" w:hAnsi="Times New Roman"/>
          <w:sz w:val="17"/>
          <w:szCs w:val="17"/>
          <w:color w:val="252525"/>
        </w:rPr>
        <w:t>”) used in preparing the Company’s financial statements and any measures derived wholly or in part from such measures, as well as non-GAAP Measures, stock price, and total shareholder return (collectively, “</w:t>
      </w:r>
      <w:r>
        <w:rPr>
          <w:rFonts w:ascii="Times New Roman" w:cs="Times New Roman" w:eastAsia="Times New Roman" w:hAnsi="Times New Roman"/>
          <w:sz w:val="17"/>
          <w:szCs w:val="17"/>
          <w:b w:val="1"/>
          <w:bCs w:val="1"/>
          <w:color w:val="252525"/>
        </w:rPr>
        <w:t>Financial Reporting Measures</w:t>
      </w:r>
      <w:r>
        <w:rPr>
          <w:rFonts w:ascii="Times New Roman" w:cs="Times New Roman" w:eastAsia="Times New Roman" w:hAnsi="Times New Roman"/>
          <w:sz w:val="17"/>
          <w:szCs w:val="17"/>
          <w:color w:val="252525"/>
        </w:rPr>
        <w:t>”); however, it does not include: (i) base salaries;</w:t>
      </w:r>
    </w:p>
    <w:p>
      <w:pPr>
        <w:spacing w:after="0" w:line="2" w:lineRule="exact"/>
        <w:rPr>
          <w:sz w:val="20"/>
          <w:szCs w:val="20"/>
          <w:color w:val="auto"/>
        </w:rPr>
      </w:pPr>
    </w:p>
    <w:p>
      <w:pPr>
        <w:jc w:val="both"/>
        <w:ind w:firstLine="4"/>
        <w:spacing w:after="0" w:line="259" w:lineRule="auto"/>
        <w:tabs>
          <w:tab w:leader="none" w:pos="261" w:val="left"/>
        </w:tabs>
        <w:numPr>
          <w:ilvl w:val="0"/>
          <w:numId w:val="69"/>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discretionary cash bonuses; (iii) awards (either cash or equity) that are solely based upon subjective, strategic or operational standards or standards unrelated to Financial Reporting Measures, and (iv) equity awards that vest solely on completion of a specified employment period or without any performance condition.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an award continues to be subject to the time-based vesting conditions.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52525"/>
        </w:rPr>
        <w:t>For the purposes of this Policy, Incentive-Based Compensation may include, among other things, any of the following:</w:t>
      </w:r>
    </w:p>
    <w:p>
      <w:pPr>
        <w:spacing w:after="0" w:line="220" w:lineRule="exact"/>
        <w:rPr>
          <w:sz w:val="20"/>
          <w:szCs w:val="20"/>
          <w:color w:val="auto"/>
        </w:rPr>
      </w:pPr>
    </w:p>
    <w:p>
      <w:pPr>
        <w:ind w:left="940" w:hanging="312"/>
        <w:spacing w:after="0"/>
        <w:tabs>
          <w:tab w:leader="none" w:pos="940" w:val="left"/>
        </w:tabs>
        <w:numPr>
          <w:ilvl w:val="0"/>
          <w:numId w:val="70"/>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Annual bonuses and other short- and long-term cash incentives.</w:t>
      </w:r>
    </w:p>
    <w:p>
      <w:pPr>
        <w:spacing w:after="0" w:line="30"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0"/>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Stock options.</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0"/>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Stock appreciation rights.</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0"/>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Restricted stock or restricted stock units.</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0"/>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Performance shares or performance units.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52525"/>
        </w:rPr>
        <w:t>For purposes of this Policy, Financial Reporting Measures may include, among other things, any of the following:</w:t>
      </w:r>
    </w:p>
    <w:p>
      <w:pPr>
        <w:spacing w:after="0" w:line="220" w:lineRule="exact"/>
        <w:rPr>
          <w:sz w:val="20"/>
          <w:szCs w:val="20"/>
          <w:color w:val="auto"/>
        </w:rPr>
      </w:pPr>
    </w:p>
    <w:p>
      <w:pPr>
        <w:ind w:left="940" w:hanging="312"/>
        <w:spacing w:after="0"/>
        <w:tabs>
          <w:tab w:leader="none" w:pos="940" w:val="left"/>
        </w:tabs>
        <w:numPr>
          <w:ilvl w:val="0"/>
          <w:numId w:val="71"/>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Company stock price.</w:t>
      </w:r>
    </w:p>
    <w:p>
      <w:pPr>
        <w:spacing w:after="0" w:line="30"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1"/>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Total shareholder return.</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1"/>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Revenues.</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1"/>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3740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35" w:name="page136"/>
    <w:bookmarkEnd w:id="135"/>
    <w:p>
      <w:pPr>
        <w:ind w:left="940" w:hanging="312"/>
        <w:spacing w:after="0"/>
        <w:tabs>
          <w:tab w:leader="none" w:pos="940" w:val="left"/>
        </w:tabs>
        <w:numPr>
          <w:ilvl w:val="1"/>
          <w:numId w:val="72"/>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Earnings before interest, taxes, depreciation, and amortization (EBITDA).</w:t>
      </w:r>
    </w:p>
    <w:p>
      <w:pPr>
        <w:spacing w:after="0" w:line="30"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1"/>
          <w:numId w:val="72"/>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Funds from operations.</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1"/>
          <w:numId w:val="72"/>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Liquidity measures such as working capital or operating cash flow.</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1"/>
          <w:numId w:val="72"/>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Return measures such as return on invested capital or return on assets.</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1"/>
          <w:numId w:val="72"/>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Earnings measures such as earnings per share.</w:t>
      </w:r>
    </w:p>
    <w:p>
      <w:pPr>
        <w:spacing w:after="0" w:line="199" w:lineRule="exact"/>
        <w:rPr>
          <w:rFonts w:ascii="Times New Roman" w:cs="Times New Roman" w:eastAsia="Times New Roman" w:hAnsi="Times New Roman"/>
          <w:sz w:val="17"/>
          <w:szCs w:val="17"/>
          <w:color w:val="252525"/>
        </w:rPr>
      </w:pPr>
    </w:p>
    <w:p>
      <w:pPr>
        <w:ind w:left="620" w:hanging="616"/>
        <w:spacing w:after="0"/>
        <w:tabs>
          <w:tab w:leader="none" w:pos="62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Recoupment; Accounting Restatement</w:t>
      </w:r>
    </w:p>
    <w:p>
      <w:pPr>
        <w:spacing w:after="0" w:line="222"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252525"/>
        </w:rPr>
        <w:t>In the event the Company is required to prepare an accounting restatement of its financial statements due to the Company’s material noncompliance with</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52525"/>
        </w:rPr>
        <w:t>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 w:cs="Times New Roman" w:eastAsia="Times New Roman" w:hAnsi="Times New Roman"/>
          <w:sz w:val="17"/>
          <w:szCs w:val="17"/>
          <w:b w:val="1"/>
          <w:bCs w:val="1"/>
          <w:color w:val="252525"/>
        </w:rPr>
        <w:t>Look-Back Period</w:t>
      </w:r>
      <w:r>
        <w:rPr>
          <w:rFonts w:ascii="Times New Roman" w:cs="Times New Roman" w:eastAsia="Times New Roman" w:hAnsi="Times New Roman"/>
          <w:sz w:val="17"/>
          <w:szCs w:val="17"/>
          <w:color w:val="252525"/>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 The Company’s obligation to recover erroneously awarded compensation is not dependent on if or when the restated financial statements are filed.</w:t>
      </w:r>
    </w:p>
    <w:p>
      <w:pPr>
        <w:spacing w:after="0" w:line="177"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252525"/>
        </w:rPr>
        <w:t>Recovery of the Incentive-Based Compensation is only required when the excess award is received by a Covered Executive (i) after the beginning of their service as a Covered Executive, (ii) who served as an executive officer at any time during the performance period for that Incentive-Based Compensation,</w:t>
      </w:r>
    </w:p>
    <w:p>
      <w:pPr>
        <w:spacing w:after="0" w:line="1" w:lineRule="exact"/>
        <w:rPr>
          <w:sz w:val="20"/>
          <w:szCs w:val="20"/>
          <w:color w:val="auto"/>
        </w:rPr>
      </w:pPr>
    </w:p>
    <w:p>
      <w:pPr>
        <w:ind w:firstLine="4"/>
        <w:spacing w:after="0" w:line="270" w:lineRule="auto"/>
        <w:tabs>
          <w:tab w:leader="none" w:pos="303" w:val="left"/>
        </w:tabs>
        <w:numPr>
          <w:ilvl w:val="0"/>
          <w:numId w:val="73"/>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while the Company has a class of securities listed on a national securities exchange or a national securities association, and (iv) during the Look-Back Period immediately preceding the date on which the Company is required to prepare an accounting restatement.</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7"/>
          <w:szCs w:val="17"/>
          <w:b w:val="1"/>
          <w:bCs w:val="1"/>
          <w:u w:val="single" w:color="auto"/>
          <w:color w:val="auto"/>
        </w:rPr>
        <w:t>Excess Incentive Compensation: Amount Subject to Recovery</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252525"/>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spacing w:after="0" w:line="17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252525"/>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VII.</w:t>
      </w:r>
      <w:r>
        <w:rPr>
          <w:sz w:val="20"/>
          <w:szCs w:val="20"/>
          <w:color w:val="auto"/>
        </w:rPr>
        <w:tab/>
      </w:r>
      <w:r>
        <w:rPr>
          <w:rFonts w:ascii="Times New Roman" w:cs="Times New Roman" w:eastAsia="Times New Roman" w:hAnsi="Times New Roman"/>
          <w:sz w:val="17"/>
          <w:szCs w:val="17"/>
          <w:b w:val="1"/>
          <w:bCs w:val="1"/>
          <w:u w:val="single" w:color="auto"/>
          <w:color w:val="auto"/>
        </w:rPr>
        <w:t>Method of Recoupment</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252525"/>
        </w:rPr>
        <w:t>The Board will determine, in its sole discretion, subject to applicable law, the method for recouping Incentive-Based Compensation hereunder, which may include, without limitation:</w:t>
      </w:r>
    </w:p>
    <w:p>
      <w:pPr>
        <w:spacing w:after="0" w:line="146" w:lineRule="exact"/>
        <w:rPr>
          <w:sz w:val="20"/>
          <w:szCs w:val="20"/>
          <w:color w:val="auto"/>
        </w:rPr>
      </w:pPr>
    </w:p>
    <w:p>
      <w:pPr>
        <w:ind w:left="940" w:hanging="312"/>
        <w:spacing w:after="0"/>
        <w:tabs>
          <w:tab w:leader="none" w:pos="940" w:val="left"/>
        </w:tabs>
        <w:numPr>
          <w:ilvl w:val="0"/>
          <w:numId w:val="7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requiring reimbursement of cash Incentive-Based Compensation previously paid;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ind w:left="940" w:hanging="312"/>
        <w:spacing w:after="0"/>
        <w:tabs>
          <w:tab w:leader="none" w:pos="940" w:val="left"/>
        </w:tabs>
        <w:numPr>
          <w:ilvl w:val="0"/>
          <w:numId w:val="75"/>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seeking recovery of any gain realized on the vesting, exercise, settlement, sale, transfer, or other disposition of any equity-based awards;</w:t>
      </w:r>
    </w:p>
    <w:p>
      <w:pPr>
        <w:spacing w:after="0" w:line="30"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5"/>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offsetting the recouped amount from any compensation otherwise owed by the Company to the Covered Executive;</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5"/>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cancelling outstanding vested or unvested equity awards; and/or</w:t>
      </w:r>
    </w:p>
    <w:p>
      <w:pPr>
        <w:spacing w:after="0" w:line="12" w:lineRule="exact"/>
        <w:rPr>
          <w:rFonts w:ascii="Times New Roman" w:cs="Times New Roman" w:eastAsia="Times New Roman" w:hAnsi="Times New Roman"/>
          <w:sz w:val="17"/>
          <w:szCs w:val="17"/>
          <w:color w:val="252525"/>
        </w:rPr>
      </w:pPr>
    </w:p>
    <w:p>
      <w:pPr>
        <w:ind w:left="940" w:hanging="312"/>
        <w:spacing w:after="0"/>
        <w:tabs>
          <w:tab w:leader="none" w:pos="940" w:val="left"/>
        </w:tabs>
        <w:numPr>
          <w:ilvl w:val="0"/>
          <w:numId w:val="75"/>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taking any other remedial and recovery action permitted by law, as determined by the Board.</w:t>
      </w:r>
    </w:p>
    <w:p>
      <w:pPr>
        <w:spacing w:after="0" w:line="20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VIII.</w:t>
      </w:r>
      <w:r>
        <w:rPr>
          <w:sz w:val="20"/>
          <w:szCs w:val="20"/>
          <w:color w:val="auto"/>
        </w:rPr>
        <w:tab/>
      </w:r>
      <w:r>
        <w:rPr>
          <w:rFonts w:ascii="Times New Roman" w:cs="Times New Roman" w:eastAsia="Times New Roman" w:hAnsi="Times New Roman"/>
          <w:sz w:val="17"/>
          <w:szCs w:val="17"/>
          <w:b w:val="1"/>
          <w:bCs w:val="1"/>
          <w:u w:val="single" w:color="auto"/>
          <w:color w:val="auto"/>
        </w:rPr>
        <w:t>No Indemnification; Successors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252525"/>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IX.</w:t>
      </w:r>
      <w:r>
        <w:rPr>
          <w:sz w:val="20"/>
          <w:szCs w:val="20"/>
          <w:color w:val="auto"/>
        </w:rPr>
        <w:tab/>
      </w:r>
      <w:r>
        <w:rPr>
          <w:rFonts w:ascii="Times New Roman" w:cs="Times New Roman" w:eastAsia="Times New Roman" w:hAnsi="Times New Roman"/>
          <w:sz w:val="17"/>
          <w:szCs w:val="17"/>
          <w:b w:val="1"/>
          <w:bCs w:val="1"/>
          <w:u w:val="single" w:color="auto"/>
          <w:color w:val="auto"/>
        </w:rPr>
        <w:t>Exception to Enforcement</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The Board shall recover any excess Incentive-Based Compensation in accordance with this Policy unless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spacing w:after="0" w:line="160" w:lineRule="exact"/>
        <w:rPr>
          <w:sz w:val="20"/>
          <w:szCs w:val="20"/>
          <w:color w:val="auto"/>
        </w:rPr>
      </w:pPr>
    </w:p>
    <w:p>
      <w:pPr>
        <w:ind w:left="620" w:hanging="616"/>
        <w:spacing w:after="0"/>
        <w:tabs>
          <w:tab w:leader="none" w:pos="6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Interpretation</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XI.</w:t>
      </w:r>
      <w:r>
        <w:rPr>
          <w:sz w:val="20"/>
          <w:szCs w:val="20"/>
          <w:color w:val="auto"/>
        </w:rPr>
        <w:tab/>
      </w:r>
      <w:r>
        <w:rPr>
          <w:rFonts w:ascii="Times New Roman" w:cs="Times New Roman" w:eastAsia="Times New Roman" w:hAnsi="Times New Roman"/>
          <w:sz w:val="17"/>
          <w:szCs w:val="17"/>
          <w:b w:val="1"/>
          <w:bCs w:val="1"/>
          <w:u w:val="single" w:color="auto"/>
          <w:color w:val="auto"/>
        </w:rPr>
        <w:t>Effective Date</w:t>
      </w:r>
    </w:p>
    <w:p>
      <w:pPr>
        <w:spacing w:after="0" w:line="220" w:lineRule="exact"/>
        <w:rPr>
          <w:sz w:val="20"/>
          <w:szCs w:val="20"/>
          <w:color w:val="auto"/>
        </w:rPr>
      </w:pPr>
    </w:p>
    <w:p>
      <w:pPr>
        <w:jc w:val="both"/>
        <w:ind w:firstLine="624"/>
        <w:spacing w:after="0" w:line="275" w:lineRule="auto"/>
        <w:rPr>
          <w:sz w:val="20"/>
          <w:szCs w:val="20"/>
          <w:color w:val="auto"/>
        </w:rPr>
      </w:pPr>
      <w:r>
        <w:rPr>
          <w:rFonts w:ascii="Times New Roman" w:cs="Times New Roman" w:eastAsia="Times New Roman" w:hAnsi="Times New Roman"/>
          <w:sz w:val="17"/>
          <w:szCs w:val="17"/>
          <w:color w:val="252525"/>
        </w:rPr>
        <w:t>This Policy shall be effective as of the date it is adopted by the Board (the “</w:t>
      </w:r>
      <w:r>
        <w:rPr>
          <w:rFonts w:ascii="Times New Roman" w:cs="Times New Roman" w:eastAsia="Times New Roman" w:hAnsi="Times New Roman"/>
          <w:sz w:val="17"/>
          <w:szCs w:val="17"/>
          <w:b w:val="1"/>
          <w:bCs w:val="1"/>
          <w:color w:val="252525"/>
        </w:rPr>
        <w:t>Effective Date</w:t>
      </w:r>
      <w:r>
        <w:rPr>
          <w:rFonts w:ascii="Times New Roman" w:cs="Times New Roman" w:eastAsia="Times New Roman" w:hAnsi="Times New Roman"/>
          <w:sz w:val="17"/>
          <w:szCs w:val="17"/>
          <w:color w:val="252525"/>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XII.</w:t>
      </w:r>
      <w:r>
        <w:rPr>
          <w:sz w:val="20"/>
          <w:szCs w:val="20"/>
          <w:color w:val="auto"/>
        </w:rPr>
        <w:tab/>
      </w:r>
      <w:r>
        <w:rPr>
          <w:rFonts w:ascii="Times New Roman" w:cs="Times New Roman" w:eastAsia="Times New Roman" w:hAnsi="Times New Roman"/>
          <w:sz w:val="17"/>
          <w:szCs w:val="17"/>
          <w:b w:val="1"/>
          <w:bCs w:val="1"/>
          <w:u w:val="single" w:color="auto"/>
          <w:color w:val="auto"/>
        </w:rPr>
        <w:t>Amendment; Termination</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The Board may amend this Policy from time to time in its discretion and shall amend this Policy as it deems necessary to comply with any rules or standards adopted by the SEC and the listing standards of any national securities exchange on which the Company’s securities are listed. The Board may terminate this Policy at any time.</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XIII.</w:t>
      </w:r>
      <w:r>
        <w:rPr>
          <w:sz w:val="20"/>
          <w:szCs w:val="20"/>
          <w:color w:val="auto"/>
        </w:rPr>
        <w:tab/>
      </w:r>
      <w:r>
        <w:rPr>
          <w:rFonts w:ascii="Times New Roman" w:cs="Times New Roman" w:eastAsia="Times New Roman" w:hAnsi="Times New Roman"/>
          <w:sz w:val="17"/>
          <w:szCs w:val="17"/>
          <w:b w:val="1"/>
          <w:bCs w:val="1"/>
          <w:u w:val="single" w:color="auto"/>
          <w:color w:val="auto"/>
        </w:rPr>
        <w:t>Other Recoupment Rights</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52525"/>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3740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lowerRoman"/>
      <w:start w:val="2"/>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1"/>
    </w:lvl>
    <w:lvl w:ilvl="1">
      <w:lvlJc w:val="left"/>
      <w:lvlText w:val="(%2)"/>
      <w:numFmt w:val="lowerLetter"/>
      <w:start w:val="1"/>
    </w:lvl>
  </w:abstractNum>
  <w:abstractNum w:abstractNumId="53">
    <w:nsid w:val="2F305DEF"/>
    <w:multiLevelType w:val="hybridMultilevel"/>
    <w:lvl w:ilvl="0">
      <w:lvlJc w:val="left"/>
      <w:lvlText w:val="%1."/>
      <w:numFmt w:val="decimal"/>
      <w:start w:val="3"/>
    </w:lvl>
  </w:abstractNum>
  <w:abstractNum w:abstractNumId="54">
    <w:nsid w:val="25A70BF7"/>
    <w:multiLevelType w:val="hybridMultilevel"/>
    <w:lvl w:ilvl="0">
      <w:lvlJc w:val="left"/>
      <w:lvlText w:val="%1."/>
      <w:numFmt w:val="decimal"/>
      <w:start w:val="8"/>
    </w:lvl>
    <w:lvl w:ilvl="1">
      <w:lvlJc w:val="left"/>
      <w:lvlText w:val="(%2)"/>
      <w:numFmt w:val="lowerLetter"/>
      <w:start w:val="1"/>
    </w:lvl>
  </w:abstractNum>
  <w:abstractNum w:abstractNumId="55">
    <w:nsid w:val="1DBABF00"/>
    <w:multiLevelType w:val="hybridMultilevel"/>
    <w:lvl w:ilvl="0">
      <w:lvlJc w:val="left"/>
      <w:lvlText w:val="%1."/>
      <w:numFmt w:val="decimal"/>
      <w:start w:val="9"/>
    </w:lvl>
    <w:lvl w:ilvl="1">
      <w:lvlJc w:val="left"/>
      <w:lvlText w:val="(%2)"/>
      <w:numFmt w:val="lowerLetter"/>
      <w:start w:val="1"/>
    </w:lvl>
  </w:abstractNum>
  <w:abstractNum w:abstractNumId="56">
    <w:nsid w:val="4AD084E9"/>
    <w:multiLevelType w:val="hybridMultilevel"/>
    <w:lvl w:ilvl="0">
      <w:lvlJc w:val="left"/>
      <w:lvlText w:val="%1."/>
      <w:numFmt w:val="decimal"/>
      <w:start w:val="11"/>
    </w:lvl>
    <w:lvl w:ilvl="1">
      <w:lvlJc w:val="left"/>
      <w:lvlText w:val="(%2)"/>
      <w:numFmt w:val="lowerLetter"/>
      <w:start w:val="1"/>
    </w:lvl>
  </w:abstractNum>
  <w:abstractNum w:abstractNumId="57">
    <w:nsid w:val="1F48EAA1"/>
    <w:multiLevelType w:val="hybridMultilevel"/>
    <w:lvl w:ilvl="0">
      <w:lvlJc w:val="left"/>
      <w:lvlText w:val="%1."/>
      <w:numFmt w:val="decimal"/>
      <w:start w:val="17"/>
    </w:lvl>
  </w:abstractNum>
  <w:abstractNum w:abstractNumId="58">
    <w:nsid w:val="1381823A"/>
    <w:multiLevelType w:val="hybridMultilevel"/>
    <w:lvl w:ilvl="0">
      <w:lvlJc w:val="left"/>
      <w:lvlText w:val="%1."/>
      <w:numFmt w:val="upperLetter"/>
      <w:start w:val="1"/>
    </w:lvl>
  </w:abstractNum>
  <w:abstractNum w:abstractNumId="59">
    <w:nsid w:val="5DB70AE5"/>
    <w:multiLevelType w:val="hybridMultilevel"/>
    <w:lvl w:ilvl="0">
      <w:lvlJc w:val="left"/>
      <w:lvlText w:val="%1."/>
      <w:numFmt w:val="decimal"/>
      <w:start w:val="2"/>
    </w:lvl>
  </w:abstractNum>
  <w:abstractNum w:abstractNumId="60">
    <w:nsid w:val="100F8FCA"/>
    <w:multiLevelType w:val="hybridMultilevel"/>
    <w:lvl w:ilvl="0">
      <w:lvlJc w:val="left"/>
      <w:lvlText w:val="%1."/>
      <w:numFmt w:val="decimal"/>
      <w:start w:val="3"/>
    </w:lvl>
  </w:abstractNum>
  <w:abstractNum w:abstractNumId="61">
    <w:nsid w:val="6590700B"/>
    <w:multiLevelType w:val="hybridMultilevel"/>
    <w:lvl w:ilvl="0">
      <w:lvlJc w:val="left"/>
      <w:lvlText w:val="%1."/>
      <w:numFmt w:val="upperLetter"/>
      <w:start w:val="2"/>
    </w:lvl>
    <w:lvl w:ilvl="1">
      <w:lvlJc w:val="left"/>
      <w:lvlText w:val="%2."/>
      <w:numFmt w:val="decimal"/>
      <w:start w:val="1"/>
    </w:lvl>
  </w:abstractNum>
  <w:abstractNum w:abstractNumId="62">
    <w:nsid w:val="15014ACB"/>
    <w:multiLevelType w:val="hybridMultilevel"/>
    <w:lvl w:ilvl="0">
      <w:lvlJc w:val="left"/>
      <w:lvlText w:val="%1."/>
      <w:numFmt w:val="decimal"/>
      <w:start w:val="2"/>
    </w:lvl>
  </w:abstractNum>
  <w:abstractNum w:abstractNumId="63">
    <w:nsid w:val="5F5E7FD0"/>
    <w:multiLevelType w:val="hybridMultilevel"/>
    <w:lvl w:ilvl="0">
      <w:lvlJc w:val="left"/>
      <w:lvlText w:val="%1."/>
      <w:numFmt w:val="decimal"/>
      <w:start w:val="1"/>
    </w:lvl>
    <w:lvl w:ilvl="1">
      <w:lvlJc w:val="left"/>
      <w:lvlText w:val="%2)"/>
      <w:numFmt w:val="lowerLetter"/>
      <w:start w:val="1"/>
    </w:lvl>
  </w:abstractNum>
  <w:abstractNum w:abstractNumId="64">
    <w:nsid w:val="98A3148"/>
    <w:multiLevelType w:val="hybridMultilevel"/>
    <w:lvl w:ilvl="0">
      <w:lvlJc w:val="left"/>
      <w:lvlText w:val="%1."/>
      <w:numFmt w:val="decimal"/>
      <w:start w:val="1"/>
    </w:lvl>
    <w:lvl w:ilvl="1">
      <w:lvlJc w:val="left"/>
      <w:lvlText w:val="%2)"/>
      <w:numFmt w:val="lowerLetter"/>
      <w:start w:val="1"/>
    </w:lvl>
  </w:abstractNum>
  <w:abstractNum w:abstractNumId="65">
    <w:nsid w:val="799D0247"/>
    <w:multiLevelType w:val="hybridMultilevel"/>
    <w:lvl w:ilvl="0">
      <w:lvlJc w:val="left"/>
      <w:lvlText w:val="%1."/>
      <w:numFmt w:val="upperLetter"/>
      <w:start w:val="9"/>
    </w:lvl>
  </w:abstractNum>
  <w:abstractNum w:abstractNumId="66">
    <w:nsid w:val="6B94764"/>
    <w:multiLevelType w:val="hybridMultilevel"/>
    <w:lvl w:ilvl="0">
      <w:lvlJc w:val="left"/>
      <w:lvlText w:val="%1."/>
      <w:numFmt w:val="upperLetter"/>
      <w:start w:val="35"/>
    </w:lvl>
  </w:abstractNum>
  <w:abstractNum w:abstractNumId="67">
    <w:nsid w:val="42C296BD"/>
    <w:multiLevelType w:val="hybridMultilevel"/>
    <w:lvl w:ilvl="0">
      <w:lvlJc w:val="left"/>
      <w:lvlText w:val="%1."/>
      <w:numFmt w:val="upperLetter"/>
      <w:start w:val="61"/>
    </w:lvl>
  </w:abstractNum>
  <w:abstractNum w:abstractNumId="68">
    <w:nsid w:val="168E121F"/>
    <w:multiLevelType w:val="hybridMultilevel"/>
    <w:lvl w:ilvl="0">
      <w:lvlJc w:val="left"/>
      <w:lvlText w:val="(%1)"/>
      <w:numFmt w:val="lowerRoman"/>
      <w:start w:val="2"/>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1."/>
      <w:numFmt w:val="upperLetter"/>
      <w:start w:val="21"/>
    </w:lvl>
    <w:lvl w:ilvl="1">
      <w:lvlJc w:val="left"/>
      <w:lvlText w:val="•"/>
      <w:numFmt w:val="bullet"/>
      <w:start w:val="1"/>
    </w:lvl>
  </w:abstractNum>
  <w:abstractNum w:abstractNumId="72">
    <w:nsid w:val="540A471C"/>
    <w:multiLevelType w:val="hybridMultilevel"/>
    <w:lvl w:ilvl="0">
      <w:lvlJc w:val="left"/>
      <w:lvlText w:val="(%1)"/>
      <w:numFmt w:val="lowerRoman"/>
      <w:start w:val="3"/>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1"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116" Type="http://schemas.openxmlformats.org/officeDocument/2006/relationships/hyperlink" Target="https://www.sec.gov/Archives/edgar/data/1816431/000110465921025083/tm217111d1_ex2-1.htm" TargetMode="External"/><Relationship Id="rId117" Type="http://schemas.openxmlformats.org/officeDocument/2006/relationships/hyperlink" Target="https://www.sec.gov/Archives/edgar/data/1816431/000110465921081560/tm2118908d1_ex3-1.htm" TargetMode="External"/><Relationship Id="rId118" Type="http://schemas.openxmlformats.org/officeDocument/2006/relationships/hyperlink" Target="https://www.sec.gov/Archives/edgar/data/1816431/000114036122007334/brhc10034564_ex3-2.htm" TargetMode="External"/><Relationship Id="rId119" Type="http://schemas.openxmlformats.org/officeDocument/2006/relationships/hyperlink" Target="https://www.sec.gov/Archives/edgar/data/1816431/000110465921064151/tm217673d12_ex4-1.htm" TargetMode="External"/><Relationship Id="rId120" Type="http://schemas.openxmlformats.org/officeDocument/2006/relationships/hyperlink" Target="https://www.sec.gov/Archives/edgar/data/1816431/000110465920103448/tm2030387d1_ex4-1.htm" TargetMode="External"/><Relationship Id="rId121" Type="http://schemas.openxmlformats.org/officeDocument/2006/relationships/hyperlink" Target="https://www.sec.gov/Archives/edgar/data/1816431/000110465921025083/tm217111d1_ex10-1.htm" TargetMode="External"/><Relationship Id="rId122" Type="http://schemas.openxmlformats.org/officeDocument/2006/relationships/hyperlink" Target="https://www.sec.gov/Archives/edgar/data/1816431/000110465921025499/tm217238d1_ex10-2.htm" TargetMode="External"/><Relationship Id="rId123" Type="http://schemas.openxmlformats.org/officeDocument/2006/relationships/hyperlink" Target="https://www.sec.gov/Archives/edgar/data/1816431/000110465921025499/tm217238d1_ex10-3.htm" TargetMode="External"/><Relationship Id="rId124" Type="http://schemas.openxmlformats.org/officeDocument/2006/relationships/hyperlink" Target="https://www.sec.gov/Archives/edgar/data/1816431/000110465921026323/tm217569d1_ex10-1.htm" TargetMode="External"/><Relationship Id="rId125" Type="http://schemas.openxmlformats.org/officeDocument/2006/relationships/hyperlink" Target="https://www.sec.gov/Archives/edgar/data/1816431/000110465921025083/tm217111d1_ex10-4.htm" TargetMode="External"/><Relationship Id="rId126" Type="http://schemas.openxmlformats.org/officeDocument/2006/relationships/hyperlink" Target="https://www.sec.gov/Archives/edgar/data/1816431/000114036123012126/brhc10049653_ex10-6.htm" TargetMode="External"/><Relationship Id="rId127" Type="http://schemas.openxmlformats.org/officeDocument/2006/relationships/hyperlink" Target="https://www.sec.gov/Archives/edgar/data/1816431/000114036122035951/brhc10042621_ex10-1.htm" TargetMode="External"/><Relationship Id="rId128" Type="http://schemas.openxmlformats.org/officeDocument/2006/relationships/hyperlink" Target="https://www.sec.gov/Archives/edgar/data/1816431/000114036123022308/brhc20052203_ex10-1.htm" TargetMode="External"/><Relationship Id="rId129" Type="http://schemas.openxmlformats.org/officeDocument/2006/relationships/hyperlink" Target="https://www.sec.gov/Archives/edgar/data/1816431/000114036123012126/brhc10049653_ex10-9.htm" TargetMode="External"/><Relationship Id="rId130" Type="http://schemas.openxmlformats.org/officeDocument/2006/relationships/hyperlink" Target="https://www.sec.gov/Archives/edgar/data/1816431/000114036122007334/brhc10034564_ex10-12.htm" TargetMode="External"/><Relationship Id="rId132" Type="http://schemas.openxmlformats.org/officeDocument/2006/relationships/hyperlink" Target="https://www.sec.gov/Archives/edgar/data/1816431/000114036121037702/brhc10030506_ex10-1.htm" TargetMode="External"/><Relationship Id="rId133" Type="http://schemas.openxmlformats.org/officeDocument/2006/relationships/hyperlink" Target="https://www.sec.gov/Archives/edgar/data/1816431/000114036123012126/brhc10049653_ex10-14.htm" TargetMode="External"/><Relationship Id="rId134" Type="http://schemas.openxmlformats.org/officeDocument/2006/relationships/hyperlink" Target="https://www.sec.gov/Archives/edgar/data/1816431/000110465921081560/tm2118908d1_ex10-13d1.htm" TargetMode="External"/><Relationship Id="rId135" Type="http://schemas.openxmlformats.org/officeDocument/2006/relationships/hyperlink" Target="https://www.sec.gov/Archives/edgar/data/1816431/000110465921081560/tm2118908d1_ex10-13d2.htm" TargetMode="External"/><Relationship Id="rId136" Type="http://schemas.openxmlformats.org/officeDocument/2006/relationships/hyperlink" Target="https://www.sec.gov/Archives/edgar/data/1816431/000110465921081560/tm2118908d1_ex10-14d1.htm" TargetMode="External"/><Relationship Id="rId137" Type="http://schemas.openxmlformats.org/officeDocument/2006/relationships/hyperlink" Target="https://www.sec.gov/Archives/edgar/data/1816431/000110465921081560/tm2118908d1_ex10-14d2.htm" TargetMode="External"/><Relationship Id="rId138" Type="http://schemas.openxmlformats.org/officeDocument/2006/relationships/hyperlink" Target="https://www.sec.gov/Archives/edgar/data/1816431/000110465921081560/tm2118908d1_ex10-14d3.htm" TargetMode="External"/><Relationship Id="rId139" Type="http://schemas.openxmlformats.org/officeDocument/2006/relationships/hyperlink" Target="https://www.sec.gov/Archives/edgar/data/1816431/000114036122040956/brhc10043872_ex99-1.htm" TargetMode="External"/><Relationship Id="rId140" Type="http://schemas.openxmlformats.org/officeDocument/2006/relationships/hyperlink" Target="https://www.sec.gov/Archives/edgar/data/1816431/000110465921081560/tm2118908d1_ex10-16.htm" TargetMode="External"/><Relationship Id="rId141" Type="http://schemas.openxmlformats.org/officeDocument/2006/relationships/hyperlink" Target="https://www.sec.gov/Archives/edgar/data/1816431/000110465921081560/tm2118908d1_ex10-17.htm" TargetMode="External"/><Relationship Id="rId142" Type="http://schemas.openxmlformats.org/officeDocument/2006/relationships/hyperlink" Target="https://www.sec.gov/Archives/edgar/data/1816431/000110465921085103/tm2120588d1_ex10-1.htm" TargetMode="External"/><Relationship Id="rId143" Type="http://schemas.openxmlformats.org/officeDocument/2006/relationships/hyperlink" Target="https://www.sec.gov/Archives/edgar/data/1816431/000114036122000359/brhc10032381_ex10-1.htm" TargetMode="External"/><Relationship Id="rId144" Type="http://schemas.openxmlformats.org/officeDocument/2006/relationships/hyperlink" Target="https://www.sec.gov/Archives/edgar/data/1816431/000110465921089151/tm2121264d1_ex10-1.htm" TargetMode="External"/><Relationship Id="rId145" Type="http://schemas.openxmlformats.org/officeDocument/2006/relationships/hyperlink" Target="https://www.sec.gov/Archives/edgar/data/1816431/000114036123035435/brhc20056143_ex99-1.htm" TargetMode="External"/><Relationship Id="rId146" Type="http://schemas.openxmlformats.org/officeDocument/2006/relationships/hyperlink" Target="https://www.sec.gov/Archives/edgar/data/1816431/000114036123035435/brhc20056143_ex99-2.htm" TargetMode="External"/><Relationship Id="rId147" Type="http://schemas.openxmlformats.org/officeDocument/2006/relationships/hyperlink" Target="https://www.sec.gov/Archives/edgar/data/1816431/000114036123039290/ny20010029x1_ex1-2.htm" TargetMode="External"/><Relationship Id="rId148" Type="http://schemas.openxmlformats.org/officeDocument/2006/relationships/hyperlink" Target="https://www.sec.gov/Archives/edgar/data/1816431/000114036123012126/brhc10049653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2024-03-03T16:33:53Z</dcterms:created>
  <dcterms:modified xsi:type="dcterms:W3CDTF">2024-03-03T16:33:53Z</dcterms:modified>
</cp:coreProperties>
</file>