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-224155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660" w:right="1760" w:hanging="3652"/>
        <w:spacing w:after="0" w:line="493"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transition period from ________ to 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001-39486</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QUANTUM-SI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141605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730"/>
              <w:spacing w:after="0"/>
              <w:rPr>
                <w:sz w:val="20"/>
                <w:szCs w:val="20"/>
                <w:color w:val="auto"/>
              </w:rPr>
            </w:pPr>
            <w:r>
              <w:rPr>
                <w:rFonts w:ascii="Arial" w:cs="Arial" w:eastAsia="Arial" w:hAnsi="Arial"/>
                <w:sz w:val="18"/>
                <w:szCs w:val="18"/>
                <w:b w:val="1"/>
                <w:bCs w:val="1"/>
                <w:color w:val="auto"/>
              </w:rPr>
              <w:t>85-1388175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530 Old Whitfield Street</w:t>
            </w:r>
          </w:p>
        </w:tc>
        <w:tc>
          <w:tcPr>
            <w:tcW w:w="3660" w:type="dxa"/>
            <w:vAlign w:val="bottom"/>
          </w:tcPr>
          <w:p>
            <w:pPr>
              <w:spacing w:after="0"/>
              <w:rPr>
                <w:sz w:val="24"/>
                <w:szCs w:val="24"/>
                <w:color w:val="auto"/>
              </w:rPr>
            </w:pPr>
          </w:p>
        </w:tc>
      </w:t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Guilford, Connecticut</w:t>
            </w:r>
          </w:p>
        </w:tc>
        <w:tc>
          <w:tcPr>
            <w:tcW w:w="3660" w:type="dxa"/>
            <w:vAlign w:val="bottom"/>
          </w:tcPr>
          <w:p>
            <w:pPr>
              <w:jc w:val="right"/>
              <w:ind w:right="930"/>
              <w:spacing w:after="0"/>
              <w:rPr>
                <w:sz w:val="20"/>
                <w:szCs w:val="20"/>
                <w:color w:val="auto"/>
              </w:rPr>
            </w:pPr>
            <w:r>
              <w:rPr>
                <w:rFonts w:ascii="Arial" w:cs="Arial" w:eastAsia="Arial" w:hAnsi="Arial"/>
                <w:sz w:val="18"/>
                <w:szCs w:val="18"/>
                <w:b w:val="1"/>
                <w:bCs w:val="1"/>
                <w:color w:val="auto"/>
              </w:rPr>
              <w:t>06437</w:t>
            </w:r>
          </w:p>
        </w:tc>
      </w:tr>
      <w:tr>
        <w:trPr>
          <w:trHeight w:val="230"/>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458-7100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740" w:type="dxa"/>
            <w:vAlign w:val="bottom"/>
          </w:tcPr>
          <w:p>
            <w:pPr>
              <w:jc w:val="center"/>
              <w:spacing w:after="0" w:line="201" w:lineRule="exact"/>
              <w:rPr>
                <w:sz w:val="20"/>
                <w:szCs w:val="20"/>
                <w:color w:val="auto"/>
              </w:rPr>
            </w:pPr>
            <w:r>
              <w:rPr>
                <w:rFonts w:ascii="Arial" w:cs="Arial" w:eastAsia="Arial" w:hAnsi="Arial"/>
                <w:sz w:val="18"/>
                <w:szCs w:val="18"/>
                <w:color w:val="auto"/>
                <w:w w:val="89"/>
              </w:rPr>
              <w:t>Class A common stock, $0.0001 per share</w:t>
            </w:r>
          </w:p>
        </w:tc>
        <w:tc>
          <w:tcPr>
            <w:tcW w:w="12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0"/>
              </w:rPr>
              <w:t>QSI</w:t>
            </w:r>
          </w:p>
        </w:tc>
        <w:tc>
          <w:tcPr>
            <w:tcW w:w="100" w:type="dxa"/>
            <w:vAlign w:val="bottom"/>
          </w:tcPr>
          <w:p>
            <w:pPr>
              <w:spacing w:after="0"/>
              <w:rPr>
                <w:sz w:val="17"/>
                <w:szCs w:val="17"/>
                <w:color w:val="auto"/>
              </w:rPr>
            </w:pPr>
          </w:p>
        </w:tc>
        <w:tc>
          <w:tcPr>
            <w:tcW w:w="472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740" w:type="dxa"/>
            <w:vAlign w:val="bottom"/>
          </w:tcPr>
          <w:p>
            <w:pPr>
              <w:jc w:val="center"/>
              <w:spacing w:after="0"/>
              <w:rPr>
                <w:sz w:val="20"/>
                <w:szCs w:val="20"/>
                <w:color w:val="auto"/>
              </w:rPr>
            </w:pPr>
            <w:r>
              <w:rPr>
                <w:rFonts w:ascii="Arial" w:cs="Arial" w:eastAsia="Arial" w:hAnsi="Arial"/>
                <w:sz w:val="18"/>
                <w:szCs w:val="18"/>
                <w:color w:val="auto"/>
                <w:w w:val="89"/>
              </w:rPr>
              <w:t>Redeemable warrants, each whole warrant exercisable for one</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QSIAW</w:t>
            </w:r>
          </w:p>
        </w:tc>
        <w:tc>
          <w:tcPr>
            <w:tcW w:w="1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740" w:type="dxa"/>
            <w:vAlign w:val="bottom"/>
          </w:tcPr>
          <w:p>
            <w:pPr>
              <w:jc w:val="center"/>
              <w:spacing w:after="0"/>
              <w:rPr>
                <w:sz w:val="20"/>
                <w:szCs w:val="20"/>
                <w:color w:val="auto"/>
              </w:rPr>
            </w:pPr>
            <w:r>
              <w:rPr>
                <w:rFonts w:ascii="Arial" w:cs="Arial" w:eastAsia="Arial" w:hAnsi="Arial"/>
                <w:sz w:val="18"/>
                <w:szCs w:val="18"/>
                <w:color w:val="auto"/>
                <w:w w:val="89"/>
              </w:rPr>
              <w:t>share of Class A common stock, each at an exercise price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0"/>
        </w:trPr>
        <w:tc>
          <w:tcPr>
            <w:tcW w:w="4740" w:type="dxa"/>
            <w:vAlign w:val="bottom"/>
          </w:tcPr>
          <w:p>
            <w:pPr>
              <w:jc w:val="center"/>
              <w:spacing w:after="0"/>
              <w:rPr>
                <w:sz w:val="20"/>
                <w:szCs w:val="20"/>
                <w:color w:val="auto"/>
              </w:rPr>
            </w:pPr>
            <w:r>
              <w:rPr>
                <w:rFonts w:ascii="Arial" w:cs="Arial" w:eastAsia="Arial" w:hAnsi="Arial"/>
                <w:sz w:val="18"/>
                <w:szCs w:val="18"/>
                <w:color w:val="auto"/>
                <w:w w:val="86"/>
              </w:rPr>
              <w:t>$11.50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November 3, 2022, the registrant had 119,881,495 shares of Class A common stock outstanding and 19,937,500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739"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1"/>
            <w:shd w:val="clear" w:color="auto" w:fill="CCEEFF"/>
          </w:tcPr>
          <w:p>
            <w:pPr>
              <w:spacing w:after="0" w:line="142" w:lineRule="exact"/>
              <w:rPr>
                <w:sz w:val="20"/>
                <w:szCs w:val="20"/>
                <w:color w:val="auto"/>
              </w:rPr>
            </w:pPr>
            <w:r>
              <w:rPr>
                <w:rFonts w:ascii="Arial" w:cs="Arial" w:eastAsia="Arial" w:hAnsi="Arial"/>
                <w:sz w:val="16"/>
                <w:szCs w:val="16"/>
                <w:color w:val="0000EE"/>
              </w:rPr>
              <w:t>Cautionary Note Regarding Forward-Looking Statements</w:t>
            </w:r>
          </w:p>
        </w:tc>
        <w:tc>
          <w:tcPr>
            <w:tcW w:w="9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3</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Financial Information</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2022 and December 31, 2021 (Unaudited)</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Operations and Comprehensive Loss for the three and nine months ended September</w:t>
            </w:r>
          </w:p>
        </w:tc>
        <w:tc>
          <w:tcPr>
            <w:tcW w:w="900" w:type="dxa"/>
            <w:vAlign w:val="bottom"/>
            <w:shd w:val="clear" w:color="auto" w:fill="CCEEFF"/>
          </w:tcPr>
          <w:p>
            <w:pPr>
              <w:spacing w:after="0"/>
              <w:rPr>
                <w:sz w:val="15"/>
                <w:szCs w:val="15"/>
                <w:color w:val="auto"/>
              </w:rPr>
            </w:pPr>
          </w:p>
        </w:tc>
      </w:tr>
      <w:tr>
        <w:trPr>
          <w:trHeight w:val="217"/>
        </w:trPr>
        <w:tc>
          <w:tcPr>
            <w:tcW w:w="7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960" w:type="dxa"/>
            <w:vAlign w:val="bottom"/>
            <w:tcBorders>
              <w:top w:val="single" w:sz="8" w:color="0000EE"/>
            </w:tcBorders>
            <w:gridSpan w:val="20"/>
            <w:shd w:val="clear" w:color="auto" w:fill="CCEEFF"/>
          </w:tcPr>
          <w:p>
            <w:pPr>
              <w:spacing w:after="0" w:line="196" w:lineRule="exact"/>
              <w:rPr>
                <w:sz w:val="20"/>
                <w:szCs w:val="20"/>
                <w:color w:val="auto"/>
              </w:rPr>
            </w:pPr>
            <w:r>
              <w:rPr>
                <w:rFonts w:ascii="Arial" w:cs="Arial" w:eastAsia="Arial" w:hAnsi="Arial"/>
                <w:sz w:val="18"/>
                <w:szCs w:val="18"/>
                <w:color w:val="0000EE"/>
              </w:rPr>
              <w:t>30, 2022 and 2021 (Unaudited)</w:t>
            </w: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80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Consolidated Statements of Changes in Convertible Preferred Stock and Stockholders’ Equity (Deficit) for the</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6"/>
        </w:trPr>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2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three and nine months ended September 30, 2022 and 2021 (Unaudited)</w:t>
            </w: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Cash Flows for the nine months ended September 30, 2022 and 2021 (Unaudited)</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9</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0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this Quarterly Report on Form 10-Q, the terms “we”, “us”, “our”, the “Company” or “Quantum-Si” mean Quantum-Si Incorporated (formerly HighCape Capital Acquisition Corp.) and our subsidiaries. On June 10, 2021 (the “Closing Date”), HighCape Capital Acquisition Corp., a Delaware corporation (“HighCape” and after the Business Combination described herein, the “Company”), consummated a business combination (the “Business Combination”) pursuant to the terms of the Business Combination Agreement, dated as of February 18, 2021 (the “Business Combination Agreement”), by and among HighCape, Tenet Merger Sub, Inc., a Delaware corporation (“Merger Sub”), and Quantum-Si Incorporated, a Delaware corporation (“Legacy Quantum-Si”). Immediately upon the consummation of the Business Combination and the other transactions contemplated by the Business Combination Agreement (collectively, the “Transactions”, and such completion, the “Closing”), Merger Sub merged with and into Legacy Quantum-Si, with Legacy Quantum-Si surviving the Business Combination as a wholly-owned subsidiary of HighCape (the “Merger”). In connection with the Transactions, HighCape changed its name to “Quantum-Si Incorporated” and Legacy Quantum-Si changed its name to “Q-SI Operations Inc.”</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72" w:lineRule="exact"/>
        <w:rPr>
          <w:sz w:val="20"/>
          <w:szCs w:val="20"/>
          <w:color w:val="auto"/>
        </w:rPr>
      </w:pPr>
    </w:p>
    <w:p>
      <w:pPr>
        <w:ind w:left="660" w:right="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recognize the benefits of the Business Combination, which may be affected by, among other things, competition and our ability to grow and manage growth profitably and retain our key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Stock Market LLC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the success of any product we may offer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products once commercialized;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for our products, and any related restrictions and limitations of any approved product;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leadership transition;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in-license or acquire additional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license agreements and manufacturing arrangements;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products and services that serve customers engaged in proteomic analysis, many of which have greater financial and marketing resources than us;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the ability of each product to serve those markets once commercialized, either alone or in partnership with others;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fiscal year ended December 31, 2021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QUANTUM-SI INCORPORATED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9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293,811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435,519</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378,873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477,172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15,166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6,973</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417,983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503,226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3,393</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7,276</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Short-term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12,641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30,533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26,192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Class A Common stock, $0.0001 par value; 600,000,000 shares authorized as of September 30, 2022 and December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31, 2021; 119,848,170 and 118,025,410 shares issued and outstanding as of September 30, 2022 and December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 2021,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02"/>
        </w:trPr>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Class B Common stock, $0.0001 par value; 27,000,000 shares authorized as of September 30, 2022 and December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31, 2021; 19,937,500 shares issued and outstanding as of September 30, 2022 and December 31, 2021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744,252</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(366,534)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(267,232)</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387,450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477,034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417,983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503,226</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2900" w:type="dxa"/>
            <w:vAlign w:val="bottom"/>
            <w:gridSpan w:val="8"/>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680" w:type="dxa"/>
            <w:vAlign w:val="bottom"/>
            <w:gridSpan w:val="7"/>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53,905</w:t>
            </w: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32,190</w:t>
            </w:r>
          </w:p>
        </w:tc>
      </w:tr>
      <w:tr>
        <w:trPr>
          <w:trHeight w:val="223"/>
        </w:trPr>
        <w:tc>
          <w:tcPr>
            <w:tcW w:w="56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10,983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14,071</w:t>
            </w: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31,093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36,928</w:t>
            </w:r>
          </w:p>
        </w:tc>
      </w:tr>
      <w:tr>
        <w:trPr>
          <w:trHeight w:val="257"/>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27,658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25,175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(27,658)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(25,175)</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(84,998)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(69,118)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Dividend income</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(5,573)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(22,713)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r>
      <w:tr>
        <w:trPr>
          <w:trHeight w:val="22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(31,713)</w:t>
            </w: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(18,091)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(99,302)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(31,713)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(18,091)</w:t>
            </w:r>
          </w:p>
        </w:tc>
        <w:tc>
          <w:tcPr>
            <w:tcW w:w="2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(99,302)</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(65,567)</w:t>
            </w:r>
          </w:p>
        </w:tc>
        <w:tc>
          <w:tcPr>
            <w:tcW w:w="100" w:type="dxa"/>
            <w:vAlign w:val="bottom"/>
            <w:shd w:val="clear" w:color="auto" w:fill="CCEEFF"/>
          </w:tcPr>
          <w:p>
            <w:pPr>
              <w:spacing w:after="0"/>
              <w:rPr>
                <w:sz w:val="22"/>
                <w:szCs w:val="22"/>
                <w:color w:val="auto"/>
              </w:rPr>
            </w:pPr>
          </w:p>
        </w:tc>
      </w:tr>
      <w:tr>
        <w:trPr>
          <w:trHeight w:val="195"/>
        </w:trPr>
        <w:tc>
          <w:tcPr>
            <w:tcW w:w="5660" w:type="dxa"/>
            <w:vAlign w:val="bottom"/>
            <w:tcBorders>
              <w:top w:val="single" w:sz="8" w:color="CCEEFF"/>
            </w:tcBorders>
          </w:tcPr>
          <w:p>
            <w:pPr>
              <w:ind w:left="180"/>
              <w:spacing w:after="0" w:line="195" w:lineRule="exact"/>
              <w:rPr>
                <w:sz w:val="20"/>
                <w:szCs w:val="20"/>
                <w:color w:val="auto"/>
              </w:rPr>
            </w:pPr>
            <w:r>
              <w:rPr>
                <w:rFonts w:ascii="Arial" w:cs="Arial" w:eastAsia="Arial" w:hAnsi="Arial"/>
                <w:sz w:val="18"/>
                <w:szCs w:val="18"/>
                <w:color w:val="auto"/>
                <w:w w:val="96"/>
              </w:rPr>
              <w:t>Net loss per common share attributable to common stockholders, basic</w:t>
            </w: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5660" w:type="dxa"/>
            <w:vAlign w:val="bottom"/>
          </w:tcPr>
          <w:p>
            <w:pPr>
              <w:ind w:left="340"/>
              <w:spacing w:after="0"/>
              <w:rPr>
                <w:sz w:val="20"/>
                <w:szCs w:val="20"/>
                <w:color w:val="auto"/>
              </w:rPr>
            </w:pPr>
            <w:r>
              <w:rPr>
                <w:rFonts w:ascii="Arial" w:cs="Arial" w:eastAsia="Arial" w:hAnsi="Arial"/>
                <w:sz w:val="18"/>
                <w:szCs w:val="18"/>
                <w:color w:val="auto"/>
              </w:rPr>
              <w:t>and diluted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(0.71)</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02"/>
        </w:trPr>
        <w:tc>
          <w:tcPr>
            <w:tcW w:w="56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Weighted-average shares used to compute net loss per share attributable to</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stockholders, basic and diluted</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139,542,660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136,456,848</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139,057,663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60,104,891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CONVERTIBLE PREFERRED STOCK AND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2020" w:type="dxa"/>
            <w:vAlign w:val="bottom"/>
            <w:tcBorders>
              <w:right w:val="single" w:sz="8" w:color="auto"/>
            </w:tcBorders>
            <w:gridSpan w:val="5"/>
            <w:vMerge w:val="restart"/>
          </w:tcPr>
          <w:p>
            <w:pPr>
              <w:jc w:val="right"/>
              <w:ind w:right="260"/>
              <w:spacing w:after="0"/>
              <w:rPr>
                <w:sz w:val="20"/>
                <w:szCs w:val="20"/>
                <w:color w:val="auto"/>
              </w:rPr>
            </w:pPr>
            <w:r>
              <w:rPr>
                <w:rFonts w:ascii="Arial" w:cs="Arial" w:eastAsia="Arial" w:hAnsi="Arial"/>
                <w:sz w:val="18"/>
                <w:szCs w:val="18"/>
                <w:b w:val="1"/>
                <w:bCs w:val="1"/>
                <w:color w:val="auto"/>
                <w:w w:val="95"/>
              </w:rPr>
              <w:t>Convertible preferred</w:t>
            </w:r>
          </w:p>
        </w:tc>
        <w:tc>
          <w:tcPr>
            <w:tcW w:w="1560" w:type="dxa"/>
            <w:vAlign w:val="bottom"/>
            <w:gridSpan w:val="3"/>
            <w:vMerge w:val="restart"/>
          </w:tcPr>
          <w:p>
            <w:pPr>
              <w:jc w:val="right"/>
              <w:ind w:right="270"/>
              <w:spacing w:after="0"/>
              <w:rPr>
                <w:sz w:val="20"/>
                <w:szCs w:val="20"/>
                <w:color w:val="auto"/>
              </w:rPr>
            </w:pPr>
            <w:r>
              <w:rPr>
                <w:rFonts w:ascii="Arial" w:cs="Arial" w:eastAsia="Arial" w:hAnsi="Arial"/>
                <w:sz w:val="18"/>
                <w:szCs w:val="18"/>
                <w:b w:val="1"/>
                <w:bCs w:val="1"/>
                <w:color w:val="auto"/>
              </w:rPr>
              <w:t>Class A</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3"/>
            <w:vMerge w:val="restart"/>
          </w:tcPr>
          <w:p>
            <w:pPr>
              <w:jc w:val="right"/>
              <w:ind w:right="324"/>
              <w:spacing w:after="0"/>
              <w:rPr>
                <w:sz w:val="20"/>
                <w:szCs w:val="20"/>
                <w:color w:val="auto"/>
              </w:rPr>
            </w:pPr>
            <w:r>
              <w:rPr>
                <w:rFonts w:ascii="Arial" w:cs="Arial" w:eastAsia="Arial" w:hAnsi="Arial"/>
                <w:sz w:val="18"/>
                <w:szCs w:val="18"/>
                <w:b w:val="1"/>
                <w:bCs w:val="1"/>
                <w:color w:val="auto"/>
              </w:rPr>
              <w:t>Class B</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2020" w:type="dxa"/>
            <w:vAlign w:val="bottom"/>
            <w:tcBorders>
              <w:right w:val="single" w:sz="8" w:color="auto"/>
            </w:tcBorders>
            <w:gridSpan w:val="5"/>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2"/>
              </w:rPr>
              <w:t>stockholders’</w:t>
            </w: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stock</w:t>
            </w:r>
          </w:p>
        </w:tc>
        <w:tc>
          <w:tcPr>
            <w:tcW w:w="66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56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60" w:type="dxa"/>
            <w:vAlign w:val="bottom"/>
            <w:gridSpan w:val="3"/>
            <w:vMerge w:val="restart"/>
          </w:tcPr>
          <w:p>
            <w:pPr>
              <w:jc w:val="right"/>
              <w:ind w:right="44"/>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4"/>
              </w:rPr>
              <w:t>paid-in</w:t>
            </w:r>
          </w:p>
        </w:tc>
        <w:tc>
          <w:tcPr>
            <w:tcW w:w="1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49"/>
        </w:trPr>
        <w:tc>
          <w:tcPr>
            <w:tcW w:w="2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9"/>
              </w:rPr>
              <w:t>Amount</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010101"/>
              </w:rPr>
              <w:t>Shares</w:t>
            </w:r>
          </w:p>
        </w:tc>
        <w:tc>
          <w:tcPr>
            <w:tcW w:w="8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010101"/>
                <w:w w:val="97"/>
              </w:rPr>
              <w:t>Amount</w:t>
            </w: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010101"/>
              </w:rPr>
              <w:t>Shares</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010101"/>
                <w:w w:val="97"/>
              </w:rPr>
              <w:t>Amount</w:t>
            </w:r>
          </w:p>
        </w:tc>
        <w:tc>
          <w:tcPr>
            <w:tcW w:w="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capital</w:t>
            </w:r>
          </w:p>
        </w:tc>
        <w:tc>
          <w:tcPr>
            <w:tcW w:w="18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010101"/>
                <w:w w:val="99"/>
              </w:rPr>
              <w:t>Balance - December 31,</w:t>
            </w: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010101"/>
              </w:rPr>
              <w:t>2020</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010101"/>
                <w:w w:val="99"/>
              </w:rPr>
              <w:t>90,789,268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195,814</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5,378,287</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010101"/>
              </w:rPr>
              <w:t>-</w:t>
            </w: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12,517</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(172,243)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(159,725)</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010101"/>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010101"/>
              </w:rPr>
              <w:t>-</w:t>
            </w:r>
          </w:p>
        </w:tc>
        <w:tc>
          <w:tcPr>
            <w:tcW w:w="1020" w:type="dxa"/>
            <w:vAlign w:val="bottom"/>
          </w:tcPr>
          <w:p>
            <w:pPr>
              <w:jc w:val="right"/>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5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010101"/>
              </w:rPr>
              <w:t>(11,779)</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010101"/>
              </w:rPr>
              <w:t>(11,779)</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Issuance of Series E</w:t>
            </w:r>
          </w:p>
        </w:tc>
        <w:tc>
          <w:tcPr>
            <w:tcW w:w="9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convertible preferred</w:t>
            </w:r>
          </w:p>
        </w:tc>
        <w:tc>
          <w:tcPr>
            <w:tcW w:w="9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stock, net of issuance</w:t>
            </w:r>
          </w:p>
        </w:tc>
        <w:tc>
          <w:tcPr>
            <w:tcW w:w="9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costs</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(4)</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5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010101"/>
              </w:rPr>
              <w:t>Common stock issued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010101"/>
              </w:rPr>
              <w:t>upon exercise of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010101"/>
              </w:rPr>
              <w:t>options and vesting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80"/>
              <w:spacing w:after="0"/>
              <w:rPr>
                <w:sz w:val="20"/>
                <w:szCs w:val="20"/>
                <w:color w:val="auto"/>
              </w:rPr>
            </w:pPr>
            <w:r>
              <w:rPr>
                <w:rFonts w:ascii="Arial" w:cs="Arial" w:eastAsia="Arial" w:hAnsi="Arial"/>
                <w:sz w:val="18"/>
                <w:szCs w:val="18"/>
                <w:color w:val="010101"/>
              </w:rPr>
              <w:t>restricted stock units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010101"/>
              </w:rPr>
              <w:t>-</w:t>
            </w:r>
          </w:p>
        </w:tc>
        <w:tc>
          <w:tcPr>
            <w:tcW w:w="1020" w:type="dxa"/>
            <w:vAlign w:val="bottom"/>
          </w:tcPr>
          <w:p>
            <w:pPr>
              <w:jc w:val="right"/>
              <w:spacing w:after="0"/>
              <w:rPr>
                <w:sz w:val="20"/>
                <w:szCs w:val="20"/>
                <w:color w:val="auto"/>
              </w:rPr>
            </w:pPr>
            <w:r>
              <w:rPr>
                <w:rFonts w:ascii="Arial" w:cs="Arial" w:eastAsia="Arial" w:hAnsi="Arial"/>
                <w:sz w:val="18"/>
                <w:szCs w:val="18"/>
                <w:color w:val="010101"/>
              </w:rPr>
              <w:t>581,237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5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010101"/>
              </w:rPr>
              <w:t>999</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999</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010101"/>
                <w:w w:val="93"/>
              </w:rPr>
              <w:t>Stock-based compensation</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457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457</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010101"/>
                <w:w w:val="94"/>
              </w:rPr>
              <w:t>Balance - March 31, 2021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w w:val="99"/>
              </w:rPr>
              <w:t>90,789,268</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010101"/>
                <w:w w:val="71"/>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010101"/>
                <w:w w:val="98"/>
              </w:rPr>
              <w:t>195,810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010101"/>
              </w:rPr>
              <w:t>5,959,524</w:t>
            </w:r>
          </w:p>
        </w:tc>
        <w:tc>
          <w:tcPr>
            <w:tcW w:w="5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010101"/>
              </w:rPr>
              <w:t>-</w:t>
            </w:r>
          </w:p>
        </w:tc>
        <w:tc>
          <w:tcPr>
            <w:tcW w:w="520" w:type="dxa"/>
            <w:vAlign w:val="bottom"/>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r>
              <w:rPr>
                <w:rFonts w:ascii="Arial" w:cs="Arial" w:eastAsia="Arial" w:hAnsi="Arial"/>
                <w:sz w:val="18"/>
                <w:szCs w:val="18"/>
                <w:b w:val="1"/>
                <w:bCs w:val="1"/>
                <w:color w:val="010101"/>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010101"/>
              </w:rPr>
              <w:t>13,973</w:t>
            </w:r>
          </w:p>
        </w:tc>
        <w:tc>
          <w:tcPr>
            <w:tcW w:w="180" w:type="dxa"/>
            <w:vAlign w:val="bottom"/>
          </w:tcPr>
          <w:p>
            <w:pPr>
              <w:spacing w:after="0"/>
              <w:rPr>
                <w:sz w:val="20"/>
                <w:szCs w:val="20"/>
                <w:color w:val="auto"/>
              </w:rPr>
            </w:pPr>
            <w:r>
              <w:rPr>
                <w:rFonts w:ascii="Arial" w:cs="Arial" w:eastAsia="Arial" w:hAnsi="Arial"/>
                <w:sz w:val="18"/>
                <w:szCs w:val="18"/>
                <w:b w:val="1"/>
                <w:bCs w:val="1"/>
                <w:color w:val="01010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010101"/>
              </w:rPr>
              <w:t>(184,022)</w:t>
            </w:r>
          </w:p>
        </w:tc>
        <w:tc>
          <w:tcPr>
            <w:tcW w:w="140" w:type="dxa"/>
            <w:vAlign w:val="bottom"/>
          </w:tcPr>
          <w:p>
            <w:pPr>
              <w:spacing w:after="0"/>
              <w:rPr>
                <w:sz w:val="20"/>
                <w:szCs w:val="20"/>
                <w:color w:val="auto"/>
              </w:rPr>
            </w:pPr>
            <w:r>
              <w:rPr>
                <w:rFonts w:ascii="Arial" w:cs="Arial" w:eastAsia="Arial" w:hAnsi="Arial"/>
                <w:sz w:val="18"/>
                <w:szCs w:val="18"/>
                <w:b w:val="1"/>
                <w:bCs w:val="1"/>
                <w:color w:val="01010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10101"/>
              </w:rPr>
              <w:t>(170,048)</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010101"/>
              </w:rPr>
              <w:t>Net loss</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(35,697)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10101"/>
              </w:rPr>
              <w:t>(35,697)</w:t>
            </w: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010101"/>
              </w:rPr>
              <w:t>Common stock issued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010101"/>
              </w:rPr>
              <w:t>upon exercise of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010101"/>
              </w:rPr>
              <w:t>options and vesting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80"/>
              <w:spacing w:after="0"/>
              <w:rPr>
                <w:sz w:val="20"/>
                <w:szCs w:val="20"/>
                <w:color w:val="auto"/>
              </w:rPr>
            </w:pPr>
            <w:r>
              <w:rPr>
                <w:rFonts w:ascii="Arial" w:cs="Arial" w:eastAsia="Arial" w:hAnsi="Arial"/>
                <w:sz w:val="18"/>
                <w:szCs w:val="18"/>
                <w:color w:val="010101"/>
              </w:rPr>
              <w:t>restricted stock units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1,327,823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2,712</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Conversion of the</w:t>
            </w:r>
          </w:p>
        </w:tc>
        <w:tc>
          <w:tcPr>
            <w:tcW w:w="9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convertible preferred</w:t>
            </w:r>
          </w:p>
        </w:tc>
        <w:tc>
          <w:tcPr>
            <w:tcW w:w="9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stock into Class A and</w:t>
            </w:r>
          </w:p>
        </w:tc>
        <w:tc>
          <w:tcPr>
            <w:tcW w:w="9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Class B common stock</w:t>
            </w: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(90,789,268)</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(195,810)</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52,466,941</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19,937,500</w:t>
            </w:r>
          </w:p>
        </w:tc>
        <w:tc>
          <w:tcPr>
            <w:tcW w:w="5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195,803</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195,810</w:t>
            </w: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010101"/>
              </w:rPr>
              <w:t>Net equity infusion from</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010101"/>
              </w:rPr>
              <w:t>the Business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80"/>
              <w:spacing w:after="0"/>
              <w:rPr>
                <w:sz w:val="20"/>
                <w:szCs w:val="20"/>
                <w:color w:val="auto"/>
              </w:rPr>
            </w:pPr>
            <w:r>
              <w:rPr>
                <w:rFonts w:ascii="Arial" w:cs="Arial" w:eastAsia="Arial" w:hAnsi="Arial"/>
                <w:sz w:val="18"/>
                <w:szCs w:val="18"/>
                <w:color w:val="010101"/>
              </w:rPr>
              <w:t>Combination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56,708,872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501,166</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501,172</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010101"/>
                <w:w w:val="93"/>
              </w:rPr>
              <w:t>Stock-based compensation</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9,987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9,987</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010101"/>
                <w:w w:val="99"/>
              </w:rPr>
              <w:t>Balance - June 30, 2021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010101"/>
                <w:w w:val="71"/>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01010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010101"/>
                <w:w w:val="93"/>
              </w:rPr>
              <w:t>116,463,160</w:t>
            </w:r>
          </w:p>
        </w:tc>
        <w:tc>
          <w:tcPr>
            <w:tcW w:w="5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010101"/>
                <w:w w:val="95"/>
              </w:rPr>
              <w:t>19,937,500</w:t>
            </w:r>
          </w:p>
        </w:tc>
        <w:tc>
          <w:tcPr>
            <w:tcW w:w="520" w:type="dxa"/>
            <w:vAlign w:val="bottom"/>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r>
              <w:rPr>
                <w:rFonts w:ascii="Arial" w:cs="Arial" w:eastAsia="Arial" w:hAnsi="Arial"/>
                <w:sz w:val="18"/>
                <w:szCs w:val="18"/>
                <w:b w:val="1"/>
                <w:bCs w:val="1"/>
                <w:color w:val="010101"/>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010101"/>
              </w:rPr>
              <w:t>723,641</w:t>
            </w:r>
          </w:p>
        </w:tc>
        <w:tc>
          <w:tcPr>
            <w:tcW w:w="180" w:type="dxa"/>
            <w:vAlign w:val="bottom"/>
          </w:tcPr>
          <w:p>
            <w:pPr>
              <w:spacing w:after="0"/>
              <w:rPr>
                <w:sz w:val="20"/>
                <w:szCs w:val="20"/>
                <w:color w:val="auto"/>
              </w:rPr>
            </w:pPr>
            <w:r>
              <w:rPr>
                <w:rFonts w:ascii="Arial" w:cs="Arial" w:eastAsia="Arial" w:hAnsi="Arial"/>
                <w:sz w:val="18"/>
                <w:szCs w:val="18"/>
                <w:b w:val="1"/>
                <w:bCs w:val="1"/>
                <w:color w:val="01010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010101"/>
              </w:rPr>
              <w:t>(219,719)</w:t>
            </w:r>
          </w:p>
        </w:tc>
        <w:tc>
          <w:tcPr>
            <w:tcW w:w="140" w:type="dxa"/>
            <w:vAlign w:val="bottom"/>
          </w:tcPr>
          <w:p>
            <w:pPr>
              <w:spacing w:after="0"/>
              <w:rPr>
                <w:sz w:val="20"/>
                <w:szCs w:val="20"/>
                <w:color w:val="auto"/>
              </w:rPr>
            </w:pPr>
            <w:r>
              <w:rPr>
                <w:rFonts w:ascii="Arial" w:cs="Arial" w:eastAsia="Arial" w:hAnsi="Arial"/>
                <w:sz w:val="18"/>
                <w:szCs w:val="18"/>
                <w:b w:val="1"/>
                <w:bCs w:val="1"/>
                <w:color w:val="01010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010101"/>
              </w:rPr>
              <w:t>503,936</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010101"/>
              </w:rPr>
              <w:t>Net loss</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(18,091)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10101"/>
              </w:rPr>
              <w:t>(18,091)</w:t>
            </w: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010101"/>
              </w:rPr>
              <w:t>Common stock issued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010101"/>
              </w:rPr>
              <w:t>upon exercise of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010101"/>
              </w:rPr>
              <w:t>options and vesting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80"/>
              <w:spacing w:after="0"/>
              <w:rPr>
                <w:sz w:val="20"/>
                <w:szCs w:val="20"/>
                <w:color w:val="auto"/>
              </w:rPr>
            </w:pPr>
            <w:r>
              <w:rPr>
                <w:rFonts w:ascii="Arial" w:cs="Arial" w:eastAsia="Arial" w:hAnsi="Arial"/>
                <w:sz w:val="18"/>
                <w:szCs w:val="18"/>
                <w:color w:val="010101"/>
              </w:rPr>
              <w:t>restricted stock units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254,830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Net equity infusion from</w:t>
            </w:r>
          </w:p>
        </w:tc>
        <w:tc>
          <w:tcPr>
            <w:tcW w:w="9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the Business</w:t>
            </w:r>
          </w:p>
        </w:tc>
        <w:tc>
          <w:tcPr>
            <w:tcW w:w="9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Combination</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40" w:type="dxa"/>
            <w:vAlign w:val="bottom"/>
          </w:tcPr>
          <w:p>
            <w:pPr>
              <w:spacing w:after="0"/>
              <w:rPr>
                <w:sz w:val="20"/>
                <w:szCs w:val="20"/>
                <w:color w:val="auto"/>
              </w:rPr>
            </w:pPr>
            <w:r>
              <w:rPr>
                <w:rFonts w:ascii="Arial" w:cs="Arial" w:eastAsia="Arial" w:hAnsi="Arial"/>
                <w:sz w:val="18"/>
                <w:szCs w:val="18"/>
                <w:color w:val="010101"/>
                <w:w w:val="93"/>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010101"/>
              </w:rPr>
              <w:t>-</w:t>
            </w:r>
          </w:p>
        </w:tc>
        <w:tc>
          <w:tcPr>
            <w:tcW w:w="1020" w:type="dxa"/>
            <w:vAlign w:val="bottom"/>
          </w:tcPr>
          <w:p>
            <w:pPr>
              <w:jc w:val="right"/>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5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010101"/>
              </w:rPr>
              <w:t>7,396</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7,396</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010101"/>
                <w:w w:val="97"/>
              </w:rPr>
              <w:t>Balance - September 30,</w:t>
            </w: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010101"/>
              </w:rPr>
              <w:t>2021</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010101"/>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10101"/>
                <w:w w:val="71"/>
              </w:rPr>
              <w:t>$</w:t>
            </w: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01010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3"/>
              </w:rPr>
              <w:t>116,717,990</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010101"/>
                <w:w w:val="95"/>
              </w:rPr>
              <w:t>19,937,500</w:t>
            </w: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w w:val="99"/>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010101"/>
              </w:rPr>
              <w:t>731,711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(237,810)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493,915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CONVERTIBLE PREFERRED STOCK AND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A</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jc w:val="right"/>
              <w:ind w:right="604"/>
              <w:spacing w:after="0"/>
              <w:rPr>
                <w:sz w:val="20"/>
                <w:szCs w:val="20"/>
                <w:color w:val="auto"/>
              </w:rPr>
            </w:pPr>
            <w:r>
              <w:rPr>
                <w:rFonts w:ascii="Arial" w:cs="Arial" w:eastAsia="Arial" w:hAnsi="Arial"/>
                <w:sz w:val="18"/>
                <w:szCs w:val="18"/>
                <w:b w:val="1"/>
                <w:bCs w:val="1"/>
                <w:color w:val="auto"/>
              </w:rPr>
              <w:t>Class B</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95"/>
        </w:trPr>
        <w:tc>
          <w:tcPr>
            <w:tcW w:w="2380" w:type="dxa"/>
            <w:vAlign w:val="bottom"/>
          </w:tcPr>
          <w:p>
            <w:pPr>
              <w:spacing w:after="0"/>
              <w:rPr>
                <w:sz w:val="8"/>
                <w:szCs w:val="8"/>
                <w:color w:val="auto"/>
              </w:rPr>
            </w:pPr>
          </w:p>
        </w:tc>
        <w:tc>
          <w:tcPr>
            <w:tcW w:w="2480" w:type="dxa"/>
            <w:vAlign w:val="bottom"/>
            <w:gridSpan w:val="5"/>
            <w:vMerge w:val="restart"/>
          </w:tcPr>
          <w:p>
            <w:pPr>
              <w:ind w:left="600"/>
              <w:spacing w:after="0"/>
              <w:rPr>
                <w:sz w:val="20"/>
                <w:szCs w:val="20"/>
                <w:color w:val="auto"/>
              </w:rPr>
            </w:pPr>
            <w:r>
              <w:rPr>
                <w:rFonts w:ascii="Arial" w:cs="Arial" w:eastAsia="Arial" w:hAnsi="Arial"/>
                <w:sz w:val="18"/>
                <w:szCs w:val="18"/>
                <w:b w:val="1"/>
                <w:bCs w:val="1"/>
                <w:color w:val="auto"/>
              </w:rPr>
              <w:t>common stock</w:t>
            </w:r>
          </w:p>
        </w:tc>
        <w:tc>
          <w:tcPr>
            <w:tcW w:w="2080" w:type="dxa"/>
            <w:vAlign w:val="bottom"/>
            <w:gridSpan w:val="3"/>
            <w:vMerge w:val="restart"/>
          </w:tcPr>
          <w:p>
            <w:pPr>
              <w:jc w:val="right"/>
              <w:ind w:right="344"/>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4"/>
              </w:rPr>
              <w:t>paid-in</w:t>
            </w:r>
          </w:p>
        </w:tc>
        <w:tc>
          <w:tcPr>
            <w:tcW w:w="132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w w:val="95"/>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stockholders’</w:t>
            </w:r>
          </w:p>
        </w:tc>
        <w:tc>
          <w:tcPr>
            <w:tcW w:w="0" w:type="dxa"/>
            <w:vAlign w:val="bottom"/>
          </w:tcPr>
          <w:p>
            <w:pPr>
              <w:spacing w:after="0"/>
              <w:rPr>
                <w:sz w:val="1"/>
                <w:szCs w:val="1"/>
                <w:color w:val="auto"/>
              </w:rPr>
            </w:pPr>
          </w:p>
        </w:tc>
      </w:tr>
      <w:tr>
        <w:trPr>
          <w:trHeight w:val="49"/>
        </w:trPr>
        <w:tc>
          <w:tcPr>
            <w:tcW w:w="238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010101"/>
              </w:rPr>
              <w:t>Shares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010101"/>
              </w:rPr>
              <w:t>Amount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010101"/>
              </w:rPr>
              <w:t>Shares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010101"/>
              </w:rPr>
              <w:t>Amount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capital</w:t>
            </w:r>
          </w:p>
        </w:tc>
        <w:tc>
          <w:tcPr>
            <w:tcW w:w="22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equity (deficit)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w w:val="95"/>
              </w:rPr>
              <w:t>Balance - December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118,025,410</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4"/>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744,252</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(267,232)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477,034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010101"/>
              </w:rPr>
              <w:t>Net loss</w:t>
            </w:r>
          </w:p>
        </w:tc>
        <w:tc>
          <w:tcPr>
            <w:tcW w:w="1160" w:type="dxa"/>
            <w:vAlign w:val="bottom"/>
          </w:tcPr>
          <w:p>
            <w:pPr>
              <w:jc w:val="right"/>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4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010101"/>
              </w:rPr>
              <w:t>(35,175)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010101"/>
              </w:rPr>
              <w:t>(35,175)</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Common stock issued upon</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010101"/>
                <w:w w:val="93"/>
              </w:rPr>
              <w:t>exercise of stock options and</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vesting of restricted stock</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units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946,987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8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730</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730</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Arial" w:cs="Arial" w:eastAsia="Arial" w:hAnsi="Arial"/>
                <w:sz w:val="18"/>
                <w:szCs w:val="18"/>
                <w:color w:val="010101"/>
              </w:rPr>
              <w:t>Stock-based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4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010101"/>
              </w:rPr>
              <w:t>(714)</w:t>
            </w: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010101"/>
              </w:rPr>
              <w:t>(714)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rPr>
              <w:t>Balance - March 31,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118,972,397</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4"/>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010101"/>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744,268</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(302,407)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010101"/>
              </w:rPr>
              <w:t>Net loss</w:t>
            </w:r>
          </w:p>
        </w:tc>
        <w:tc>
          <w:tcPr>
            <w:tcW w:w="1160" w:type="dxa"/>
            <w:vAlign w:val="bottom"/>
          </w:tcPr>
          <w:p>
            <w:pPr>
              <w:jc w:val="right"/>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4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010101"/>
              </w:rPr>
              <w:t>(32,414)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010101"/>
              </w:rPr>
              <w:t>(32,414)</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Common stock issued upon</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010101"/>
                <w:w w:val="93"/>
              </w:rPr>
              <w:t>exercise of stock options and</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vesting of restricted stock</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units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271,731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8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264</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264</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Arial" w:cs="Arial" w:eastAsia="Arial" w:hAnsi="Arial"/>
                <w:sz w:val="18"/>
                <w:szCs w:val="18"/>
                <w:color w:val="010101"/>
              </w:rPr>
              <w:t>Stock-based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4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010101"/>
              </w:rPr>
              <w:t>3,770</w:t>
            </w: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010101"/>
              </w:rPr>
              <w:t>3,770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rPr>
              <w:t>Balance - June 30,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119,244,128</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4"/>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010101"/>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748,302</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(334,821)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413,495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010101"/>
              </w:rPr>
              <w:t>Net loss</w:t>
            </w:r>
          </w:p>
        </w:tc>
        <w:tc>
          <w:tcPr>
            <w:tcW w:w="1160" w:type="dxa"/>
            <w:vAlign w:val="bottom"/>
          </w:tcPr>
          <w:p>
            <w:pPr>
              <w:jc w:val="right"/>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4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010101"/>
              </w:rPr>
              <w:t>(31,713)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010101"/>
              </w:rPr>
              <w:t>(31,713)</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Common stock issued upon</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010101"/>
                <w:w w:val="93"/>
              </w:rPr>
              <w:t>exercise of stock options and</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vesting of restricted stock</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units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604,042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1,625</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Arial" w:cs="Arial" w:eastAsia="Arial" w:hAnsi="Arial"/>
                <w:sz w:val="18"/>
                <w:szCs w:val="18"/>
                <w:color w:val="010101"/>
              </w:rPr>
              <w:t>Stock-based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4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010101"/>
              </w:rPr>
              <w:t>4,043</w:t>
            </w: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010101"/>
              </w:rPr>
              <w:t>4,043</w:t>
            </w: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010101"/>
                <w:w w:val="93"/>
              </w:rPr>
              <w:t>Balance - September 30,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119,848,170</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010101"/>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753,970</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(366,534)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387,450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6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8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(99,302)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(65,567)</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Loss on marketable securities (realized and unrealized)</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22,783</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fixed assets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(5,121)</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(3,442)</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17,840</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(4,049)</w:t>
            </w:r>
          </w:p>
        </w:tc>
      </w:t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Other assets - related party</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(6,443)</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1,268</w:t>
            </w:r>
          </w:p>
        </w:tc>
      </w:t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w:t>
            </w:r>
          </w:p>
        </w:tc>
      </w:tr>
      <w:tr>
        <w:trPr>
          <w:trHeight w:val="223"/>
        </w:trPr>
        <w:tc>
          <w:tcPr>
            <w:tcW w:w="846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7,451</w:t>
            </w:r>
          </w:p>
        </w:tc>
      </w:tr>
      <w:tr>
        <w:trPr>
          <w:trHeight w:val="223"/>
        </w:trPr>
        <w:tc>
          <w:tcPr>
            <w:tcW w:w="8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(70,977)</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(3,123)</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(834)</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(438,736)</w:t>
            </w:r>
          </w:p>
        </w:tc>
      </w:tr>
      <w:tr>
        <w:trPr>
          <w:trHeight w:val="223"/>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marketable securities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119,759</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60" w:type="dxa"/>
            <w:vAlign w:val="bottom"/>
          </w:tcPr>
          <w:p>
            <w:pPr>
              <w:ind w:left="6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111,684</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(441,859)</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4,387</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equity infusion from the Business Combination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512,794</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Payment of notes payable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(1,749)</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 - business acquisition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Payment of deferred consideration - business acquisition</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issuance costs for Series E convertible preferred stock</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8460" w:type="dxa"/>
            <w:vAlign w:val="bottom"/>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8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1,771</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515,400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42,478</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25,193</w:t>
            </w: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35,785</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78,263</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62,103</w:t>
            </w:r>
          </w:p>
        </w:tc>
      </w:tr>
      <w:tr>
        <w:trPr>
          <w:trHeight w:val="20"/>
        </w:trPr>
        <w:tc>
          <w:tcPr>
            <w:tcW w:w="8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Cash received from exchange of research and development tax credits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Noncash acquisition of property and equipment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798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Forgiveness of related party promissory notes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Noncash equity related transaction costs from the Business Combination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equity related warrants from the Business Combination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11,618</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Conversion of the convertible preferred stock into Class A and Class B common stock</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195,810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2022 AND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FOR THE THREE AND NINE MONTHS ENDED 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Quantum-Si Incorporated (including its subsidiaries, the “Company” or “Quantum-Si”) was originally incorporated in Delaware on June 10, 2020 as a special purpose acquisition company under the name HighCape Capital Acquisition Corp. (“HighCape”) for the purpose of effecting a merger, capital stock exchange, asset acquisition, stock purchase, reorganization or similar business combination involving HighCape and one or more businesses. On June 10, 2021 (the “Closing”), the Company consummated the transaction contemplated by the Business Combination Agreement, dated February 18, 2021 (the “Business Combination Agreement”), by and among HighCape, Tenet Merger Sub, Inc., a Delaware corporation (“Merger Sub”) and Quantum-Si Incorporated, a Delaware corporation (“Legacy Quantum-Si”).</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terms of the Business Combination Agreement, a business combination between HighCape was effected through the merger of Merger Sub with and into Legacy Quantum-Si, with Legacy Quantum-Si surviving as the surviving company and a wholly owned subsidiary of HighCape (the “Merger” and collectively with the other transaction described in the Business Combination Agreement, the “Business Combination”). Effective as of the Closing, HighCape changed its name to Quantum-Si Incorporated and Legacy Quantum-Si changed its name to Q-SI Operations Inc. The financial information prior to the Business Combination represents the financial results and condition of Legacy Quantum-Si.</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is an innovative life sciences company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the Company is first applying to proteomics to enable Next-Generation Protein Sequencing (“NGPS”), the ability to sequence proteins in a massively parallel fashion (rather than sequentially, one at a time), and can be used for the study of nucleic acids. The Company’s</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platform is comprised of the Carbon</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automated sample preparation instrument, the Platinum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NGPS instrument, the Quantum-Si Cloud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software service, and reagent kits and chips for use with its instruments.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has incurred recurring losses each year since its inception, the Company expects its cash and cash equivalents, and marketable securities will be able to fund its operations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regarding interim financial reporting. All intercompany transactions are eliminated. Certain information and note disclosures normally included in financial statements prepared in accordance with U.S. GAAP have been condensed or omitted pursuant to such rules and regulations.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the notes thereto included in the Company’s Annual Report on Form 10-K for the year ended December 31, 2021. The condensed consolidated balance sheet as of December 31, 2021 included herein was derived from the audited consolidated financial statements as of that date, but does not include all disclosures, including certain notes required by U.S. GAAP, on an annual reporting basis.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opinion of management, the accompanying condensed consolidated financial statements reflect all normal recurring adjustments necessary to present fairly the financial position, results of operations, and cash flows for the interim periods. The results for the three and nine months ended September 30, 2022 are not necessarily indicative of the results to be expected for any subsequent quarter, the year ending December 31, 2022, or any other period.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Company’s significant accounting policies as described in the Company’s audited consolidated financial statements as of and for the years ended December 31, 2021 and 2020.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Outbreak</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the Company’s operating results, financial condition and cash flows. The COVID-19 pandemic had, and is expected to continue to have, an adverse impact on the Company’s operations, particularly as a result of preventive and precautionary measures that the Company, other businesses, and governments are taking. Governmental mandates related to COVID-19 or other infectious diseases, or public health crises, have impacted, and the Company expects them to continue to impact, its personnel and personnel at third-party manufacturing facilities in the United States and other countries, and the availability or cost of materials, which would disrupt or delay the Company’s receipt of instruments, components and supplies from the third parties the Company relies on to, among other things, produce its products currently under development. The COVID-19 pandemic has also had an adverse effect on the Company’s ability to attract, recruit, interview and hire at the pace the Company would typically expect to support its rapidly expanding operations. To the extent that any governmental authority imposes additional regulatory requirements or changes existing laws, regulations, and policies that apply to the Company’s business and operations, such as additional workplace safety measures, the Company’s product development plans may be delayed, and the Company may incur further costs in bringing its business and operations into compliance with changing or new laws, regulations, and policies. The full extent to which the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 including inflation on product and service costs.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estimates of the impact on the Company’s business may change based on new information that may emerge concerning COVID-19 and the actions to contain it or address its impact and the economic impact on local, regional, national and international markets as well as other changes in macroeconomic factors. The COVID-19 pandemic and related economic disruptions have not had a material adverse impact on the Company’s operations to date. While the Company is unable to predict the full impact that the COVID-19 pandemic will have on the Company’s future results of operations, liquidity and financial condition due to numerous uncertainties, including the duration of the pandemic, the actions that may be taken by government authorities across the United States, adverse changes in macroeconomic conditions, if sustained or recurrent, could result in significant changes in costs going forward with material adverse effect on the Company’s operating results, financial condition, and cash flows.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incurred any significant impairment losses in the carrying values of the Company’s assets as a result of the COVID-19 pandemic and is not aware of any specific related event or circumstance that would require the Company to revise its estimates reflected in its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Global Developments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2022,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although the Company has no operations in or direct exposure to Russia, Belarus and Ukraine, the Company has experienced limited constraints in availability and increasing costs required to obtain some materials and supplies due, in part, to the negative impact of the Russia-Ukraine military conflict on the global economy. To date, the Company’s business has not been materially impacted by the conflict, however, as the conflict continues or worsens, it may impact the Company’s business,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and marketable securities. As of September 30, 2022 and December 31, 2021, substantially all of the Company’s cash and cash equivalents and marketable securities were invested in fixed income mutual funds at one financial institution. The Company also maintains balances in various operating accounts above federally insured limits. After considering dividend income derived from such investments, the Company has not recognized any significant realized losses on such accounts and does not believe it is exposed to any significant credit risk on cash and cash equivalents and marketable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for consistency with the current year’s presentation.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the Company to make estimates and assumptions about future events that affect the amounts reported in its condensed consolidated financial statements and accompanying notes. Future events and their effects cannot be determined with certainty. On an ongoing basis, management evaluates these estimates and assumptions. Significant estimates and assumptions include:</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allowances with respect to deferred tax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for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of goodwill;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used for leases;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of warrant liabilities;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underlying the fair value used in the calculation of the 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Company’s international operations, the local currency has been determined to be the functional currency. The results of its non-U.S. dollar-based operations are translated to U.S. dollars at the average exchange rates during the period. Assets and liabilities are translated at the rate of exchange prevailing on the balance sheet date. Equity is translated at the prevailing rate of exchange at the date of the equity transaction. Translation adjustments are reflected in Stockholders’ equity and are included as a component of Other comprehensive (loss)/income. The translational effects of revaluing non-functional currency assets and liabilities into the functional currency are recorded as Other (expense), net in the condensed consolidated statements of operations and comprehensive loss.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realizes foreign currency gains/(losses) in the normal course of business based on movement in the applicable exchange rates. These transactional gains/(losses) are included as a component of Other (expense), net in the condensed consolidated statements of operations and comprehensive loss. As of September 30, 2022 and for the three and nine months ended September 30, 2022, there was no material effect of foreign currency translation and transactions on the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investments in marketable securities consist of ownership interests in fixed income mutual funds. The securities are stated at fair value, as determined by quoted market prices. As the securities have readily determinable fair value, unrealized gains and losses are reported as Other (expense), net on the condensed consolidated statements of operations and comprehensive loss. Subsequent gains or losses realized upon redemption or sale of these securities are also recorded as Other (expense), net on the condensed consolidated statements of operations and comprehensive loss. The Company considers all of its investments in marketable securities as available for use in current operations and therefore classifies these securities within current assets on the condensed consolidated balance sheets.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and nine months ended September 30, 2022, the Company reported unrealized losses of $4,240 and $20,384, respectively, related to securities held as of September 30, 2022. Realized losses related to securities that matured or were sold during the three and nine months ended September 30, 2022 were $1,348 and $2,399, respectively. For the three and nine months ended September 30, 2022, the Company recognized $1,381 and $3,288, respectively, in dividend income from marketable securities. For the three and nine months ended September 30, 2021, the Company reported unrealized losses of $634 related to securities held as of September 30, 2021. There were no realized losses related to securities that matured or were sold during the three and nine months ended September 30, 2021. For the three and nine months ended September 30, 2021, the Company recognized $739 and $741, respectively, in dividend income from marketable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December 31, 2021, the Company lost its emerging growth company status which accelerated the adoption of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Company’s adoption of ASU 2016-02 was effective retrospectively to January 1, 2021, the beginning of the year. In accordance with ASU 2016-02, for arrangements in existence as of January 1, 2021 and any new arrangements entered into thereafter, the Company determines if an arrangement is a lease at inception and records right-of-use (“ROU”) assets and lease liabilities on the condensed consolidated balance sheets at lease commencement.</w:t>
      </w:r>
    </w:p>
    <w:p>
      <w:pPr>
        <w:sectPr>
          <w:pgSz w:w="11900" w:h="16838" w:orient="portrait"/>
          <w:cols w:equalWidth="0" w:num="1">
            <w:col w:w="11240"/>
          </w:cols>
          <w:pgMar w:left="320" w:top="122"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leases generally do not have a readily determinable implicit discount rate. As such, the Company uses an incremental borrowing rate based on the information available at the lease commencement date to determine the present value of the lease payments. The Company’s incremental borrowing rate is the estimated rate that would be required to pay for a collateralized borrowing equal to the total lease payment over the lease term. The Company measures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 for operating leases. Finance leases will result in a front-loaded expense pattern. With respect to finance leases, amortization of the ROU asset is presented separately from interest expense related to the finance lease liability. In addition, the Company does not have significant residual value guarantees or restrictive covenants in the lease portfolio.</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monthly rental payments as incurred in Selling, general and administrative and in Research and development in the condensed consolidated statements of operations and comprehensive loss. The Company’s lease agreements contain variable lease costs for common area maintenance, utilities, taxes and insurance, which are expensed as incurred.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its adoption of the new lease standard effective January 1, 2021, the Company has implemented new accounting policies and processes which changed the Company’s internal controls over financial reporting for lease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which represents the excess of purchase price over the fair value of net assets acquired, is carried at cost. Goodwill is not amortized; rather, it is subject to a periodic assessment for impairment by applying a fair value-based test. Beginning in 2022, the Company will review goodwill for possible impairment annually during the fourth quarter as of October 1, or whenever events or circumstances indicate that the carrying amount may not be recoverable. No impairments were recorded for the three and nine months ended September 30, 2022 or 2021.</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test goodwill for impairment, an entity is permitted to first assess qualitative factors to determine whether a quantitative assessment of goodwill is necessary. The qualitative factors considered by the Company may include, but are not limited to, general economic conditions, the Company’s outlook, market performance of the Company’s industry and recent and forecasted financial performance. Further testing is only required if the entity determines, based on the qualitative assessment, that it is more likely than not that a reporting unit’s fair value is less than its carrying amount. Otherwise, no further impairment testing is required. If a quantitative assessment is required, the Company determines the fair value of its reporting unit using a combination of the income and market approaches. If the net book value of the reporting unit exceeds its fair value, the Company recognizes a goodwill impairment charge for the reporting unit equal to the lesser of (i) the total goodwill allocated to that reporting unit and (ii) the amount by which that reporting unit’s carrying amount exceeds its fair value. Assumptions and estimates used in the evaluation of impairment which primarily include, but are not limited to, discount rates, terminal growth rates, market comparables, and capital expenditure and cash flow forecasts, may affect the fair value of goodwill, which could result in impairment charges in future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its long-lived assets for impairment at least annually or when the Company determines a triggering event has occurred. When a triggering event has occurred, each impairment test is based on a comparison of the future expected undiscounted cash flow to the recorded value of the asset. If the recorded value of the asset is less than the undiscounted cash flow, the asset is written down to its estimated fair value. No impairments were recorded for the three and nine months ended September 30, 2022 or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Company’s outstanding warrants include publicly-traded warrants (the “Public Warrants”) which were issued as one-third of one redeemable warrant per unit issued during HighCape’s initial public offering on September 9, 2020, and warrants sold in a private placement (the “Private Warrants”) to HighCape’s sponsor, HighCape Capital Acquisition LLC (the “Sponsor”). The Company evaluated its warrants under Accounting Standards Codification (“ASC”) 815-40, </w:t>
      </w:r>
      <w:r>
        <w:rPr>
          <w:rFonts w:ascii="Arial" w:cs="Arial" w:eastAsia="Arial" w:hAnsi="Arial"/>
          <w:sz w:val="18"/>
          <w:szCs w:val="18"/>
          <w:i w:val="1"/>
          <w:iCs w:val="1"/>
          <w:color w:val="auto"/>
        </w:rPr>
        <w:t>Derivatives and Hedging-Contracts in Entity’s Own Equity</w:t>
      </w:r>
      <w:r>
        <w:rPr>
          <w:rFonts w:ascii="Arial" w:cs="Arial" w:eastAsia="Arial" w:hAnsi="Arial"/>
          <w:sz w:val="18"/>
          <w:szCs w:val="18"/>
          <w:color w:val="auto"/>
        </w:rPr>
        <w:t xml:space="preserve"> (“ASC 815-40”), and concluded that they do not meet the criteria to be classified in stockholders’ equity. Since the Public Warrants and Private Warrants meet the definition of a derivative under ASC 815-40, the Company recorded these warrants as long-term liabilities on the condensed consolidated balance sheet at fair value upon the Closing of the Business Combination, with subsequent changes in their respective fair values recognized in the condensed consolidated statements of operations and comprehensive loss at each reporting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new accounting pronouncement issued or effective during the three and nine months ended September 30, 2022 had, or is expected to have, a material impact on the Company’s condensed consolidated financial statements.</w:t>
      </w:r>
    </w:p>
    <w:p>
      <w:pPr>
        <w:sectPr>
          <w:pgSz w:w="11900" w:h="16838" w:orient="portrait"/>
          <w:cols w:equalWidth="0" w:num="1">
            <w:col w:w="11240"/>
          </w:cols>
          <w:pgMar w:left="320" w:top="122"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1, “Organization and Description of Business,” on June 10, 2021, the Company consummated the Business Combination, with Legacy Quantum-Si surviving the Merger as a wholly owned subsidiary of the Company.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Business Combination Agreement, at the effective time of the Merger (the “Effective Time”), each share of Legacy Quantum-Si capital stock (other than shares of Legacy Quantum-Si Series A preferred stock) that was issued and outstanding was automatically cancelled and extinguished and converted into the right to receive 0.7975 (the “Exchange Ratio”) shares of the Company’s Class A common stock, and each share of Legacy Quantum-Si Series A preferred stock that was issued and outstanding was automatically cancelled and extinguished and converted into the right to receive the number of shares of the Company’s Class B common stock equal to the Exchange Ratio.</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number of shares of the Company’s Class A common stock outstanding immediately following the Closing was 116,463,160, and the total number of the Company’s Class B common stock outstanding immediately following the Closing was 19,937,500.</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Business Combination, certain institutional investors purchased from the Company an aggregate of 42,500,000 shares of the Company’s Class A common stock for a purchase price of $10.00 per share and an aggregate purchase price of $425,001 pursuant to separate subscription agreements entered into effective as of February 18, 2021. In addition, pursuant to subscription agreements entered into effective as of February 18, 2021, certain affiliates of Foresite Capital Management, LLC purchased an aggregate of 696,250 shares of the Company’s Class A common stock at a purchase price of $0.001 per share for aggregate purchase price of $1 after a corresponding number of shares of the Company’s Class B common stock was irrevocably forfeited by the Sponsor to HighCape for no consideration and automatically cancelled.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Business Combination was accounted for as a reverse recapitalization in accordance with U.S. GAAP primarily due to the fact that Legacy Quantum-Si stockholders continued to control the Company following the Closing of the Business Combination. Under this method of accounting, HighCape was treated as the “acquired” company for accounting purposes and the Business Combination was treated as the equivalent of Legacy Quantum-Si issuing stock for the net assets of HighCape, accompanied by a recapitalization. The net assets of HighCape were stated at historical cost, with no goodwill or other intangible assets recorded. Reported shares and earnings per share available to holders of the Company’s capital stock and equity awards prior to the Business Combination were retroactively restated reflecting the Exchange Ratio.</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the Company’s certificate of incorporation was amended and restated to, among other things, adopt a dual class structure, comprised of the Company’s Class A common stock, which is entitled to one vote per share, and the Company’s Class B common stock, which is entitled to 20 votes per share. The Company’s Class B common stock has the same economic terms as the Company’s Class A common stock, but is subject to a “sunset” provision if Jonathan M. Rothberg, Ph.D., the founder of Legacy Quantum-Si and Chairman of the Company (“Dr. Rothberg”), and other permitted holders of the Company’s Class B common stock collectively cease to beneficially own at least twenty percent (20%) of the number of shares of the Company’s Class B common stock (as such number of shares is equitably adjusted in respect of any reclassification, stock dividend, subdivision, combination or recapitalization of the Company’s Class B common stock) collectively held by Dr. Rothberg and permitted transferees of the Company’s Class B common stock as of the Effective Time.</w:t>
      </w:r>
    </w:p>
    <w:p>
      <w:pPr>
        <w:spacing w:after="0" w:line="188" w:lineRule="exact"/>
        <w:rPr>
          <w:sz w:val="20"/>
          <w:szCs w:val="20"/>
          <w:color w:val="auto"/>
        </w:rPr>
      </w:pPr>
    </w:p>
    <w:p>
      <w:pPr>
        <w:ind w:right="916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Majelac Technologies LLC</w:t>
      </w:r>
    </w:p>
    <w:p>
      <w:pPr>
        <w:jc w:val="both"/>
        <w:spacing w:after="0" w:line="269" w:lineRule="auto"/>
        <w:rPr>
          <w:sz w:val="20"/>
          <w:szCs w:val="20"/>
          <w:color w:val="auto"/>
        </w:rPr>
      </w:pPr>
      <w:r>
        <w:rPr>
          <w:rFonts w:ascii="Arial" w:cs="Arial" w:eastAsia="Arial" w:hAnsi="Arial"/>
          <w:sz w:val="17"/>
          <w:szCs w:val="17"/>
          <w:color w:val="auto"/>
        </w:rPr>
        <w:t>Pursuant to the terms and conditions of an Asset Purchase Agreement by and among the Company, Majelac Technologies LLC (“Majelac”), and certain other parties, on November 5, 2021 (the “Majelac Closing Date”), the Company acquired certain assets and assumed certain liabilities of Majelac, a privately-owned company providing semiconductor chip assembly and packaging capabilities located in Pennsylvania, for $4,632 in cash including $132 in reimbursement for certain recently purchased equipment, and 535,715 shares of Class A common stock, valued at $4,232, issued to Majelac subject to certain restrictions. An additional 59,523 shares of Class A common stock valued at $471 will be issued to Majelac 12 months after the Majelac Closing Date less the number of shares of Class A common stock that may be required by the buyer indemnitees to satisfy any unresolved claims for indemnification, if any. The Company also assumed the legal fees of Majelac of $50. Additional purchase price consideration of $500 in cash was to be paid six months after the Majelac Closing Date less any amount that could be required by the buyer indemnitees to satisfy any unresolved claims for indemnification, if any. The Company agreed to pay additional milestone-based consideration of up to $800, which was fair valued at $531. On May 4, 2022, the Company paid Majelac $900 in cash, which consisted of $500 for the additional purchase price consideration and $400 (fair value of $348 at the Majelac Closing Date) for the first of two milestones that was met.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acquisition brings semiconductor chip assembly and packaging capabilities in-house to secure the Company’s supply chain and support scaling commercialization efforts. Prior to the acquisition, Majelac was a vendor of the Company.</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purchase price allocation at the Majelac Closing Date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Purchase Price</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89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980" w:hanging="97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27</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906</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9,483</w:t>
      </w:r>
    </w:p>
    <w:p>
      <w:pPr>
        <w:spacing w:after="0" w:line="41" w:lineRule="exact"/>
        <w:rPr>
          <w:sz w:val="20"/>
          <w:szCs w:val="20"/>
          <w:color w:val="auto"/>
        </w:rPr>
      </w:pPr>
    </w:p>
    <w:p>
      <w:pPr>
        <w:ind w:left="660" w:hanging="656"/>
        <w:spacing w:after="0"/>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10,416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28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57785</wp:posOffset>
            </wp:positionV>
            <wp:extent cx="728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260" w:space="720"/>
            <w:col w:w="1260"/>
          </w:cols>
          <w:pgMar w:left="320" w:top="122" w:right="339" w:bottom="1440" w:gutter="0" w:footer="0" w:header="0"/>
          <w:type w:val="continuous"/>
        </w:sectPr>
      </w:pP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represents the excess of the consideration transferred over the aggregate fair values of assets acquired and liabilities assumed. The goodwill recorded in connection with this acquisition was based on operating synergies and other benefits expected to result from the combined operations. The goodwill acquired is amortizable for tax purposes over a period of 15 years.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Acquisition-related costs recognized for the three and nine months ended September 30, 2022 including transaction costs such as legal, accounting, valuation and other professional services, were $0 and $26, respectively, and are included in Selling, general and administrative on the condensed consolidated statements of operations and comprehensive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an entity has the ability to access.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based on inputs that are supported by little or no market activity and that are significant to the fair value of the assets or liabilities.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carrying value of cash and cash equivalents, accounts payable and accrued expenses and other current liabilities approximates their fair values due to the short-term or on demand nature of these instruments. There were no transfers between fair value measurement levels during the three and nine months ended September 30, 2022. The Company accounted for the warrants as liabilities in accordance with ASC 815-40 and are presented as Warrant liabilities on the condensed consolidated balance sheets. The warrant liabilities are measured at fair value at inception and on a recurring basis, with changes in fair value presented as Change in fair value of warrant liabilities in the condensed consolidated statements of operations and comprehensive loss.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Public Warrants and Private Warrants were carried at fair value as of September 30, 2022.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September 30, 2022, the significant assumptions used in preparing the binomial lattice model for valuing the Private Warrants liability include (i) volatility of 72.7%, (ii) risk-free interest rate of 4.10%, (iii) strike price of $11.50, (iv) fair value of common stock of $2.75, and (v) expected life of 3.7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Fixed income mutual funds were valued using quoted market prices and accordingly were classified as Level 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assets and liabilities that are measured at fair value on a recurring basis, by level, within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 Level</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mutual funds - Cash and cash equivalents</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77,567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77,567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293,811</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293,811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371,378</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371,378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2,032</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2,032</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2,118</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2,032</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 Level</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mutual funds - Cash and cash equivalents</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33,965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33,965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435,519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435,519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469,484</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469,484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6,900</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6,900</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7,239</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6,900</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339</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6. PROPERTY AND EQUIPMENT, NET</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5"/>
          </w:tcPr>
          <w:p>
            <w:pPr>
              <w:spacing w:after="0"/>
              <w:rPr>
                <w:sz w:val="20"/>
                <w:szCs w:val="20"/>
                <w:color w:val="auto"/>
              </w:rPr>
            </w:pPr>
            <w:r>
              <w:rPr>
                <w:rFonts w:ascii="Arial" w:cs="Arial" w:eastAsia="Arial" w:hAnsi="Arial"/>
                <w:sz w:val="18"/>
                <w:szCs w:val="18"/>
                <w:color w:val="auto"/>
              </w:rPr>
              <w:t>Property and equipment, net, are recorded at historical cost and consist of the following:</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production equipment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Computer equipment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(5,662)</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13,764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Depreciation expense amounted to $729 and $264 for the three months ended September 30, 2022 and 2021, respectively, and $1,789 and $712 for the nine months ended September 30, 2022 and 2021, respectively. The Company had disposals of $9 relating to property and equipment of $11 with accumulated depreciation of $2 for the nine months ended September 30, 2022. There were no disposals for the nine months ended September 30, 2021.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Contracted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 costs and contingencies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Legal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9,586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7,276</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commitments under lease arrangements for office and manufacturing space and office equipment. The Company’s leases have initial lease terms ranging from one year to 10 years. These leases include options to extend or renew the leases for an additional period of one to 10 years.</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leases are accounted for on the condensed consolidated balance sheets with ROU assets being recognized in “Operating lease right-of-use assets” and lease liabilities recognized in “Short-term operating lease liabilities” and “Operating lease liabilities”. Lease-related costs are included in Research and development and Selling, general and administrative in the condensed consolidated statements of operations and comprehensive loss.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Lease-related costs for the three and nine months ended September 30, 2022 and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right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79"/>
              </w:rPr>
              <w:t>819</w:t>
            </w: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18"/>
                <w:szCs w:val="18"/>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110</w:t>
            </w:r>
          </w:p>
        </w:tc>
        <w:tc>
          <w:tcPr>
            <w:tcW w:w="8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321</w:t>
            </w: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922</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lease cost</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1,250</w:t>
            </w:r>
          </w:p>
        </w:tc>
        <w:tc>
          <w:tcPr>
            <w:tcW w:w="240" w:type="dxa"/>
            <w:vAlign w:val="bottom"/>
          </w:tcPr>
          <w:p>
            <w:pPr>
              <w:spacing w:after="0"/>
              <w:rPr>
                <w:sz w:val="18"/>
                <w:szCs w:val="18"/>
                <w:color w:val="auto"/>
              </w:rPr>
            </w:pPr>
          </w:p>
        </w:tc>
        <w:tc>
          <w:tcPr>
            <w:tcW w:w="800" w:type="dxa"/>
            <w:vAlign w:val="bottom"/>
          </w:tcPr>
          <w:p>
            <w:pPr>
              <w:jc w:val="right"/>
              <w:ind w:right="641"/>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394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3,596</w:t>
            </w:r>
          </w:p>
        </w:tc>
        <w:tc>
          <w:tcPr>
            <w:tcW w:w="780" w:type="dxa"/>
            <w:vAlign w:val="bottom"/>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643</w:t>
            </w:r>
          </w:p>
        </w:tc>
      </w:tr>
      <w:tr>
        <w:trPr>
          <w:trHeight w:val="21"/>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8160" w:type="dxa"/>
            <w:vAlign w:val="bottom"/>
            <w:gridSpan w:val="5"/>
          </w:tcPr>
          <w:p>
            <w:pPr>
              <w:spacing w:after="0"/>
              <w:rPr>
                <w:sz w:val="20"/>
                <w:szCs w:val="20"/>
                <w:color w:val="auto"/>
              </w:rPr>
            </w:pPr>
            <w:r>
              <w:rPr>
                <w:rFonts w:ascii="Arial" w:cs="Arial" w:eastAsia="Arial" w:hAnsi="Arial"/>
                <w:sz w:val="18"/>
                <w:szCs w:val="18"/>
                <w:color w:val="auto"/>
                <w:w w:val="93"/>
              </w:rPr>
              <w:t>Other information related to operating leases as of September 30, 2022 and December 31, 2021 is as follows: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7.5</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5"/>
              </w:rPr>
              <w:t>5.9</w:t>
            </w: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600"/>
              <w:spacing w:after="0"/>
              <w:rPr>
                <w:sz w:val="20"/>
                <w:szCs w:val="20"/>
                <w:color w:val="auto"/>
              </w:rPr>
            </w:pPr>
            <w:r>
              <w:rPr>
                <w:rFonts w:ascii="Arial" w:cs="Arial" w:eastAsia="Arial" w:hAnsi="Arial"/>
                <w:sz w:val="18"/>
                <w:szCs w:val="18"/>
                <w:color w:val="auto"/>
              </w:rPr>
              <w:t>7.6%</w:t>
            </w:r>
          </w:p>
        </w:tc>
        <w:tc>
          <w:tcPr>
            <w:tcW w:w="78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87"/>
              </w:rPr>
              <w:t>7.0%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cash flow and supplemental cash flow information related to the Company’s lease liabilities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680" w:type="dxa"/>
            <w:vAlign w:val="bottom"/>
            <w:gridSpan w:val="7"/>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9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paid to settle operating lease liabilities</w:t>
            </w:r>
          </w:p>
        </w:tc>
        <w:tc>
          <w:tcPr>
            <w:tcW w:w="3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38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388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9,466</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w:t>
            </w:r>
          </w:p>
        </w:tc>
      </w:tr>
      <w:tr>
        <w:trPr>
          <w:trHeight w:val="569"/>
        </w:trPr>
        <w:tc>
          <w:tcPr>
            <w:tcW w:w="4940" w:type="dxa"/>
            <w:vAlign w:val="bottom"/>
          </w:tcPr>
          <w:p>
            <w:pPr>
              <w:spacing w:after="0"/>
              <w:rPr>
                <w:sz w:val="24"/>
                <w:szCs w:val="24"/>
                <w:color w:val="auto"/>
              </w:rPr>
            </w:pPr>
          </w:p>
        </w:tc>
        <w:tc>
          <w:tcPr>
            <w:tcW w:w="3620" w:type="dxa"/>
            <w:vAlign w:val="bottom"/>
          </w:tcPr>
          <w:p>
            <w:pPr>
              <w:jc w:val="right"/>
              <w:ind w:right="2779"/>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94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8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978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non-cancellable leases as of September 30, 2022 are as follows: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5"/>
              </w:rPr>
              <w:t>Operating Leases</w:t>
            </w:r>
          </w:p>
        </w:tc>
      </w:tr>
      <w:tr>
        <w:trPr>
          <w:trHeight w:val="216"/>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2023</w:t>
            </w:r>
          </w:p>
        </w:tc>
        <w:tc>
          <w:tcPr>
            <w:tcW w:w="8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2025</w:t>
            </w:r>
          </w:p>
        </w:tc>
        <w:tc>
          <w:tcPr>
            <w:tcW w:w="8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4,376</w:t>
            </w: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00" w:type="dxa"/>
            <w:vAlign w:val="bottom"/>
            <w:shd w:val="clear" w:color="auto" w:fill="CCEEFF"/>
          </w:tcPr>
          <w:p>
            <w:pPr>
              <w:spacing w:after="0"/>
              <w:rPr>
                <w:sz w:val="18"/>
                <w:szCs w:val="18"/>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00" w:type="dxa"/>
            <w:vAlign w:val="bottom"/>
          </w:tcPr>
          <w:p>
            <w:pPr>
              <w:spacing w:after="0"/>
              <w:rPr>
                <w:sz w:val="19"/>
                <w:szCs w:val="19"/>
                <w:color w:val="auto"/>
              </w:rPr>
            </w:pPr>
          </w:p>
        </w:tc>
      </w:tr>
      <w:tr>
        <w:trPr>
          <w:trHeight w:val="223"/>
        </w:trPr>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undiscounted lease payments</w:t>
            </w: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9,166</w:t>
            </w:r>
          </w:p>
        </w:tc>
        <w:tc>
          <w:tcPr>
            <w:tcW w:w="100" w:type="dxa"/>
            <w:vAlign w:val="bottom"/>
          </w:tcPr>
          <w:p>
            <w:pPr>
              <w:spacing w:after="0"/>
              <w:rPr>
                <w:sz w:val="18"/>
                <w:szCs w:val="18"/>
                <w:color w:val="auto"/>
              </w:rPr>
            </w:pPr>
          </w:p>
        </w:tc>
      </w:tr>
      <w:tr>
        <w:trPr>
          <w:trHeight w:val="263"/>
        </w:trPr>
        <w:tc>
          <w:tcPr>
            <w:tcW w:w="9780" w:type="dxa"/>
            <w:vAlign w:val="bottom"/>
            <w:tcBorders>
              <w:bottom w:val="single" w:sz="8" w:color="CCEEFF"/>
            </w:tcBorders>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Less: Lease incentives </w:t>
            </w:r>
            <w:r>
              <w:rPr>
                <w:rFonts w:ascii="Arial" w:cs="Arial" w:eastAsia="Arial" w:hAnsi="Arial"/>
                <w:sz w:val="29"/>
                <w:szCs w:val="29"/>
                <w:color w:val="auto"/>
                <w:vertAlign w:val="superscript"/>
              </w:rPr>
              <w:t>(1)</w:t>
            </w: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17,054</w:t>
            </w:r>
          </w:p>
        </w:tc>
        <w:tc>
          <w:tcPr>
            <w:tcW w:w="10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lease incentives that may be realized in 2022 and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2013 Employee, Director and Consultant Equity Incentive Plan, as amended on March 12, 2021 (the “2013 Plan”), was originally adopted by its Board of Directors and stockholders in September 2013. In connection with the Closing of the Business Combination, the Company adjusted the equity awards as described in Note 3 “Business Combination”. The adjustments to the awards did not result in incremental expense as the equitable adjustments were made pursuant to a preexisting nondiscretionary antidilution provision in the 2013 Plan, and the fair-value, vesting conditions, and classification are the same immediately before and after the modification. In connection with the Business Combination, HighCape’s stockholders approved and adopted the Quantum-Si Incorporated 2021 Equity Incentive Plan (the “2021 Plan”) and the Company no longer makes issuances under the 2013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2022, the Company granted 6,903,630 stock option awards to participants with vesting subject to the participant’s continued employment with the Company through the applicable vesting date, which included 2,000,000 stock options granted to the President and Chief Operating Officer of the Company subject to service and/or market conditions. The service condition requires the participant’s continued employment with the Company through the applicable vesting date. The market condition requires that the Company’s Class A common stock trades above a specified level for a defined period of time. Stock-based compensation related to stock options for the three months ended September 30, 2022 and 2021 was $1,868 and $1,556, respectively. Stock-based compensation related to stock options for the nine months ended September 30, 2022 and 2021 was $5,169 and $4,608,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2013 Plan and the 2021 Plan is presented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 Average</w:t>
            </w: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Contractual Term</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54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7,726,972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24,511</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6,903,630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(1,069,934)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(1,315,366)</w:t>
            </w: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12,245,302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Options exercisable at September 30, 2022</w:t>
            </w:r>
          </w:p>
        </w:tc>
        <w:tc>
          <w:tcPr>
            <w:tcW w:w="1080" w:type="dxa"/>
            <w:vAlign w:val="bottom"/>
          </w:tcPr>
          <w:p>
            <w:pPr>
              <w:jc w:val="right"/>
              <w:spacing w:after="0"/>
              <w:rPr>
                <w:sz w:val="20"/>
                <w:szCs w:val="20"/>
                <w:color w:val="auto"/>
              </w:rPr>
            </w:pPr>
            <w:r>
              <w:rPr>
                <w:rFonts w:ascii="Arial" w:cs="Arial" w:eastAsia="Arial" w:hAnsi="Arial"/>
                <w:sz w:val="18"/>
                <w:szCs w:val="18"/>
                <w:color w:val="auto"/>
              </w:rPr>
              <w:t>4,357,864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r>
      <w:tr>
        <w:trPr>
          <w:trHeight w:val="25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2022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11,208,571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r>
      <w:tr>
        <w:trPr>
          <w:trHeight w:val="562"/>
        </w:trPr>
        <w:tc>
          <w:tcPr>
            <w:tcW w:w="548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jc w:val="right"/>
              <w:ind w:right="772"/>
              <w:spacing w:after="0"/>
              <w:rPr>
                <w:sz w:val="20"/>
                <w:szCs w:val="20"/>
                <w:color w:val="auto"/>
              </w:rPr>
            </w:pPr>
            <w:r>
              <w:rPr>
                <w:rFonts w:ascii="Arial" w:cs="Arial" w:eastAsia="Arial" w:hAnsi="Arial"/>
                <w:sz w:val="14"/>
                <w:szCs w:val="14"/>
                <w:color w:val="auto"/>
              </w:rPr>
              <w:t>17</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54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 months ended September 30, 2022, the Company granted 66,666 restricted stock unit (“RSU”) awards. On February 8, 2022, John Stark, the Company’s then-Chief Executive Officer and member of its board of directors, stepped down from all of his positions with the Company. As a result of Mr. Stark not meeting the service conditions of certain awards previously granted to him, 1,731,371 RSU awards were forfeited resulting in a reversal of stock-based compensation for the nine months ended September 30, 2022 of $4,742. Stock-based compensation related to RSU awards for the three months ended September 30, 2022 and 2021 was $2,175 and $5,840, respectively. Stock-based compensation related to RSU awards for the nine months ended September 30, 2022 and 2021 was $1,930 and $13,232,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activity under the 2013 Plan and the 2021 Plan is presented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Number of</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5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Underlying</w:t>
            </w: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9"/>
              </w:rPr>
              <w:t>Average Grant-</w:t>
            </w:r>
          </w:p>
        </w:tc>
      </w:tr>
      <w:tr>
        <w:trPr>
          <w:trHeight w:val="241"/>
        </w:trPr>
        <w:tc>
          <w:tcPr>
            <w:tcW w:w="5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RSUs</w:t>
            </w: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RSUs at December 31, 2021</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4,586,972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66,666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(752,826)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r>
      <w:tr>
        <w:trPr>
          <w:trHeight w:val="223"/>
        </w:trPr>
        <w:tc>
          <w:tcPr>
            <w:tcW w:w="5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(1,816,102)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r>
      <w:tr>
        <w:trPr>
          <w:trHeight w:val="25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RSUs at September 30, 2022</w:t>
            </w:r>
          </w:p>
        </w:tc>
        <w:tc>
          <w:tcPr>
            <w:tcW w:w="8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2,084,710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560" w:type="dxa"/>
            <w:vAlign w:val="bottom"/>
            <w:gridSpan w:val="7"/>
          </w:tcPr>
          <w:p>
            <w:pPr>
              <w:spacing w:after="0"/>
              <w:rPr>
                <w:sz w:val="20"/>
                <w:szCs w:val="20"/>
                <w:color w:val="auto"/>
              </w:rPr>
            </w:pPr>
            <w:r>
              <w:rPr>
                <w:rFonts w:ascii="Arial" w:cs="Arial" w:eastAsia="Arial" w:hAnsi="Arial"/>
                <w:sz w:val="18"/>
                <w:szCs w:val="18"/>
                <w:color w:val="auto"/>
                <w:w w:val="95"/>
              </w:rPr>
              <w:t>The Company’s stock-based compensation is allocated to the following operating expense categories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66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680" w:type="dxa"/>
            <w:vAlign w:val="bottom"/>
            <w:gridSpan w:val="9"/>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6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5,876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3,639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13,497</w:t>
            </w:r>
          </w:p>
        </w:tc>
      </w:tr>
      <w:tr>
        <w:trPr>
          <w:trHeight w:val="257"/>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w:t>
            </w: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4,043</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7,099</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of the Company outstanding during the period. Diluted net loss per share is computed by giving effect to all common share equivalents of the Company, including those presented in the table below, to the extent dilutive. Basic and diluted net loss per share was the same for each period presented as the inclusion of all common share equivalents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loss per share for the Company’s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290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680" w:type="dxa"/>
            <w:vAlign w:val="bottom"/>
            <w:gridSpan w:val="7"/>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(31,713)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(99,302)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(65,567)</w:t>
            </w:r>
          </w:p>
        </w:tc>
      </w:tr>
      <w:tr>
        <w:trPr>
          <w:trHeight w:val="198"/>
        </w:trPr>
        <w:tc>
          <w:tcPr>
            <w:tcW w:w="5660" w:type="dxa"/>
            <w:vAlign w:val="bottom"/>
            <w:tcBorders>
              <w:top w:val="single" w:sz="8" w:color="CCEEFF"/>
            </w:tcBorders>
          </w:tcPr>
          <w:p>
            <w:pPr>
              <w:ind w:left="180"/>
              <w:spacing w:after="0" w:line="198" w:lineRule="exact"/>
              <w:rPr>
                <w:sz w:val="20"/>
                <w:szCs w:val="20"/>
                <w:color w:val="auto"/>
              </w:rPr>
            </w:pPr>
            <w:r>
              <w:rPr>
                <w:rFonts w:ascii="Arial" w:cs="Arial" w:eastAsia="Arial" w:hAnsi="Arial"/>
                <w:sz w:val="18"/>
                <w:szCs w:val="18"/>
                <w:b w:val="1"/>
                <w:bCs w:val="1"/>
                <w:color w:val="auto"/>
                <w:w w:val="95"/>
              </w:rPr>
              <w:t>Numerator for basic and diluted EPS - loss attributable to common</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5660" w:type="dxa"/>
            <w:vAlign w:val="bottom"/>
          </w:tcPr>
          <w:p>
            <w:pPr>
              <w:ind w:left="340"/>
              <w:spacing w:after="0"/>
              <w:rPr>
                <w:sz w:val="20"/>
                <w:szCs w:val="20"/>
                <w:color w:val="auto"/>
              </w:rPr>
            </w:pPr>
            <w:r>
              <w:rPr>
                <w:rFonts w:ascii="Arial" w:cs="Arial" w:eastAsia="Arial" w:hAnsi="Arial"/>
                <w:sz w:val="18"/>
                <w:szCs w:val="18"/>
                <w:b w:val="1"/>
                <w:bCs w:val="1"/>
                <w:color w:val="auto"/>
              </w:rPr>
              <w:t>stockholders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(31,713)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(18,091)</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(99,302)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(65,567)</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139,542,660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136,456,848</w:t>
            </w: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139,057,663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60,104,891</w:t>
            </w:r>
          </w:p>
        </w:tc>
      </w:tr>
      <w:tr>
        <w:trPr>
          <w:trHeight w:val="198"/>
        </w:trPr>
        <w:tc>
          <w:tcPr>
            <w:tcW w:w="566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3"/>
              </w:rPr>
              <w:t>Denominator for basic and diluted EPS - weighted-average common</w:t>
            </w: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139,542,660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136,456,848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139,057,663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60,104,891</w:t>
            </w:r>
          </w:p>
        </w:tc>
      </w:tr>
      <w:tr>
        <w:trPr>
          <w:trHeight w:val="27"/>
        </w:trPr>
        <w:tc>
          <w:tcPr>
            <w:tcW w:w="5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(0.13)</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(0.71)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(1.09)</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Company was in a net loss position for all periods presented, the basic net loss per share calculation excludes preferred stock for the three and nine months ended September 30, 2021 as it did not participate in net losses of the Company. Additionally, net loss per share attributable to Class A and Class B common stockholders was the same on a basic and diluted basis, as the inclusion of all potential common equivalent shares outstanding would have been anti-dilutive. Anti-dilutive common equivalent shares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2900" w:type="dxa"/>
            <w:vAlign w:val="bottom"/>
            <w:gridSpan w:val="4"/>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680" w:type="dxa"/>
            <w:vAlign w:val="bottom"/>
            <w:gridSpan w:val="4"/>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6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12,245,302</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8,126,177</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12,245,302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8,126,177</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Outstanding restricted stock units</w:t>
            </w:r>
          </w:p>
        </w:tc>
        <w:tc>
          <w:tcPr>
            <w:tcW w:w="1220" w:type="dxa"/>
            <w:vAlign w:val="bottom"/>
          </w:tcPr>
          <w:p>
            <w:pPr>
              <w:jc w:val="right"/>
              <w:spacing w:after="0"/>
              <w:rPr>
                <w:sz w:val="20"/>
                <w:szCs w:val="20"/>
                <w:color w:val="auto"/>
              </w:rPr>
            </w:pPr>
            <w:r>
              <w:rPr>
                <w:rFonts w:ascii="Arial" w:cs="Arial" w:eastAsia="Arial" w:hAnsi="Arial"/>
                <w:sz w:val="18"/>
                <w:szCs w:val="18"/>
                <w:color w:val="auto"/>
              </w:rPr>
              <w:t>2,084,710</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4,861,315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2,084,710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4,861,315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3,968,319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3,968,319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3,968,319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3,968,319</w:t>
            </w:r>
          </w:p>
        </w:tc>
      </w:tr>
      <w:tr>
        <w:trPr>
          <w:trHeight w:val="27"/>
        </w:trPr>
        <w:tc>
          <w:tcPr>
            <w:tcW w:w="566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18,298,331</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16,955,811</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18,298,331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16,955,811</w:t>
            </w:r>
          </w:p>
        </w:tc>
      </w:tr>
      <w:tr>
        <w:trPr>
          <w:trHeight w:val="20"/>
        </w:trPr>
        <w:tc>
          <w:tcPr>
            <w:tcW w:w="56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September 30, 2022,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any time while the warrants are exercisable, the Company may redeem not less than all of the outstanding Public Warrants: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foregoing conditions are satisfied and the Company issues a notice of redemption of the Public Warrants at $0.01 per warrant, each holder of Public Warrants will be entitled to exercise his, her or its Public Warrants prior to the scheduled redemption date.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evaluated the Public Warrants under ASC 815-40, in conjunction with the SEC Division of Corporation Finance’s April 12, 2021 Public Statement, </w:t>
      </w:r>
      <w:r>
        <w:rPr>
          <w:rFonts w:ascii="Arial" w:cs="Arial" w:eastAsia="Arial" w:hAnsi="Arial"/>
          <w:sz w:val="18"/>
          <w:szCs w:val="18"/>
          <w:i w:val="1"/>
          <w:iCs w:val="1"/>
          <w:color w:val="auto"/>
        </w:rPr>
        <w:t>Staff Statement on Accounting and Reporting Considerations for Warrants Issued by Special Purpose Acquisition Companies (“SPACs”)</w:t>
      </w:r>
      <w:r>
        <w:rPr>
          <w:rFonts w:ascii="Arial" w:cs="Arial" w:eastAsia="Arial" w:hAnsi="Arial"/>
          <w:sz w:val="18"/>
          <w:szCs w:val="18"/>
          <w:color w:val="auto"/>
        </w:rPr>
        <w:t xml:space="preserve">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should be classified as a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2022, there were 135,000 Private Warrants outstanding.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evaluated the Private Warrants under ASC 815-40, in conjunction with the SEC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and concluded that they do not meet the criteria to be classified in stockholders’ equity. Specifically, the terms of the warrants provide for potential changes to the settlement amounts depending upon the characteristics of the warrant holder, and, because the holder of a warrant is not an input into the pricing of a fixed-for-fixed option on equity shares, such provision would preclude the warrant from being classified in equity and thus the warrant has been classified as a liability.</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fair value of warrant liabilities was $2,118 and $7,239 as of September 30, 2022 and December 31, 2021, respectively. The Company recognized a gain of $137 and $5,121 as a Change in fair value of warrant liabilities in the condensed consolidated statements of operations and comprehensive loss for the three and nine months ended September 30, 2022. The Company recognized a gain of $6,975 and $3,442 as a Change in fair value of warrant liabilities in the condensed consolidated statements of operations and comprehensive loss for the three and nine months ended September 30, 2021. There were no exercises or redemptions of the Public Warrants or Private Warrants during the three and nine months ended September 30, 2022 or 2021.</w:t>
      </w:r>
    </w:p>
    <w:p>
      <w:pPr>
        <w:sectPr>
          <w:pgSz w:w="11900" w:h="16838" w:orient="portrait"/>
          <w:cols w:equalWidth="0" w:num="1">
            <w:col w:w="11240"/>
          </w:cols>
          <w:pgMar w:left="320" w:top="122"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Income taxes for the three and nine months ended September 30, 2022 and 2021 are recorded at the Company’s estimated annual effective income tax rate, subject to adjustments for discrete events, if they occur. The Company’s estimated annual effective tax rate was 0.0% for the three and nine months ended September 30, 2022 and 2021. The primary reconciling items between the federal statutory rate of 21.0% for these periods and the Company’s overall effective tax rate of 0.0% were related to the effects of deferred state income taxes, nondeductible stock-based compensation, changes in the fair value of warrant liabilities, research and development credits, and the valuation allowance recorded against the full amount of its net deferred tax assets.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September 30, 2022 and 2021 since management believes that based on the earnings history of the Company, it is more likely than not that the benefits of these assets will not be realized.</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Business Combination, as well as any other equity issuances during the year, the Company is currently evaluating whether an ownership change has occurred under Section 382 of the Internal Revenue Code of 1986, as amended, and whether the Company’s ability to use its pre-change net operating loss and tax credit carryforwards will be limited in future periods. The Company expects to complete its analysis during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utilizes and subleases office and laboratory space in a building owned by a related party. The Company paid $80 under month-to-month lease arrangements for this space for the three months ended September 30, 2022 and 2021, respectively, and $241 for the nine months ended September 30, 2022 and 2021, respectively.</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was a party to an Amended and Restated Technology Services Agreement (the “ARTSA”), most recently amended on November 11, 2020, by and among 4Catalyzer Corporation (“4C”), the Company and other participant companies controlled by the Rothberg family.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 The Company incurred expenses of $149 and $203, which included $44 and $36 under month-to-month sublease arrangements for office and laboratory spaces from 4C, during the three months ended September 30, 2022 and 2021, respectively. The Company incurred expenses of $517 and $1,782, which included $141 and $112 under month-to-month sublease arrangements for office and laboratory spaces from 4C, during the nine months ended September 30, 2022 and 2021, respectively. The amounts advanced and due to 4C at September 30, 2022 and December 31, 2021 related to operating expenses were $99, of which $45 is included in Accrued expenses and other current liabilities and $54 is included in Accounts payable and $128, which is included in Accounts payable on the condensed consolidated balance sheets, respectively. The amounts advanced and due from 4C at September 30, 2022 and December 31, 2021, related to operating expenses were $3 and $0, respectively, and are included in Prepaid expenses and other current assets on the condensed consolidated balance sheets.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ARTSA also provided for the participant companies to provide other services to each other. The Company also had transactions with other entities under common ownership, which included payments made to third parties on behalf of the Company. The amounts remaining payable at September 30, 2022 and December 31, 2021 were $17 in both periods and are included in Accrued expenses and other current liabilities and Accounts payable on the condensed consolidated balance sheets, respectively. In addition, the Company had transactions with these other entities under common ownership which included payments made by the Company to third parties on behalf of the other entities. The amounts remaining payable at September 30, 2022 and December 31, 2021 were in the aggregate $2 and $15, respectively, and are reflected in Prepaid expenses and other current assets on the condensed consolidated balance sheets.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20, 2021, the Company entered into a Binders Collaboration (the “Collaboration”) with Protein Evolution, Inc. (“PEI”) to develop technology and methods in the field of nanobodies and potentially other binders to produce novel biological reagents and related data. The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Effective March 31, 2022, the Collaboration with PEI was terminated, and the Company agreed to pay a final payment of $1,135 under the Collaboration for all services rendered. There was no amount payable at September 30, 2022 or December 31, 2021.</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Dr. Rothberg and the Company entered into an Executive Chairman Agreement as of June 10, 2021 (the “Executive Chairman Agreement”) in which Dr. Rothberg provided consulting services to the Company for $400 annually. Effective as of November 1, 2022, the Executive Chairman Agreement was terminated. For more information, see Note 15 “Subsequent Events”. Dr. Rothberg also receives fees as the Company’s Chairman of the Board of Directors and a member of the Board and Nominating and Corporate Governance Committee. The Company paid $113 and $341 to Dr. Rothberg for the three and nine months ended September 30, 2022, respectively, for all services provided to the Company. The Company paid $25 to Dr. Rothberg for the three and nine months ended September 30, 2021 for the services that were provided to the Company. Dr. Rothberg did not receive any additional compensation for serving as the Company’s Interim Chief Executive Officer.</w:t>
      </w:r>
    </w:p>
    <w:p>
      <w:pPr>
        <w:sectPr>
          <w:pgSz w:w="11900" w:h="16838" w:orient="portrait"/>
          <w:cols w:equalWidth="0" w:num="1">
            <w:col w:w="11240"/>
          </w:cols>
          <w:pgMar w:left="320" w:top="121"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related to certain intellectual property: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licenses certain intellectual property, some of which may be utilized in its future product offering. To preserve the right to use such intellectual property, the Company is required to make annual minimum fixed payments totaling $220. Once the Company commercializes its product and begins to generate revenues, there will be royalties payable by the Company based on the current anticipated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The Company did not make any matching contributions to the 401(k) plan for the three and nine months ended September 30, 2022 and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Company’s condensed consolidated statements of operations and comprehensive loss in connection with the indemnification provisions have not been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4, 2022, the Company announced that Jeffrey Hawkins was appointed by the Company’s board of directors as Chief Executive Officer, effective as of October 10, 2022 (the “Appointment Date”). In connection with Mr. Hawkins’ appointment as Chief Executive Officer, the board of directors also approved an increase in the size of the board of directors from seven to eight members and appointed Mr. Hawkins to fill the newly created vacancy, effective as of the Appointment Date, to serve for a term to continue until the Company’s next annual meeting of stockholders. In connection with Mr. Hawkins’ appointment, Jonathan M. Rothberg, Ph.D., who had been serving as our Interim Chief Executive Officer, stepped down from that role effective as of the Appointment Date.</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November 1, 2022, the Executive Chairman Agreement was terminated and the Company entered into an Advisory Agreement with Dr. Rothberg (the “Advisory Agreement”), pursuant to which Dr. Rothberg advises the Company’s Chief Executive Officer and the board of directors on strategic matters, and provides consulting, business development and similar services on matters relating to the Company’s current, future and potential scientific and strategic initiatives and such other consulting services reasonably requested from time to time. Pursuant to the Advisory Agreement, as compensation for the services provided thereunder, the Company will grant to Dr. Rothberg an option to purchase 250,000 shares of the Company’s Class A common stock pursuant to the Company’s 2021 Equity Incentive Plan as of the date of the second business day following the Company’s earnings call with respect to the fiscal year ended December 31, 2022. In connection with the Advisory Agreement, Dr. Rothberg’s title was changed from Executive Chairman to Chairman of the Board of Directors.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2021 contained in our Annual Report on Form 10-K for the year ended December 31, 2021, filed with the Securities and Exchange Commission (the “SEC”) on March 1, 2022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2021.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and nine months ended September 30, 2022 and 2021, respectively, present the financial position and results of operations of Quantum-Si Incorporated and its consolidated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an innovative life sciences company with the mission of transforming single-molecule analysis and democratizing its use by providing researchers and clinicians access to the proteome, the set of proteins expressed within a cell. We have developed a proprietary universal single-molecule detection platform that we are first applying to proteomics to enable Next-Generation Protein Sequencing (“NGPS”), the ability to sequence proteins in a massively parallel fashion (rather than sequentially, one at a time), that can be used for the study of nucleic acids. We believe that with the ability to sequence proteins in a massively parallel fashion and offer a simplified workflow with a faster turnaround time, NGPS has the potential to unlock significant biological information through improved resolution and unbiased access to the proteome at a speed and scale that is not available today. Traditionally, proteomic workflows to sequence proteins required days or weeks to complete. Our platform is designed to offer a single-day workflow including both sample preparation and sequencing. Our platform is comprised of the Carbon™ automated sample preparation instrument, the Platinum™ NGPS instrument, the Quantum-Si Cloud™ software service, and reagent kits and chips for use with our instruments. We intend to follow a systematic, phased approach to successfully launch our platform, for research use only (“RUO”). We initiated our early access limited release to enable key thought leaders early access to</w:t>
      </w:r>
    </w:p>
    <w:p>
      <w:pPr>
        <w:spacing w:after="0" w:line="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our platform in 2021. We expect to launch the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instrument and start to take orders before the end of 2022 and begin shipping product in Q1 2023. We believe we are the first company to successfully enable NGPS on a semiconductor chip, thus digitizing a massive proteomics opportunity, which allows for a massively parallel solution at the ultimate level of sensitivity —single-molecule detection.</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our platform will offer a differentiated end-to-end workflow solution in a rapidly evolving proteomics tools market. Within our initial focus market of proteomics, our workflow will be designed to provide users a seamless opportunity to gain key insights into the immediate state of biological pathways and cell state. Our platform aims to address many of the key challenges and bottlenecks with legacy proteomic solutions, such as mass spectrometry (“MS”), which are complicated and often limited by manual sample preparation workflows, high instrument costs both in terms of acquisition and ownership and complexity with data analysis, which together prevent broad adoption. We believe our platform, which is designed to streamline sample preparation, sequencing, and data analysis at a lower instrument cost than legacy proteomic solutions, could allow our product to have wide utility across the study of the proteome. For example, our platform could be used for biomarker discovery and disease detection, pathway analysis, immune response, and vaccine development, among other applications.</w:t>
      </w:r>
    </w:p>
    <w:p>
      <w:pPr>
        <w:spacing w:after="0" w:line="178"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We expect to launch the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instrument and start to take orders before the end of 2022 and begin shipping product in the first quarter of 2023.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Outbreak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our operating results, financial condition and cash flows. The COVID-19 pandemic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products currently under development. 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 The full extent to which the COVID-19 pandemic will directly or indirectly impact our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 including inflation on product and service costs.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estimates of the impact on our business may change based on new information that may emerge concerning COVID-19 and the actions to contain it or address its impact and the economic impact on local, regional, national and international markets as well as other changes in macroeconomic factors. The COVID-19 pandemic and related economic disruptions have not had a material adverse impact on our operations to date. While we are unable to predict the full impact that the COVID-19 pandemic will have on our future results of operations, liquidity and financial condition due to numerous uncertainties, including the duration of the pandemic, the actions that may be taken by government authorities across the United States, adverse changes in macroeconomic conditions, if sustained or recurrent, could result in significant changes in costs going forward with material adverse effect on our operating results, financial condition, and cash flows.</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not incurred any impairment losses in the carrying values of our assets as a result of the COVID-19 pandemic and are not aware of any specific related event or circumstance that would require us to revise our estimates reflected in our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Global Developments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2022, various central banks around the world (including the Federal Reserve in the United States) raised interest rates. While these rate increases have not had a significant adverse impact on us to date, the impact of such rate increases on the overall financial markets and the economy may adversely impact us in the future. In addition, the global economy has experienced and is continuing to experience high levels of inflation and global supply chain disruptions. We continue to monitor these supply chain, inflation and interest rate factors, as well as the uncertainty resulting from the overall economic environment.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although we have no operations in or direct exposure to Russia, Belarus and Ukraine, we have experienced limited constraints in availability and increasing costs required to obtain some materials and supplies due, in part, to the negative impact of the Russia-Ukraine military conflict on the global economy. To date, our business has not been materially impacted by the conflict, however, as the conflict continues or worsens, it may impact our business,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2021, we consummated the previously announced Business Combination. The Business Combination was approved by HighCape’s stockholders at its special meeting held on June 9, 2021. The transaction resulted in the combined company being renamed “Quantum-Si Incorporated” and Legacy Quantum-Si being renamed “Q-SI Operations Inc.” The combined company’s Class A common stock and warrants to purchase Class A common stock commenced trading on Nasdaq on June 11, 2021 under the symbol “QSI” and “QSIAW”, respectively. As a result of the Business Combination, we received proceeds of approximately $511.2 million on the day of Closing. See Note 3 “Business Combination” in our condensed consolidated financial statements included elsewhere in this Quarterly Report on Form 10-Q for further information regarding the Business Combination.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October 4, 2022, we announced that Jeffrey Hawkins was appointed by our board of directors as Chief Executive Officer, effective as of October 10, 2022 (the “Appointment Date”). In connection with Mr. Hawkins’ appointment as Chief Executive Officer, the board of directors also approved an increase in the size of the board of directors from seven to eight members and appointed Mr. Hawkins to fill the newly created vacancy, effective as of the Appointment Date, to serve for a term to continue until our next annual meeting of stockholders. In connection with Mr. Hawkins’ appointment, Jonathan M. Rothberg, Ph.D., who had been serving as our Interim Chief Executive Officer, stepped down from that role effective as of the Appointment Date.</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November 1, 2022, the Executive Chairman Agreement between us and Dr. Rothberg was terminated and we entered into an Advisory Agreement with Dr. Rothberg (the “Advisory Agreement”), pursuant to which Dr. Rothberg advises our Chief Executive Officer and our board of directors on strategic matters, and provides consulting, business development and similar services on matters relating to our current, future and potential scientific and strategic initiatives and such other consulting services reasonably requested from time to time. Pursuant to the Advisory Agreement, as compensation for the services provided thereunder, we will grant to Dr. Rothberg an option to purchase 250,000 shares of our Class A common stock pursuant to our 2021 Equity Incentive Plan as of the date of the second business day following our earnings call with respect to the fiscal year ended December 31, 2022. In connection with the Advisory Agreement, Dr. Rothberg’s title was changed from Executive Chairman to Chairman of the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primarily consist of personnel costs and benefits, stock-based compensation, lab supplies, consulting and professional services, fabrication services, facilities costs, software, and other outsourced expenses. Research and development expenses are expensed as incurred. All of our research and development expenses are related to developing new products and services. We expect to continue to make substantial investments in research and development activities in the future as we continue to prepare for our anticipated commercialization.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Selling, general and administrative expenses primarily consist of personnel costs and benefits, stock-based compensation, patent and filing fees, consulting and professional services, legal and accounting services, facilities costs, depreciation expense, insurance and office expenses, product advertising and marketing. We expect our selling, general and administrative expenses to increase in the foreseeable future as we expect to launch the Platinum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instrument and start to take orders before the end of 2022 and begin shipping product in the first quarter of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primarily consists of interest that was paid on our Paycheck Protection Program (“PPP”)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 primarily consists of dividends earned on fixed income mutual funds classified as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primarily consists of the change in the fair value of our publicly traded warrants (the “Public Warrants”) and our warrants sold in a private placement (the “Private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primarily consists of realized and unrealized losses on fixed income mutual funds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the asset and liability method of accounting for income taxes where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 We recorded a full valuation allowance as of September 30, 2022 and 2021. Based on the available evidence, we believe that it is more likely than not that we will be unable to utilize all of our deferred tax assets in the future.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our results of operations for the three and nine months ended September 30, 2022 and 2021. Our accounting policies are described in Note 2 “Summary of Significant Accounting Policies” in our condensed consolidated financial statements included elsewhere in this Quarterly Report on Form 10-Q.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11"/>
          </w:tcPr>
          <w:p>
            <w:pPr>
              <w:jc w:val="right"/>
              <w:ind w:right="880"/>
              <w:spacing w:after="0"/>
              <w:rPr>
                <w:sz w:val="20"/>
                <w:szCs w:val="20"/>
                <w:color w:val="auto"/>
              </w:rPr>
            </w:pPr>
            <w:r>
              <w:rPr>
                <w:rFonts w:ascii="Arial" w:cs="Arial" w:eastAsia="Arial" w:hAnsi="Arial"/>
                <w:sz w:val="18"/>
                <w:szCs w:val="18"/>
                <w:b w:val="1"/>
                <w:bCs w:val="1"/>
                <w:color w:val="auto"/>
                <w:w w:val="97"/>
              </w:rPr>
              <w:t>Three months ended September 30,</w:t>
            </w:r>
          </w:p>
        </w:tc>
        <w:tc>
          <w:tcPr>
            <w:tcW w:w="200" w:type="dxa"/>
            <w:vAlign w:val="bottom"/>
          </w:tcPr>
          <w:p>
            <w:pPr>
              <w:spacing w:after="0"/>
              <w:rPr>
                <w:sz w:val="20"/>
                <w:szCs w:val="20"/>
                <w:color w:val="auto"/>
              </w:rPr>
            </w:pPr>
          </w:p>
        </w:tc>
        <w:tc>
          <w:tcPr>
            <w:tcW w:w="3720" w:type="dxa"/>
            <w:vAlign w:val="bottom"/>
            <w:gridSpan w:val="9"/>
          </w:tcPr>
          <w:p>
            <w:pPr>
              <w:jc w:val="right"/>
              <w:ind w:right="78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16,675</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200" w:type="dxa"/>
            <w:vAlign w:val="bottom"/>
          </w:tcPr>
          <w:p>
            <w:pPr>
              <w:jc w:val="right"/>
              <w:ind w:right="115"/>
              <w:spacing w:after="0"/>
              <w:rPr>
                <w:sz w:val="20"/>
                <w:szCs w:val="20"/>
                <w:color w:val="auto"/>
              </w:rPr>
            </w:pPr>
            <w:r>
              <w:rPr>
                <w:rFonts w:ascii="Arial" w:cs="Arial" w:eastAsia="Arial" w:hAnsi="Arial"/>
                <w:sz w:val="4"/>
                <w:szCs w:val="4"/>
                <w:color w:val="auto"/>
                <w:w w:val="87"/>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53,905</w:t>
            </w:r>
          </w:p>
        </w:tc>
        <w:tc>
          <w:tcPr>
            <w:tcW w:w="200" w:type="dxa"/>
            <w:vAlign w:val="bottom"/>
          </w:tcPr>
          <w:p>
            <w:pPr>
              <w:spacing w:after="0"/>
              <w:rPr>
                <w:sz w:val="18"/>
                <w:szCs w:val="18"/>
                <w:color w:val="auto"/>
              </w:rPr>
            </w:pPr>
          </w:p>
        </w:tc>
        <w:tc>
          <w:tcPr>
            <w:tcW w:w="180" w:type="dxa"/>
            <w:vAlign w:val="bottom"/>
          </w:tcPr>
          <w:p>
            <w:pPr>
              <w:jc w:val="right"/>
              <w:ind w:right="95"/>
              <w:spacing w:after="0"/>
              <w:rPr>
                <w:sz w:val="20"/>
                <w:szCs w:val="20"/>
                <w:color w:val="auto"/>
              </w:rPr>
            </w:pPr>
            <w:r>
              <w:rPr>
                <w:rFonts w:ascii="Arial" w:cs="Arial" w:eastAsia="Arial" w:hAnsi="Arial"/>
                <w:sz w:val="4"/>
                <w:szCs w:val="4"/>
                <w:color w:val="auto"/>
                <w:w w:val="87"/>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32,190</w:t>
            </w:r>
          </w:p>
        </w:tc>
        <w:tc>
          <w:tcPr>
            <w:tcW w:w="1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67.5%</w:t>
            </w: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36,928</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3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322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27,658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25,175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84,998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69,118</w:t>
            </w:r>
          </w:p>
        </w:tc>
        <w:tc>
          <w:tcPr>
            <w:tcW w:w="160" w:type="dxa"/>
            <w:vAlign w:val="bottom"/>
          </w:tcPr>
          <w:p>
            <w:pPr>
              <w:spacing w:after="0"/>
              <w:rPr>
                <w:sz w:val="19"/>
                <w:szCs w:val="19"/>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23.0%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(84,998)</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(69,118)</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343.7%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3,442</w:t>
            </w:r>
          </w:p>
        </w:tc>
        <w:tc>
          <w:tcPr>
            <w:tcW w:w="1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48.8%</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(22,713)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7"/>
        </w:trPr>
        <w:tc>
          <w:tcPr>
            <w:tcW w:w="3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b w:val="1"/>
                <w:bCs w:val="1"/>
                <w:color w:val="auto"/>
                <w:w w:val="95"/>
              </w:rPr>
              <w:t>Loss before provision for income taxes</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(31,713)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(18,091)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(99,302)</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(65,567)</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51.5%</w:t>
            </w:r>
          </w:p>
        </w:tc>
      </w:tr>
      <w:tr>
        <w:trPr>
          <w:trHeight w:val="223"/>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nm</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(31,713)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(18,091)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8"/>
                <w:szCs w:val="18"/>
                <w:color w:val="auto"/>
              </w:rPr>
            </w:pPr>
          </w:p>
        </w:tc>
        <w:tc>
          <w:tcPr>
            <w:tcW w:w="200" w:type="dxa"/>
            <w:vAlign w:val="bottom"/>
          </w:tcPr>
          <w:p>
            <w:pPr>
              <w:jc w:val="right"/>
              <w:ind w:right="115"/>
              <w:spacing w:after="0"/>
              <w:rPr>
                <w:sz w:val="20"/>
                <w:szCs w:val="20"/>
                <w:color w:val="auto"/>
              </w:rPr>
            </w:pPr>
            <w:r>
              <w:rPr>
                <w:rFonts w:ascii="Arial" w:cs="Arial" w:eastAsia="Arial" w:hAnsi="Arial"/>
                <w:sz w:val="4"/>
                <w:szCs w:val="4"/>
                <w:b w:val="1"/>
                <w:bCs w:val="1"/>
                <w:color w:val="auto"/>
                <w:w w:val="87"/>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(99,302)</w:t>
            </w:r>
          </w:p>
        </w:tc>
        <w:tc>
          <w:tcPr>
            <w:tcW w:w="180" w:type="dxa"/>
            <w:vAlign w:val="bottom"/>
          </w:tcPr>
          <w:p>
            <w:pPr>
              <w:jc w:val="right"/>
              <w:ind w:right="95"/>
              <w:spacing w:after="0"/>
              <w:rPr>
                <w:sz w:val="20"/>
                <w:szCs w:val="20"/>
                <w:color w:val="auto"/>
              </w:rPr>
            </w:pPr>
            <w:r>
              <w:rPr>
                <w:rFonts w:ascii="Arial" w:cs="Arial" w:eastAsia="Arial" w:hAnsi="Arial"/>
                <w:sz w:val="4"/>
                <w:szCs w:val="4"/>
                <w:b w:val="1"/>
                <w:bCs w:val="1"/>
                <w:color w:val="auto"/>
                <w:w w:val="87"/>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(65,567)</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51.5%</w:t>
            </w:r>
          </w:p>
        </w:tc>
      </w:tr>
      <w:tr>
        <w:trPr>
          <w:trHeight w:val="21"/>
        </w:trPr>
        <w:tc>
          <w:tcPr>
            <w:tcW w:w="3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5"/>
        </w:trPr>
        <w:tc>
          <w:tcPr>
            <w:tcW w:w="5840" w:type="dxa"/>
            <w:vAlign w:val="bottom"/>
            <w:gridSpan w:val="8"/>
          </w:tcPr>
          <w:p>
            <w:pPr>
              <w:spacing w:after="0"/>
              <w:rPr>
                <w:sz w:val="20"/>
                <w:szCs w:val="20"/>
                <w:color w:val="auto"/>
              </w:rPr>
            </w:pPr>
            <w:r>
              <w:rPr>
                <w:rFonts w:ascii="Arial" w:cs="Arial" w:eastAsia="Arial" w:hAnsi="Arial"/>
                <w:sz w:val="18"/>
                <w:szCs w:val="18"/>
                <w:b w:val="1"/>
                <w:bCs w:val="1"/>
                <w:i w:val="1"/>
                <w:iCs w:val="1"/>
                <w:color w:val="auto"/>
                <w:w w:val="97"/>
              </w:rPr>
              <w:t>Comparison of the Three Months Ended September 30, 2022 and 2021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increased by $5.6 million, or 50.2%, for the three months ended September 30, 2022 compared to the three months ended September 30, 2021. The increase was primarily due to the following elements: $3.5 million in personnel costs as a result of increased headcount and $2.5 million related to internal and external product development activities. These increases were partially offset by a decrease of $0.4 million of reduced stock-based compensation due primarily to stock option and restricted stock unit awards granted and vested in connection with the closing of the Business Combination in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by $3.1 million, or 21.9%, for the three months ended September 30, 2022 compared to the three months ended September 30, 2021. The decrease was primarily due to the following elements: $2.9 million of reduced stock-based compensation due primarily to stock option and restricted stock unit awards granted and vested in connection with the closing of the Business Combination in 2021, and a reduction of $0.6 million of expenses primarily related to consulting, professional fees and insurance. These decreases were partially offset by an increase of $0.4 million in personnel costs as a result of increased headcount.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income increased by $0.6 million, or 86.9%, for the three months ended September 30, 2022 compared to the three months ended September 30, 2021 as a result of higher interest rates earned on invested balances in marketable securities.</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85"/>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20" w:type="dxa"/>
            <w:vAlign w:val="bottom"/>
            <w:tcBorders>
              <w:bottom w:val="single" w:sz="8" w:color="auto"/>
            </w:tcBorders>
            <w:gridSpan w:val="4"/>
          </w:tcPr>
          <w:p>
            <w:pPr>
              <w:jc w:val="center"/>
              <w:ind w:left="35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6,975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warrant liabilities decreased, which resulted in a gain of $6.8 million for the three months ended September 30, 2022 compared to the three months ended September 30, 2021. The warrant liabilities were recorded at fair value as part of the Business Combination.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7"/>
              </w:rPr>
              <w:t>(5,573)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784.6%</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net increased by $4.9 million for the three months ended September 30, 2022 compared to the three months ended September 30, 2021 primarily as a result of reported unrealized and realized losses on investments in marketable securities, which consist of fixed income mutual funds that are marked to market.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Nine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increased by $21.7 million, or 67.5%, for the nine months ended September 30, 2022 compared to the nine months ended September 30, 2021. The increase was primarily due to the following elements: $12.4 million related to internal and external product development activities; $11.1 million in personnel costs as a result of increased headcount; and $1.1 million of collaboration fees with Protein Evolution, Inc. These increases were partially offset by decreases primarily related to the Business Combination in 2021: $0.9 million of stock-based compensation and $2.0 million of transaction bonuses.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84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16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expenses decreased by $5.8 million, or 15.8% for the nine months ended September 30, 2022 compared to the nine months ended September 30, 2021. The decrease was primarily due to the following elements related to the Business Combination in 2021: $3.9 million in consulting and professional fees; $1.0 million of transaction bonuses; and $9.9 million of reduced stock-based compensation due primarily to stock option and restricted stock unit awards granted and vested in connection with the closing of the Business Combination in 2021. The reduced stock-based compensation of $9.9 million also resulted from a reversal of $4.7 million of restricted stock unit awards that were forfeited by our former Chief Executive Officer upon his separation. These decreases were partially offset by the following increases: $5.3 million of headcount expenses to scale up our administrative and executive functions and $3.7 million of expenses primarily due to being a publicly traded company including consulting, professional fees and insurance.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85"/>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18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18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8"/>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on the PPP loan decreased for the nine months ended September 30, 2022 compared to the nine months ended September 30, 2021 as a result of us repaying the loan in full in June 2021 in connection with the Business Combination.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343.7%</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income increased by $2.5 million for the nine months ended September 30, 2022 compared to the nine months ended September 30, 2021 as a result of higher interest rates earned on invested balances in marketable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Nine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fair value of warrant liabilities decreased, which resulted in a gain of $1.7 million for the nine months ended September 30, 2022 compared to the nine months ended September 30, 2021. The warrant liabilities were recorded at fair value as part of the Business Combination.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8"/>
              </w:rPr>
              <w:t>Nine months ended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(22,713)</w:t>
            </w:r>
          </w:p>
        </w:tc>
        <w:tc>
          <w:tcPr>
            <w:tcW w:w="2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(627)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(22,086)</w:t>
            </w: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net increased by $22.1 million for the nine months ended September 30, 2022 compared to the nine months ended September 30, 2021 primarily as a result of reported unrealized and realized losses on investments in marketable securities, which consist of fixed income mutual funds that are marked to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present non-GAAP financial measures in order to assist readers of our condensed consolidated financial statements in understanding the core operating results that our management uses to evaluate the business and for financial planning purposes. Our non-GAAP financial measures, EBITDA and Adjusted EBITDA, provide an additional tool for investors to use in comparing our financial performance over multiple periods.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EBITDA and Adjusted EBITDA are key performance measures that our management uses to assess our operating performance. EBITDA and Adjusted EBITDA facilitate internal comparisons of our operating performance on a more consistent basis. We use these performance measures for business planning purposes and forecasting. We believe that EBITDA and Adjusted EBITDA enhance an investor’s understanding of our financial performance as it is useful in assessing our operating performance from period-to-period by excluding certain items that we believe are not representative of our core business.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EBITDA and Adjusted EBITDA may not be comparable to similarly titled measures of other companies because they may not calculate these measures in the same manner. EBITDA and Adjusted EBITDA are not prepared in accordance with U.S. GAAP and should not be considered in isolation of, or as an alternative to, measures prepared in accordance with U.S. GAAP. When evaluating our performance, you should consider EBITDA and Adjusted EBITDA alongside other financial performance measures prepared in accordance with U.S. GAAP, including net loss.</w:t>
      </w:r>
    </w:p>
    <w:p>
      <w:pPr>
        <w:sectPr>
          <w:pgSz w:w="11900" w:h="16838" w:orient="portrait"/>
          <w:cols w:equalWidth="0" w:num="1">
            <w:col w:w="11240"/>
          </w:cols>
          <w:pgMar w:left="320" w:top="114"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EBITDA as net loss adjusted to exclude interest expense, dividend income and depreciation. Adjusted EBITDA is calculated as EBITDA adjusted to exclude change in fair value of warrant liabilities, other expense, net, stock-based compensation, and other non-recurring items. The other non-recurring items include costs related to discretionary transaction bonuses and other costs incurred with the Closing of the Business Combination on June 10, 2021.</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Adjusted EBITDA to net loss, the most directly comparable financial measure calculated and presented in accordance with U.S.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(99,302)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(65,567)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Adjustments to reconcile to EBITDA: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Dividend income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(1,381)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(3,288)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(32,365)</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(18,566)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(100,801)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(65,591)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to Adjusted EBITDA: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(6,975)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(3,442)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4,043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17,840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related costs - business combination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(22,886)</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(17,515)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(76,110)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(43,646)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we have generated no revenue and have funded our operations primarily with proceeds from the issuance of equity to private investors. In addition, on June 10, 2021, we completed the Business Combination, and as a result we received proceeds of approximately $511.2 million on the day of the Closing. Our primary uses of liquidity have been operating expenses, capital expenditures and our acquisition of certain assets of Majelac Technologies LLC (“Majelac”). Cash flows from operations have been historically negative as we continue to invest in the development of our technology in NGPS. We expect to incur negative operating cash flows on an annual basis for the foreseeable future until such time that we can successfully commercialize our products that are currently under development. However, we can provide no assurance that such products will be successfully developed and commercialized in the future.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the funds raised in connection with the Business Combination will be sufficient to meet our liquidity, capital expenditure, and anticipated working capital requirements and fund our operations for at least the next 12 months. We expect to use the funds raised in connection with the Business Combination to further invest in the research and development of our products, for other operating expenses, business acquisitions and for working capital and general corporate purposes.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2022, we had cash and cash equivalents and investments in marketable securities totaling $372.1 million. Our future capital requirements may vary from those currently planned and will depend on various factors including the timing of product commercialization.</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expect to launch the Platinum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instrument and start to take orders before the end of 2022 and begin shipping product in the first quarter of 2023. During the ramp up to launch, our business will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commercialization; (iii) changes we may make in our business or commercialization strategy; (iv) the impact of the COVID-19 pandemic; (v) costs of running a public company; (vi) other items affecting our forecasted level of expenditures and use of cash resources including potential acquisitions; and (vii) increased product and service costs.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(70,977)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(48,348)</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(441,859)</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515,400</w:t>
            </w:r>
          </w:p>
        </w:tc>
      </w:tr>
      <w:tr>
        <w:trPr>
          <w:trHeight w:val="257"/>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Net increase in cash and cash equivalents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42,478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represents the cash receipts and disbursements related to our activities other than investing and financing activities. We expect that the cash provided by financing activities in 2021 will continue to be our primary source of funds to support operating needs and capital expenditures for the foreseeable future.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cash used in operating activities of $71.0 million for the nine months ended September 30, 2022 was due primarily to a net loss of $99.3 million and a change in fair value of warrant liabilities of $5.1 million, partially offset by losses on marketable securities (realized and unrealized) of $22.8 million, stock-based compensation of $7.1 million and net cash inflows from changes in operating assets and liabilities of $1.6 million.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of $48.3 million for the nine months ended September 30, 2021 was due primarily to a net loss of $65.6 million and a change in fair value of warrant liabilities of $3.4 million, partially offset by stock-based compensation of $17.8 million and net cash inflows from changes in operating assets and liabilities of $1.5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net cash provided by investing activities of $111.7 million in the nine months ended September 30, 2022 was due primarily to sales of marketable securities of $119.8 million, partially offset by purchases of property and equipment of $7.2 million and marketable securities of $0.8 million.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cash used in investing activities of $441.9 million in the nine months ended September 30, 2021 was due to purchases of marketable securities of $438.7 million and property and equipment of $3.1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provided by financing activities of $1.8 million in the nine months ended September 30, 2022 was due primarily from $2.6 million from proceeds from exercise of stock options, offset by $0.5 million from payment of deferred consideration and $0.3 million from payment of contingent consideration related to the Majelac acquisition.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provided by financing activities of $515.4 million in the nine months ended September 30, 2021 was primarily from $512.8 million from proceeds from the Business Combination and $4.4 million from proceeds from exercise of stock options, partially offset by a $1.7 million payment of notes payable.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lease certain facilities and equipment under non-cancellable lease agreements that expire at various dates through 2032. As of September 30, 2022, the future payments, before adjustments for tenant incentives, under leases was $35.3 million, which includes a lease we entered into in December 2021 for a facility in New Haven, Connecticut, which commenced in January 2022 and a lease that commenced in April 2022 for a facility in Branford, Connecticut.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related to certain intellectual property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license certain intellectual property, some of which may be utilized in our current or future product offerings. To preserve the right to use such intellectual property, there are minimum annual fixed royalty payments of approximately $0.2 million. Once we commercialize and begin to generate revenue, there will be royalties based on the current anticipated utilization.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disclosed in our Annual Report on Form 10-K for the year ended December 31, 2021, filed with the SEC on March 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“Summary of Significant Accounting Policies – Recently Issued Accounting Pronouncements” in our condensed consolidated financial statements contained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believe that inflation has had a material effect on our business, financial condition or results of operations, other than its impact on the general economy. Nonetheless, to the extent our costs are impacted by general inflationary pressures, we may not be able to fully offset such higher costs through price increases or manufacturing efficiencies. Our inability or failure to do so could harm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and cash equivalents, and marketable securities are comprised primarily of cash and investments in fixed income mutual funds. The primary objective of our investments is the preservation of capital to fulfill liquidity needs. We do not enter into investments for trading or speculative purposes. Due to the short-term nature of these investments, we do not expect cash flows to be affected to any significant degree by a sudden change in market interest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our business primarily within the United States and currently execute the majority of our transactions in U.S. dollars. This limited foreign currency translation risk is not expected to have a material impact on our condensed consolidated financial statements. To date, we have not entered into any hedging arrangements with respect to foreign currency risk. As our international operations grow, we will continue to reassess our approach to manage our risk relating to fluctuations in currency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due to (i) the restatement of our financial statements to reclassify our warrants as described below and in Amendment No. 1 to our Annual Report on Form 10-K/A for the year ended December 31, 2020 filed with the SEC on May 10, 2021 and (ii) the other material weaknesses described below, our disclosure controls and procedures were not effective as of September 30,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in our Amendment No. 1 to our Annual Report on Form 10-K/A for the year ended December 31, 2020, we identified a material weakness in our internal control over financial reporting related to inaccurate accounting for the Public Warrants and Private Warrants issued in connection with HighCape’s initial public offering. Management identified this error when the SEC issued the SEC Statement. The SEC Statement addresses certain accounting and reporting considerations related to warrants of a kind similar to those we issued in connection with HighCape’s initial public offering in September 2020. This control deficiency resulted in us having to restate our audited consolidated financial statements contained in our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Legacy Quantum-Si’s financial statement close process for the years ended December 31, 2020 and 2019, we identified a material weakness in the design and operating effectiveness of our internal control over financial reporting. Legacy Quantum-Si outsourced its accounting and financial reporting to a third-party service provider, and therefore as of and for the years ended December 31, 2020 and 2019, did not have its own finance function or finance or accounting professionals that had the requisite experience or were in a position to appropriately perform the supervision and review of the information received from that third-party service provider. As a result, during the three months ended September 30, 2021, we identified a presentation error of the basic and diluted net loss per share calculation, including the weighted-average common stock for the three and six months ended June 30, 2021, which was prepared by a third-party service provider. This presentation error was due to the material weakness related to our ability to appropriately perform the supervision and review of the information received from the third-party service provider as discussed above.</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Notwithstanding these material weaknesses, management has concluded that our unaudited condensed consolidated financial statements included in this Quarterly Report on Form 10-Q are fairly stated in all material respects in accordance with U.S. GAAP for each of the periods presented therein.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the Material Weakness in Internal Control over Financial Reporting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response to these material weaknesses, our management has expended, and will continue to expend, a substantial amount of effort and resources for the remediation of these material weaknesses in internal control over financial reporting. Our management developed and started to execute a remediation plan. We hired accounting and finance resources of Quantum-Si, which included the Chief Financial Officer and Vice President, Controller, with technical public company accounting and financial reporting experience, as well as other team members. We also have access to accounting training, literature, research materials and increased communication among our personnel and outsourced third-party professionals with whom we have consulted and may continue to consult with regarding the application of complex accounting transactions. We have designed controls and deemed them to be effective. We have also tested and will continue to test for operational effectiveness to validate that the material weaknesses have been remediated and are operating effectively for a reasonable period of time. Our remediation plan can only be accomplished over time and will be continually reviewed to determine that we are achieving our objectives. There is no assurance that these initiatives will ultimately have the intended effects. The material weaknesses will not be considered remediated until our management designs and implements effective controls that operate for a sufficient period of time and our management has concluded through testing that these controls are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disclosed above, there were no changes in our internal control over financial reporting during the quarter that have materially affected, or are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results of operations and financial condition are subject to various risks and uncertainties including the risk factors described under the caption “Risk Factors” in our Annual Report on Form 10-K for the year ended December 31, 2021, filed with the SEC on March 1, 2022, and there have been no material changes to the risk factors described therein or in any of our subsequently filed reports.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Incorporated by</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Reference Herein</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from</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8"/>
                <w:szCs w:val="18"/>
                <w:b w:val="1"/>
                <w:bCs w:val="1"/>
                <w:color w:val="auto"/>
              </w:rPr>
              <w:t>SEC File/​</w:t>
            </w:r>
          </w:p>
        </w:tc>
      </w:tr>
      <w:tr>
        <w:trPr>
          <w:trHeight w:val="2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0"/>
                <w:szCs w:val="20"/>
                <w:color w:val="auto"/>
              </w:rPr>
            </w:pPr>
          </w:p>
        </w:tc>
        <w:tc>
          <w:tcPr>
            <w:tcW w:w="2900" w:type="dxa"/>
            <w:vAlign w:val="bottom"/>
          </w:tcPr>
          <w:p>
            <w:pPr>
              <w:ind w:left="70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Filed Herewith</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rPr>
              <w:t>​  Form or Schedule   ​</w:t>
            </w:r>
          </w:p>
        </w:tc>
        <w:tc>
          <w:tcPr>
            <w:tcW w:w="1640" w:type="dxa"/>
            <w:vAlign w:val="bottom"/>
          </w:tcPr>
          <w:p>
            <w:pPr>
              <w:ind w:left="380"/>
              <w:spacing w:after="0"/>
              <w:rPr>
                <w:sz w:val="20"/>
                <w:szCs w:val="20"/>
                <w:color w:val="auto"/>
              </w:rPr>
            </w:pPr>
            <w:r>
              <w:rPr>
                <w:rFonts w:ascii="Arial" w:cs="Arial" w:eastAsia="Arial" w:hAnsi="Arial"/>
                <w:sz w:val="18"/>
                <w:szCs w:val="18"/>
                <w:b w:val="1"/>
                <w:bCs w:val="1"/>
                <w:color w:val="auto"/>
              </w:rPr>
              <w:t>Filing Date</w:t>
            </w: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   Reg. Number</w:t>
            </w:r>
          </w:p>
        </w:tc>
      </w:tr>
      <w:tr>
        <w:trPr>
          <w:trHeight w:val="175"/>
        </w:trPr>
        <w:tc>
          <w:tcPr>
            <w:tcW w:w="1160" w:type="dxa"/>
            <w:vAlign w:val="bottom"/>
            <w:tcBorders>
              <w:top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4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Certification of the Principal Executive</w:t>
            </w:r>
          </w:p>
        </w:tc>
        <w:tc>
          <w:tcPr>
            <w:tcW w:w="1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X</w:t>
            </w: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6"/>
              </w:rPr>
              <w:t>Officer pursuant to Section 302 of the</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6"/>
        </w:trPr>
        <w:tc>
          <w:tcPr>
            <w:tcW w:w="11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30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Certification of the Principal Financial</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6"/>
              </w:rPr>
              <w:t>Officer pursuant to Section 302 of the</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p>
        </w:tc>
        <w:tc>
          <w:tcPr>
            <w:tcW w:w="84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Certifications of the Chief Executive</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Officer and Chief Financial Officer</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pursuant to Section 906 of the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30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Inline XBRL Instance Document (the</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instance document does not appear in</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the Interactive Data File because its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XBRL tags are embedded within the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Inline XBRL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101.SCH</w:t>
            </w:r>
          </w:p>
        </w:tc>
        <w:tc>
          <w:tcPr>
            <w:tcW w:w="30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Schema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101.CAL</w:t>
            </w:r>
          </w:p>
        </w:tc>
        <w:tc>
          <w:tcPr>
            <w:tcW w:w="30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Calculation 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101.DEF</w:t>
            </w:r>
          </w:p>
        </w:tc>
        <w:tc>
          <w:tcPr>
            <w:tcW w:w="30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Definition 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101.LAB</w:t>
            </w:r>
          </w:p>
        </w:tc>
        <w:tc>
          <w:tcPr>
            <w:tcW w:w="30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Label 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101.PRE</w:t>
            </w:r>
          </w:p>
        </w:tc>
        <w:tc>
          <w:tcPr>
            <w:tcW w:w="30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Presentation 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2"/>
        </w:trPr>
        <w:tc>
          <w:tcPr>
            <w:tcW w:w="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104</w:t>
            </w:r>
          </w:p>
        </w:tc>
        <w:tc>
          <w:tcPr>
            <w:tcW w:w="84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Cover Page Interactive Data File</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(embedded within the Inline XBRL</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ind w:left="340" w:hanging="332"/>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certifications attached as Exhibit 32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QUANTUM-SI INCORPORATED</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7"/>
          <w:szCs w:val="17"/>
          <w:color w:val="auto"/>
        </w:rPr>
        <w:t>By: /s/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8427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4277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7"/>
          <w:szCs w:val="17"/>
          <w:color w:val="auto"/>
        </w:rPr>
        <w:t>By: /s/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8427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4277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Claudia Drayton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Jeffrey Hawkins, certify that:</w:t>
      </w:r>
    </w:p>
    <w:p>
      <w:pPr>
        <w:spacing w:after="0" w:line="24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Quantum-Si Incorporated;</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November 8, 2022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Claudia Drayton, certify that:</w:t>
      </w:r>
    </w:p>
    <w:p>
      <w:pPr>
        <w:spacing w:after="0" w:line="24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Quantum-Si Incorporated;</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November 8, 2022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Claudia Drayton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906</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Quarterly Report for the quarter ended September 30,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3"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Dated: November 8, 2022</w:t>
      </w:r>
      <w:r>
        <w:rPr>
          <w:sz w:val="20"/>
          <w:szCs w:val="20"/>
          <w:color w:val="auto"/>
        </w:rPr>
        <w:tab/>
      </w:r>
      <w:r>
        <w:rPr>
          <w:rFonts w:ascii="Arial" w:cs="Arial" w:eastAsia="Arial" w:hAnsi="Arial"/>
          <w:sz w:val="16"/>
          <w:szCs w:val="16"/>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18770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77060"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Dated: November 8, 2022</w:t>
      </w:r>
      <w:r>
        <w:rPr>
          <w:sz w:val="20"/>
          <w:szCs w:val="20"/>
          <w:color w:val="auto"/>
        </w:rPr>
        <w:tab/>
      </w:r>
      <w:r>
        <w:rPr>
          <w:rFonts w:ascii="Arial" w:cs="Arial" w:eastAsia="Arial" w:hAnsi="Arial"/>
          <w:sz w:val="16"/>
          <w:szCs w:val="16"/>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18770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77060"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Claudia Drayton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2022-11-08T17:29:42Z</dcterms:created>
  <dcterms:modified xsi:type="dcterms:W3CDTF">2022-11-08T17:29:42Z</dcterms:modified>
</cp:coreProperties>
</file>