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74" w:lineRule="exact"/>
        <w:rPr>
          <w:sz w:val="24"/>
          <w:szCs w:val="24"/>
          <w:color w:val="auto"/>
        </w:rPr>
      </w:pPr>
    </w:p>
    <w:p>
      <w:pPr>
        <w:ind w:left="3300"/>
        <w:spacing w:after="0"/>
        <w:rPr>
          <w:sz w:val="20"/>
          <w:szCs w:val="20"/>
          <w:color w:val="auto"/>
        </w:rPr>
      </w:pPr>
      <w:r>
        <w:rPr>
          <w:rFonts w:ascii="Arial" w:cs="Arial" w:eastAsia="Arial" w:hAnsi="Arial"/>
          <w:sz w:val="13"/>
          <w:szCs w:val="13"/>
          <w:b w:val="1"/>
          <w:bCs w:val="1"/>
          <w:color w:val="auto"/>
        </w:rPr>
        <w:t>As filed with the U.S. Securities and Exchange Commission on August 3, 2020.</w:t>
      </w:r>
    </w:p>
    <w:p>
      <w:pPr>
        <w:spacing w:after="0" w:line="53" w:lineRule="exact"/>
        <w:rPr>
          <w:sz w:val="24"/>
          <w:szCs w:val="24"/>
          <w:color w:val="auto"/>
        </w:rPr>
      </w:pPr>
    </w:p>
    <w:p>
      <w:pPr>
        <w:ind w:left="886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46990</wp:posOffset>
            </wp:positionV>
            <wp:extent cx="61893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98425</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230"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SECURITIES AND EXCHANGE COMMISSION</w:t>
      </w:r>
    </w:p>
    <w:p>
      <w:pPr>
        <w:spacing w:after="0" w:line="26" w:lineRule="exact"/>
        <w:rPr>
          <w:sz w:val="24"/>
          <w:szCs w:val="24"/>
          <w:color w:val="auto"/>
        </w:rPr>
      </w:pPr>
    </w:p>
    <w:p>
      <w:pPr>
        <w:ind w:left="472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107315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2"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FORM S-1</w:t>
      </w:r>
    </w:p>
    <w:p>
      <w:pPr>
        <w:jc w:val="center"/>
        <w:ind w:right="-459"/>
        <w:spacing w:after="0"/>
        <w:rPr>
          <w:sz w:val="20"/>
          <w:szCs w:val="20"/>
          <w:color w:val="auto"/>
        </w:rPr>
      </w:pPr>
      <w:r>
        <w:rPr>
          <w:rFonts w:ascii="Arial" w:cs="Arial" w:eastAsia="Arial" w:hAnsi="Arial"/>
          <w:sz w:val="18"/>
          <w:szCs w:val="18"/>
          <w:b w:val="1"/>
          <w:bCs w:val="1"/>
          <w:color w:val="auto"/>
        </w:rPr>
        <w:t>REGISTRATION STATEMENT</w:t>
      </w: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i w:val="1"/>
          <w:iCs w:val="1"/>
          <w:color w:val="auto"/>
        </w:rPr>
        <w:t>UNDER</w:t>
      </w:r>
    </w:p>
    <w:p>
      <w:pPr>
        <w:spacing w:after="0" w:line="16"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81280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3" w:lineRule="exact"/>
        <w:rPr>
          <w:sz w:val="24"/>
          <w:szCs w:val="24"/>
          <w:color w:val="auto"/>
        </w:rPr>
      </w:pPr>
    </w:p>
    <w:p>
      <w:pPr>
        <w:ind w:left="2840"/>
        <w:spacing w:after="0"/>
        <w:rPr>
          <w:sz w:val="20"/>
          <w:szCs w:val="20"/>
          <w:color w:val="auto"/>
        </w:rPr>
      </w:pPr>
      <w:r>
        <w:rPr>
          <w:rFonts w:ascii="Arial" w:cs="Arial" w:eastAsia="Arial" w:hAnsi="Arial"/>
          <w:sz w:val="25"/>
          <w:szCs w:val="25"/>
          <w:b w:val="1"/>
          <w:bCs w:val="1"/>
          <w:color w:val="auto"/>
        </w:rPr>
        <w:t>HIGHCAPE CAPITAL ACQUISITION CORP.</w:t>
      </w:r>
    </w:p>
    <w:p>
      <w:pPr>
        <w:spacing w:after="0" w:line="39" w:lineRule="exact"/>
        <w:rPr>
          <w:sz w:val="24"/>
          <w:szCs w:val="24"/>
          <w:color w:val="auto"/>
        </w:rPr>
      </w:pPr>
    </w:p>
    <w:tbl>
      <w:tblPr>
        <w:tblLayout w:type="fixed"/>
        <w:tblInd w:w="1240" w:type="dxa"/>
        <w:tblCellMar>
          <w:top w:w="0" w:type="dxa"/>
          <w:left w:w="0" w:type="dxa"/>
          <w:bottom w:w="0" w:type="dxa"/>
          <w:right w:w="0" w:type="dxa"/>
        </w:tblCellMar>
      </w:tblPr>
      <w:tr>
        <w:trPr>
          <w:trHeight w:val="163"/>
        </w:trPr>
        <w:tc>
          <w:tcPr>
            <w:tcW w:w="2560" w:type="dxa"/>
            <w:vAlign w:val="bottom"/>
          </w:tcPr>
          <w:p>
            <w:pPr>
              <w:spacing w:after="0"/>
              <w:rPr>
                <w:sz w:val="14"/>
                <w:szCs w:val="14"/>
                <w:color w:val="auto"/>
              </w:rPr>
            </w:pPr>
          </w:p>
        </w:tc>
        <w:tc>
          <w:tcPr>
            <w:tcW w:w="3060" w:type="dxa"/>
            <w:vAlign w:val="bottom"/>
            <w:gridSpan w:val="3"/>
          </w:tcPr>
          <w:p>
            <w:pPr>
              <w:jc w:val="center"/>
              <w:ind w:left="15"/>
              <w:spacing w:after="0"/>
              <w:rPr>
                <w:sz w:val="20"/>
                <w:szCs w:val="20"/>
                <w:color w:val="auto"/>
              </w:rPr>
            </w:pPr>
            <w:r>
              <w:rPr>
                <w:rFonts w:ascii="Arial" w:cs="Arial" w:eastAsia="Arial" w:hAnsi="Arial"/>
                <w:sz w:val="13"/>
                <w:szCs w:val="13"/>
                <w:color w:val="auto"/>
                <w:w w:val="95"/>
              </w:rPr>
              <w:t>(Exact name of registrant as specified in its charter)</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560" w:type="dxa"/>
            <w:vAlign w:val="bottom"/>
          </w:tcPr>
          <w:p>
            <w:pPr>
              <w:ind w:left="560"/>
              <w:spacing w:after="0" w:line="129" w:lineRule="exact"/>
              <w:rPr>
                <w:sz w:val="20"/>
                <w:szCs w:val="20"/>
                <w:color w:val="auto"/>
              </w:rPr>
            </w:pPr>
            <w:r>
              <w:rPr>
                <w:rFonts w:ascii="Arial" w:cs="Arial" w:eastAsia="Arial" w:hAnsi="Arial"/>
                <w:sz w:val="13"/>
                <w:szCs w:val="13"/>
                <w:b w:val="1"/>
                <w:bCs w:val="1"/>
                <w:color w:val="auto"/>
              </w:rPr>
              <w:t>Delaware</w:t>
            </w:r>
          </w:p>
        </w:tc>
        <w:tc>
          <w:tcPr>
            <w:tcW w:w="2540" w:type="dxa"/>
            <w:vAlign w:val="bottom"/>
            <w:gridSpan w:val="2"/>
          </w:tcPr>
          <w:p>
            <w:pPr>
              <w:jc w:val="center"/>
              <w:ind w:left="515"/>
              <w:spacing w:after="0" w:line="129" w:lineRule="exact"/>
              <w:rPr>
                <w:sz w:val="20"/>
                <w:szCs w:val="20"/>
                <w:color w:val="auto"/>
              </w:rPr>
            </w:pPr>
            <w:r>
              <w:rPr>
                <w:rFonts w:ascii="Arial" w:cs="Arial" w:eastAsia="Arial" w:hAnsi="Arial"/>
                <w:sz w:val="13"/>
                <w:szCs w:val="13"/>
                <w:b w:val="1"/>
                <w:bCs w:val="1"/>
                <w:color w:val="auto"/>
                <w:w w:val="82"/>
              </w:rPr>
              <w:t>6770</w:t>
            </w:r>
          </w:p>
        </w:tc>
        <w:tc>
          <w:tcPr>
            <w:tcW w:w="520" w:type="dxa"/>
            <w:vAlign w:val="bottom"/>
          </w:tcPr>
          <w:p>
            <w:pPr>
              <w:spacing w:after="0"/>
              <w:rPr>
                <w:sz w:val="11"/>
                <w:szCs w:val="11"/>
                <w:color w:val="auto"/>
              </w:rPr>
            </w:pPr>
          </w:p>
        </w:tc>
        <w:tc>
          <w:tcPr>
            <w:tcW w:w="2440" w:type="dxa"/>
            <w:vAlign w:val="bottom"/>
          </w:tcPr>
          <w:p>
            <w:pPr>
              <w:jc w:val="right"/>
              <w:ind w:right="255"/>
              <w:spacing w:after="0" w:line="129" w:lineRule="exact"/>
              <w:rPr>
                <w:sz w:val="20"/>
                <w:szCs w:val="20"/>
                <w:color w:val="auto"/>
              </w:rPr>
            </w:pPr>
            <w:r>
              <w:rPr>
                <w:rFonts w:ascii="Arial" w:cs="Arial" w:eastAsia="Arial" w:hAnsi="Arial"/>
                <w:sz w:val="13"/>
                <w:szCs w:val="13"/>
                <w:b w:val="1"/>
                <w:bCs w:val="1"/>
                <w:color w:val="auto"/>
              </w:rPr>
              <w:t>85-1388175</w:t>
            </w:r>
          </w:p>
        </w:tc>
        <w:tc>
          <w:tcPr>
            <w:tcW w:w="0" w:type="dxa"/>
            <w:vAlign w:val="bottom"/>
          </w:tcPr>
          <w:p>
            <w:pPr>
              <w:spacing w:after="0"/>
              <w:rPr>
                <w:sz w:val="1"/>
                <w:szCs w:val="1"/>
                <w:color w:val="auto"/>
              </w:rPr>
            </w:pPr>
          </w:p>
        </w:tc>
      </w:tr>
      <w:tr>
        <w:trPr>
          <w:trHeight w:val="131"/>
        </w:trPr>
        <w:tc>
          <w:tcPr>
            <w:tcW w:w="2560" w:type="dxa"/>
            <w:vAlign w:val="bottom"/>
          </w:tcPr>
          <w:p>
            <w:pPr>
              <w:spacing w:after="0" w:line="131" w:lineRule="exact"/>
              <w:rPr>
                <w:sz w:val="20"/>
                <w:szCs w:val="20"/>
                <w:color w:val="auto"/>
              </w:rPr>
            </w:pPr>
            <w:r>
              <w:rPr>
                <w:rFonts w:ascii="Arial" w:cs="Arial" w:eastAsia="Arial" w:hAnsi="Arial"/>
                <w:sz w:val="13"/>
                <w:szCs w:val="13"/>
                <w:color w:val="auto"/>
              </w:rPr>
              <w:t>(State or other jurisdiction of</w:t>
            </w:r>
          </w:p>
        </w:tc>
        <w:tc>
          <w:tcPr>
            <w:tcW w:w="600" w:type="dxa"/>
            <w:vAlign w:val="bottom"/>
          </w:tcPr>
          <w:p>
            <w:pPr>
              <w:spacing w:after="0"/>
              <w:rPr>
                <w:sz w:val="11"/>
                <w:szCs w:val="11"/>
                <w:color w:val="auto"/>
              </w:rPr>
            </w:pPr>
          </w:p>
        </w:tc>
        <w:tc>
          <w:tcPr>
            <w:tcW w:w="2460" w:type="dxa"/>
            <w:vAlign w:val="bottom"/>
            <w:gridSpan w:val="2"/>
          </w:tcPr>
          <w:p>
            <w:pPr>
              <w:ind w:left="160"/>
              <w:spacing w:after="0" w:line="131" w:lineRule="exact"/>
              <w:rPr>
                <w:sz w:val="20"/>
                <w:szCs w:val="20"/>
                <w:color w:val="auto"/>
              </w:rPr>
            </w:pPr>
            <w:r>
              <w:rPr>
                <w:rFonts w:ascii="Arial" w:cs="Arial" w:eastAsia="Arial" w:hAnsi="Arial"/>
                <w:sz w:val="13"/>
                <w:szCs w:val="13"/>
                <w:color w:val="auto"/>
              </w:rPr>
              <w:t>(Primary Standard Industrial</w:t>
            </w:r>
          </w:p>
        </w:tc>
        <w:tc>
          <w:tcPr>
            <w:tcW w:w="2440" w:type="dxa"/>
            <w:vAlign w:val="bottom"/>
          </w:tcPr>
          <w:p>
            <w:pPr>
              <w:jc w:val="center"/>
              <w:ind w:left="1075"/>
              <w:spacing w:after="0" w:line="131" w:lineRule="exact"/>
              <w:rPr>
                <w:sz w:val="20"/>
                <w:szCs w:val="20"/>
                <w:color w:val="auto"/>
              </w:rPr>
            </w:pPr>
            <w:r>
              <w:rPr>
                <w:rFonts w:ascii="Arial" w:cs="Arial" w:eastAsia="Arial" w:hAnsi="Arial"/>
                <w:sz w:val="13"/>
                <w:szCs w:val="13"/>
                <w:color w:val="auto"/>
                <w:w w:val="98"/>
              </w:rPr>
              <w:t>(I.R.S. Employer</w:t>
            </w:r>
          </w:p>
        </w:tc>
        <w:tc>
          <w:tcPr>
            <w:tcW w:w="0" w:type="dxa"/>
            <w:vAlign w:val="bottom"/>
          </w:tcPr>
          <w:p>
            <w:pPr>
              <w:spacing w:after="0"/>
              <w:rPr>
                <w:sz w:val="1"/>
                <w:szCs w:val="1"/>
                <w:color w:val="auto"/>
              </w:rPr>
            </w:pPr>
          </w:p>
        </w:tc>
      </w:tr>
      <w:tr>
        <w:trPr>
          <w:trHeight w:val="125"/>
        </w:trPr>
        <w:tc>
          <w:tcPr>
            <w:tcW w:w="2560" w:type="dxa"/>
            <w:vAlign w:val="bottom"/>
          </w:tcPr>
          <w:p>
            <w:pPr>
              <w:spacing w:after="0" w:line="126" w:lineRule="exact"/>
              <w:rPr>
                <w:sz w:val="20"/>
                <w:szCs w:val="20"/>
                <w:color w:val="auto"/>
              </w:rPr>
            </w:pPr>
            <w:r>
              <w:rPr>
                <w:rFonts w:ascii="Arial" w:cs="Arial" w:eastAsia="Arial" w:hAnsi="Arial"/>
                <w:sz w:val="13"/>
                <w:szCs w:val="13"/>
                <w:color w:val="auto"/>
              </w:rPr>
              <w:t>incorporation or organization)</w:t>
            </w:r>
          </w:p>
        </w:tc>
        <w:tc>
          <w:tcPr>
            <w:tcW w:w="600" w:type="dxa"/>
            <w:vAlign w:val="bottom"/>
          </w:tcPr>
          <w:p>
            <w:pPr>
              <w:spacing w:after="0"/>
              <w:rPr>
                <w:sz w:val="10"/>
                <w:szCs w:val="10"/>
                <w:color w:val="auto"/>
              </w:rPr>
            </w:pPr>
          </w:p>
        </w:tc>
        <w:tc>
          <w:tcPr>
            <w:tcW w:w="2460" w:type="dxa"/>
            <w:vAlign w:val="bottom"/>
            <w:gridSpan w:val="2"/>
          </w:tcPr>
          <w:p>
            <w:pPr>
              <w:jc w:val="center"/>
              <w:ind w:right="540"/>
              <w:spacing w:after="0" w:line="126" w:lineRule="exact"/>
              <w:rPr>
                <w:sz w:val="20"/>
                <w:szCs w:val="20"/>
                <w:color w:val="auto"/>
              </w:rPr>
            </w:pPr>
            <w:r>
              <w:rPr>
                <w:rFonts w:ascii="Arial" w:cs="Arial" w:eastAsia="Arial" w:hAnsi="Arial"/>
                <w:sz w:val="13"/>
                <w:szCs w:val="13"/>
                <w:color w:val="auto"/>
                <w:w w:val="96"/>
              </w:rPr>
              <w:t>Classification Code Number)</w:t>
            </w:r>
          </w:p>
        </w:tc>
        <w:tc>
          <w:tcPr>
            <w:tcW w:w="2440" w:type="dxa"/>
            <w:vAlign w:val="bottom"/>
          </w:tcPr>
          <w:p>
            <w:pPr>
              <w:jc w:val="center"/>
              <w:ind w:left="1115"/>
              <w:spacing w:after="0" w:line="126" w:lineRule="exact"/>
              <w:rPr>
                <w:sz w:val="20"/>
                <w:szCs w:val="20"/>
                <w:color w:val="auto"/>
              </w:rPr>
            </w:pPr>
            <w:r>
              <w:rPr>
                <w:rFonts w:ascii="Arial" w:cs="Arial" w:eastAsia="Arial" w:hAnsi="Arial"/>
                <w:sz w:val="13"/>
                <w:szCs w:val="13"/>
                <w:color w:val="auto"/>
                <w:w w:val="99"/>
              </w:rPr>
              <w:t>Identification Number)</w:t>
            </w:r>
          </w:p>
        </w:tc>
        <w:tc>
          <w:tcPr>
            <w:tcW w:w="0" w:type="dxa"/>
            <w:vAlign w:val="bottom"/>
          </w:tcPr>
          <w:p>
            <w:pPr>
              <w:spacing w:after="0"/>
              <w:rPr>
                <w:sz w:val="1"/>
                <w:szCs w:val="1"/>
                <w:color w:val="auto"/>
              </w:rPr>
            </w:pPr>
          </w:p>
        </w:tc>
      </w:tr>
      <w:tr>
        <w:trPr>
          <w:trHeight w:val="154"/>
        </w:trPr>
        <w:tc>
          <w:tcPr>
            <w:tcW w:w="2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60" w:type="dxa"/>
            <w:vAlign w:val="bottom"/>
            <w:gridSpan w:val="2"/>
          </w:tcPr>
          <w:p>
            <w:pPr>
              <w:jc w:val="center"/>
              <w:ind w:right="560"/>
              <w:spacing w:after="0" w:line="154" w:lineRule="exact"/>
              <w:rPr>
                <w:sz w:val="20"/>
                <w:szCs w:val="20"/>
                <w:color w:val="auto"/>
              </w:rPr>
            </w:pPr>
            <w:r>
              <w:rPr>
                <w:rFonts w:ascii="Arial" w:cs="Arial" w:eastAsia="Arial" w:hAnsi="Arial"/>
                <w:sz w:val="12"/>
                <w:szCs w:val="12"/>
                <w:b w:val="1"/>
                <w:bCs w:val="1"/>
                <w:color w:val="auto"/>
                <w:w w:val="91"/>
              </w:rPr>
              <w:t>452 Fifth Avenue, 21</w:t>
            </w:r>
            <w:r>
              <w:rPr>
                <w:rFonts w:ascii="Arial" w:cs="Arial" w:eastAsia="Arial" w:hAnsi="Arial"/>
                <w:sz w:val="17"/>
                <w:szCs w:val="17"/>
                <w:b w:val="1"/>
                <w:bCs w:val="1"/>
                <w:color w:val="auto"/>
                <w:w w:val="91"/>
                <w:vertAlign w:val="superscript"/>
              </w:rPr>
              <w:t>st</w:t>
            </w:r>
            <w:r>
              <w:rPr>
                <w:rFonts w:ascii="Arial" w:cs="Arial" w:eastAsia="Arial" w:hAnsi="Arial"/>
                <w:sz w:val="12"/>
                <w:szCs w:val="12"/>
                <w:b w:val="1"/>
                <w:bCs w:val="1"/>
                <w:color w:val="auto"/>
                <w:w w:val="91"/>
              </w:rPr>
              <w:t xml:space="preserve"> Floor</w:t>
            </w: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6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88"/>
              </w:rPr>
              <w:t>New York, New York 10018</w:t>
            </w: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560" w:type="dxa"/>
            <w:vAlign w:val="bottom"/>
          </w:tcPr>
          <w:p>
            <w:pPr>
              <w:spacing w:after="0"/>
              <w:rPr>
                <w:sz w:val="12"/>
                <w:szCs w:val="12"/>
                <w:color w:val="auto"/>
              </w:rPr>
            </w:pPr>
          </w:p>
        </w:tc>
        <w:tc>
          <w:tcPr>
            <w:tcW w:w="2540" w:type="dxa"/>
            <w:vAlign w:val="bottom"/>
            <w:gridSpan w:val="2"/>
          </w:tcPr>
          <w:p>
            <w:pPr>
              <w:jc w:val="center"/>
              <w:ind w:left="495"/>
              <w:spacing w:after="0" w:line="139" w:lineRule="exact"/>
              <w:rPr>
                <w:sz w:val="20"/>
                <w:szCs w:val="20"/>
                <w:color w:val="auto"/>
              </w:rPr>
            </w:pPr>
            <w:r>
              <w:rPr>
                <w:rFonts w:ascii="Arial" w:cs="Arial" w:eastAsia="Arial" w:hAnsi="Arial"/>
                <w:sz w:val="13"/>
                <w:szCs w:val="13"/>
                <w:b w:val="1"/>
                <w:bCs w:val="1"/>
                <w:color w:val="auto"/>
                <w:w w:val="87"/>
              </w:rPr>
              <w:t>(646) 793-3510</w:t>
            </w:r>
          </w:p>
        </w:tc>
        <w:tc>
          <w:tcPr>
            <w:tcW w:w="5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060" w:type="dxa"/>
            <w:vAlign w:val="bottom"/>
            <w:gridSpan w:val="5"/>
          </w:tcPr>
          <w:p>
            <w:pPr>
              <w:jc w:val="center"/>
              <w:ind w:left="135"/>
              <w:spacing w:after="0"/>
              <w:rPr>
                <w:sz w:val="20"/>
                <w:szCs w:val="20"/>
                <w:color w:val="auto"/>
              </w:rPr>
            </w:pPr>
            <w:r>
              <w:rPr>
                <w:rFonts w:ascii="Arial" w:cs="Arial" w:eastAsia="Arial" w:hAnsi="Arial"/>
                <w:sz w:val="13"/>
                <w:szCs w:val="13"/>
                <w:color w:val="auto"/>
                <w:w w:val="95"/>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57"/>
        </w:trPr>
        <w:tc>
          <w:tcPr>
            <w:tcW w:w="2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1"/>
              </w:rPr>
              <w:t>Kevin Rakin</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60" w:type="dxa"/>
            <w:vAlign w:val="bottom"/>
            <w:gridSpan w:val="2"/>
          </w:tcPr>
          <w:p>
            <w:pPr>
              <w:jc w:val="center"/>
              <w:ind w:right="560"/>
              <w:spacing w:after="0" w:line="129" w:lineRule="exact"/>
              <w:rPr>
                <w:sz w:val="20"/>
                <w:szCs w:val="20"/>
                <w:color w:val="auto"/>
              </w:rPr>
            </w:pPr>
            <w:r>
              <w:rPr>
                <w:rFonts w:ascii="Arial" w:cs="Arial" w:eastAsia="Arial" w:hAnsi="Arial"/>
                <w:sz w:val="13"/>
                <w:szCs w:val="13"/>
                <w:b w:val="1"/>
                <w:bCs w:val="1"/>
                <w:color w:val="auto"/>
                <w:w w:val="88"/>
              </w:rPr>
              <w:t>Chief Executive Officer</w:t>
            </w: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60" w:type="dxa"/>
            <w:vAlign w:val="bottom"/>
            <w:gridSpan w:val="2"/>
          </w:tcPr>
          <w:p>
            <w:pPr>
              <w:jc w:val="center"/>
              <w:ind w:right="560"/>
              <w:spacing w:after="0" w:line="154" w:lineRule="exact"/>
              <w:rPr>
                <w:sz w:val="20"/>
                <w:szCs w:val="20"/>
                <w:color w:val="auto"/>
              </w:rPr>
            </w:pPr>
            <w:r>
              <w:rPr>
                <w:rFonts w:ascii="Arial" w:cs="Arial" w:eastAsia="Arial" w:hAnsi="Arial"/>
                <w:sz w:val="12"/>
                <w:szCs w:val="12"/>
                <w:b w:val="1"/>
                <w:bCs w:val="1"/>
                <w:color w:val="auto"/>
                <w:w w:val="91"/>
              </w:rPr>
              <w:t>452 Fifth Avenue, 21</w:t>
            </w:r>
            <w:r>
              <w:rPr>
                <w:rFonts w:ascii="Arial" w:cs="Arial" w:eastAsia="Arial" w:hAnsi="Arial"/>
                <w:sz w:val="17"/>
                <w:szCs w:val="17"/>
                <w:b w:val="1"/>
                <w:bCs w:val="1"/>
                <w:color w:val="auto"/>
                <w:w w:val="91"/>
                <w:vertAlign w:val="superscript"/>
              </w:rPr>
              <w:t>st</w:t>
            </w:r>
            <w:r>
              <w:rPr>
                <w:rFonts w:ascii="Arial" w:cs="Arial" w:eastAsia="Arial" w:hAnsi="Arial"/>
                <w:sz w:val="12"/>
                <w:szCs w:val="12"/>
                <w:b w:val="1"/>
                <w:bCs w:val="1"/>
                <w:color w:val="auto"/>
                <w:w w:val="91"/>
              </w:rPr>
              <w:t xml:space="preserve"> Floor</w:t>
            </w: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6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88"/>
              </w:rPr>
              <w:t>New York, New York 10018</w:t>
            </w: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2540" w:type="dxa"/>
            <w:vAlign w:val="bottom"/>
            <w:gridSpan w:val="2"/>
          </w:tcPr>
          <w:p>
            <w:pPr>
              <w:jc w:val="center"/>
              <w:ind w:left="535"/>
              <w:spacing w:after="0"/>
              <w:rPr>
                <w:sz w:val="20"/>
                <w:szCs w:val="20"/>
                <w:color w:val="auto"/>
              </w:rPr>
            </w:pPr>
            <w:r>
              <w:rPr>
                <w:rFonts w:ascii="Arial" w:cs="Arial" w:eastAsia="Arial" w:hAnsi="Arial"/>
                <w:sz w:val="13"/>
                <w:szCs w:val="13"/>
                <w:b w:val="1"/>
                <w:bCs w:val="1"/>
                <w:color w:val="auto"/>
                <w:w w:val="87"/>
              </w:rPr>
              <w:t>(646) 793-3510</w:t>
            </w:r>
          </w:p>
        </w:tc>
        <w:tc>
          <w:tcPr>
            <w:tcW w:w="5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60" w:type="dxa"/>
            <w:vAlign w:val="bottom"/>
            <w:gridSpan w:val="5"/>
          </w:tcPr>
          <w:p>
            <w:pPr>
              <w:jc w:val="center"/>
              <w:ind w:left="115"/>
              <w:spacing w:after="0"/>
              <w:rPr>
                <w:sz w:val="20"/>
                <w:szCs w:val="20"/>
                <w:color w:val="auto"/>
              </w:rPr>
            </w:pPr>
            <w:r>
              <w:rPr>
                <w:rFonts w:ascii="Arial" w:cs="Arial" w:eastAsia="Arial" w:hAnsi="Arial"/>
                <w:sz w:val="13"/>
                <w:szCs w:val="13"/>
                <w:color w:val="auto"/>
                <w:w w:val="94"/>
              </w:rPr>
              <w:t>(Name, address, including zip code, and telephone number, including area code, of agent for service)</w:t>
            </w:r>
          </w:p>
        </w:tc>
        <w:tc>
          <w:tcPr>
            <w:tcW w:w="0" w:type="dxa"/>
            <w:vAlign w:val="bottom"/>
          </w:tcPr>
          <w:p>
            <w:pPr>
              <w:spacing w:after="0"/>
              <w:rPr>
                <w:sz w:val="1"/>
                <w:szCs w:val="1"/>
                <w:color w:val="auto"/>
              </w:rPr>
            </w:pPr>
          </w:p>
        </w:tc>
      </w:tr>
      <w:tr>
        <w:trPr>
          <w:trHeight w:val="70"/>
        </w:trPr>
        <w:tc>
          <w:tcPr>
            <w:tcW w:w="2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560" w:type="dxa"/>
            <w:vAlign w:val="bottom"/>
            <w:vMerge w:val="restart"/>
          </w:tcPr>
          <w:p>
            <w:pPr>
              <w:jc w:val="center"/>
              <w:ind w:left="615"/>
              <w:spacing w:after="0"/>
              <w:rPr>
                <w:sz w:val="20"/>
                <w:szCs w:val="20"/>
                <w:color w:val="auto"/>
              </w:rPr>
            </w:pPr>
            <w:r>
              <w:rPr>
                <w:rFonts w:ascii="Arial" w:cs="Arial" w:eastAsia="Arial" w:hAnsi="Arial"/>
                <w:sz w:val="13"/>
                <w:szCs w:val="13"/>
                <w:b w:val="1"/>
                <w:bCs w:val="1"/>
                <w:color w:val="auto"/>
                <w:w w:val="85"/>
              </w:rPr>
              <w:t>Joel L. Rubinstein</w:t>
            </w:r>
          </w:p>
        </w:tc>
        <w:tc>
          <w:tcPr>
            <w:tcW w:w="600" w:type="dxa"/>
            <w:vAlign w:val="bottom"/>
          </w:tcPr>
          <w:p>
            <w:pPr>
              <w:spacing w:after="0"/>
              <w:rPr>
                <w:sz w:val="19"/>
                <w:szCs w:val="19"/>
                <w:color w:val="auto"/>
              </w:rPr>
            </w:pPr>
          </w:p>
        </w:tc>
        <w:tc>
          <w:tcPr>
            <w:tcW w:w="2460" w:type="dxa"/>
            <w:vAlign w:val="bottom"/>
            <w:gridSpan w:val="2"/>
          </w:tcPr>
          <w:p>
            <w:pPr>
              <w:jc w:val="center"/>
              <w:ind w:right="520"/>
              <w:spacing w:after="0"/>
              <w:rPr>
                <w:sz w:val="20"/>
                <w:szCs w:val="20"/>
                <w:color w:val="auto"/>
              </w:rPr>
            </w:pPr>
            <w:r>
              <w:rPr>
                <w:rFonts w:ascii="Arial" w:cs="Arial" w:eastAsia="Arial" w:hAnsi="Arial"/>
                <w:sz w:val="13"/>
                <w:szCs w:val="13"/>
                <w:b w:val="1"/>
                <w:bCs w:val="1"/>
                <w:i w:val="1"/>
                <w:iCs w:val="1"/>
                <w:color w:val="auto"/>
                <w:w w:val="78"/>
              </w:rPr>
              <w:t>Copies to:</w:t>
            </w:r>
          </w:p>
        </w:tc>
        <w:tc>
          <w:tcPr>
            <w:tcW w:w="2440" w:type="dxa"/>
            <w:vAlign w:val="bottom"/>
            <w:vMerge w:val="restart"/>
          </w:tcPr>
          <w:p>
            <w:pPr>
              <w:jc w:val="center"/>
              <w:ind w:right="455"/>
              <w:spacing w:after="0"/>
              <w:rPr>
                <w:sz w:val="20"/>
                <w:szCs w:val="20"/>
                <w:color w:val="auto"/>
              </w:rPr>
            </w:pPr>
            <w:r>
              <w:rPr>
                <w:rFonts w:ascii="Arial" w:cs="Arial" w:eastAsia="Arial" w:hAnsi="Arial"/>
                <w:sz w:val="13"/>
                <w:szCs w:val="13"/>
                <w:b w:val="1"/>
                <w:bCs w:val="1"/>
                <w:color w:val="auto"/>
                <w:w w:val="84"/>
              </w:rPr>
              <w:t>Douglas S. Ellenoff</w:t>
            </w:r>
          </w:p>
        </w:tc>
        <w:tc>
          <w:tcPr>
            <w:tcW w:w="0" w:type="dxa"/>
            <w:vAlign w:val="bottom"/>
          </w:tcPr>
          <w:p>
            <w:pPr>
              <w:spacing w:after="0"/>
              <w:rPr>
                <w:sz w:val="1"/>
                <w:szCs w:val="1"/>
                <w:color w:val="auto"/>
              </w:rPr>
            </w:pPr>
          </w:p>
        </w:tc>
      </w:tr>
      <w:tr>
        <w:trPr>
          <w:trHeight w:val="89"/>
        </w:trPr>
        <w:tc>
          <w:tcPr>
            <w:tcW w:w="2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560" w:type="dxa"/>
            <w:vAlign w:val="bottom"/>
          </w:tcPr>
          <w:p>
            <w:pPr>
              <w:jc w:val="center"/>
              <w:ind w:left="595"/>
              <w:spacing w:after="0" w:line="135" w:lineRule="exact"/>
              <w:rPr>
                <w:sz w:val="20"/>
                <w:szCs w:val="20"/>
                <w:color w:val="auto"/>
              </w:rPr>
            </w:pPr>
            <w:r>
              <w:rPr>
                <w:rFonts w:ascii="Arial" w:cs="Arial" w:eastAsia="Arial" w:hAnsi="Arial"/>
                <w:sz w:val="13"/>
                <w:szCs w:val="13"/>
                <w:b w:val="1"/>
                <w:bCs w:val="1"/>
                <w:color w:val="auto"/>
                <w:w w:val="85"/>
              </w:rPr>
              <w:t>Daniel E. Nussen</w:t>
            </w:r>
          </w:p>
        </w:tc>
        <w:tc>
          <w:tcPr>
            <w:tcW w:w="6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40" w:type="dxa"/>
            <w:vAlign w:val="bottom"/>
          </w:tcPr>
          <w:p>
            <w:pPr>
              <w:jc w:val="center"/>
              <w:ind w:right="435"/>
              <w:spacing w:after="0" w:line="135" w:lineRule="exact"/>
              <w:rPr>
                <w:sz w:val="20"/>
                <w:szCs w:val="20"/>
                <w:color w:val="auto"/>
              </w:rPr>
            </w:pPr>
            <w:r>
              <w:rPr>
                <w:rFonts w:ascii="Arial" w:cs="Arial" w:eastAsia="Arial" w:hAnsi="Arial"/>
                <w:sz w:val="13"/>
                <w:szCs w:val="13"/>
                <w:b w:val="1"/>
                <w:bCs w:val="1"/>
                <w:color w:val="auto"/>
                <w:w w:val="86"/>
              </w:rPr>
              <w:t>Stuart Neuhauser</w:t>
            </w:r>
          </w:p>
        </w:tc>
        <w:tc>
          <w:tcPr>
            <w:tcW w:w="0" w:type="dxa"/>
            <w:vAlign w:val="bottom"/>
          </w:tcPr>
          <w:p>
            <w:pPr>
              <w:spacing w:after="0"/>
              <w:rPr>
                <w:sz w:val="1"/>
                <w:szCs w:val="1"/>
                <w:color w:val="auto"/>
              </w:rPr>
            </w:pPr>
          </w:p>
        </w:tc>
      </w:tr>
      <w:tr>
        <w:trPr>
          <w:trHeight w:val="135"/>
        </w:trPr>
        <w:tc>
          <w:tcPr>
            <w:tcW w:w="2560" w:type="dxa"/>
            <w:vAlign w:val="bottom"/>
          </w:tcPr>
          <w:p>
            <w:pPr>
              <w:jc w:val="center"/>
              <w:ind w:left="595"/>
              <w:spacing w:after="0" w:line="135" w:lineRule="exact"/>
              <w:rPr>
                <w:sz w:val="20"/>
                <w:szCs w:val="20"/>
                <w:color w:val="auto"/>
              </w:rPr>
            </w:pPr>
            <w:r>
              <w:rPr>
                <w:rFonts w:ascii="Arial" w:cs="Arial" w:eastAsia="Arial" w:hAnsi="Arial"/>
                <w:sz w:val="13"/>
                <w:szCs w:val="13"/>
                <w:b w:val="1"/>
                <w:bCs w:val="1"/>
                <w:color w:val="auto"/>
                <w:w w:val="91"/>
              </w:rPr>
              <w:t>White &amp; Case LLP</w:t>
            </w:r>
          </w:p>
        </w:tc>
        <w:tc>
          <w:tcPr>
            <w:tcW w:w="6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40" w:type="dxa"/>
            <w:vAlign w:val="bottom"/>
          </w:tcPr>
          <w:p>
            <w:pPr>
              <w:jc w:val="center"/>
              <w:ind w:right="455"/>
              <w:spacing w:after="0" w:line="135" w:lineRule="exact"/>
              <w:rPr>
                <w:sz w:val="20"/>
                <w:szCs w:val="20"/>
                <w:color w:val="auto"/>
              </w:rPr>
            </w:pPr>
            <w:r>
              <w:rPr>
                <w:rFonts w:ascii="Arial" w:cs="Arial" w:eastAsia="Arial" w:hAnsi="Arial"/>
                <w:sz w:val="13"/>
                <w:szCs w:val="13"/>
                <w:b w:val="1"/>
                <w:bCs w:val="1"/>
                <w:color w:val="auto"/>
                <w:w w:val="87"/>
              </w:rPr>
              <w:t>Joshua N. Englard</w:t>
            </w:r>
          </w:p>
        </w:tc>
        <w:tc>
          <w:tcPr>
            <w:tcW w:w="0" w:type="dxa"/>
            <w:vAlign w:val="bottom"/>
          </w:tcPr>
          <w:p>
            <w:pPr>
              <w:spacing w:after="0"/>
              <w:rPr>
                <w:sz w:val="1"/>
                <w:szCs w:val="1"/>
                <w:color w:val="auto"/>
              </w:rPr>
            </w:pPr>
          </w:p>
        </w:tc>
      </w:tr>
      <w:tr>
        <w:trPr>
          <w:trHeight w:val="135"/>
        </w:trPr>
        <w:tc>
          <w:tcPr>
            <w:tcW w:w="2560" w:type="dxa"/>
            <w:vAlign w:val="bottom"/>
          </w:tcPr>
          <w:p>
            <w:pPr>
              <w:jc w:val="center"/>
              <w:ind w:left="595"/>
              <w:spacing w:after="0" w:line="135" w:lineRule="exact"/>
              <w:rPr>
                <w:sz w:val="20"/>
                <w:szCs w:val="20"/>
                <w:color w:val="auto"/>
              </w:rPr>
            </w:pPr>
            <w:r>
              <w:rPr>
                <w:rFonts w:ascii="Arial" w:cs="Arial" w:eastAsia="Arial" w:hAnsi="Arial"/>
                <w:sz w:val="13"/>
                <w:szCs w:val="13"/>
                <w:b w:val="1"/>
                <w:bCs w:val="1"/>
                <w:color w:val="auto"/>
                <w:w w:val="85"/>
              </w:rPr>
              <w:t>1221 Avenue of the Americas</w:t>
            </w:r>
          </w:p>
        </w:tc>
        <w:tc>
          <w:tcPr>
            <w:tcW w:w="6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40" w:type="dxa"/>
            <w:vAlign w:val="bottom"/>
          </w:tcPr>
          <w:p>
            <w:pPr>
              <w:jc w:val="center"/>
              <w:ind w:right="435"/>
              <w:spacing w:after="0" w:line="135" w:lineRule="exact"/>
              <w:rPr>
                <w:sz w:val="20"/>
                <w:szCs w:val="20"/>
                <w:color w:val="auto"/>
              </w:rPr>
            </w:pPr>
            <w:r>
              <w:rPr>
                <w:rFonts w:ascii="Arial" w:cs="Arial" w:eastAsia="Arial" w:hAnsi="Arial"/>
                <w:sz w:val="13"/>
                <w:szCs w:val="13"/>
                <w:b w:val="1"/>
                <w:bCs w:val="1"/>
                <w:color w:val="auto"/>
                <w:w w:val="87"/>
              </w:rPr>
              <w:t>Ellenoff Grossman &amp; Schole LLP</w:t>
            </w:r>
          </w:p>
        </w:tc>
        <w:tc>
          <w:tcPr>
            <w:tcW w:w="0" w:type="dxa"/>
            <w:vAlign w:val="bottom"/>
          </w:tcPr>
          <w:p>
            <w:pPr>
              <w:spacing w:after="0"/>
              <w:rPr>
                <w:sz w:val="1"/>
                <w:szCs w:val="1"/>
                <w:color w:val="auto"/>
              </w:rPr>
            </w:pPr>
          </w:p>
        </w:tc>
      </w:tr>
      <w:tr>
        <w:trPr>
          <w:trHeight w:val="135"/>
        </w:trPr>
        <w:tc>
          <w:tcPr>
            <w:tcW w:w="2560" w:type="dxa"/>
            <w:vAlign w:val="bottom"/>
          </w:tcPr>
          <w:p>
            <w:pPr>
              <w:jc w:val="center"/>
              <w:ind w:left="595"/>
              <w:spacing w:after="0" w:line="135" w:lineRule="exact"/>
              <w:rPr>
                <w:sz w:val="20"/>
                <w:szCs w:val="20"/>
                <w:color w:val="auto"/>
              </w:rPr>
            </w:pPr>
            <w:r>
              <w:rPr>
                <w:rFonts w:ascii="Arial" w:cs="Arial" w:eastAsia="Arial" w:hAnsi="Arial"/>
                <w:sz w:val="13"/>
                <w:szCs w:val="13"/>
                <w:b w:val="1"/>
                <w:bCs w:val="1"/>
                <w:color w:val="auto"/>
                <w:w w:val="88"/>
              </w:rPr>
              <w:t>New York, New York 10020</w:t>
            </w:r>
          </w:p>
        </w:tc>
        <w:tc>
          <w:tcPr>
            <w:tcW w:w="6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40" w:type="dxa"/>
            <w:vAlign w:val="bottom"/>
          </w:tcPr>
          <w:p>
            <w:pPr>
              <w:jc w:val="center"/>
              <w:ind w:right="435"/>
              <w:spacing w:after="0" w:line="135" w:lineRule="exact"/>
              <w:rPr>
                <w:sz w:val="20"/>
                <w:szCs w:val="20"/>
                <w:color w:val="auto"/>
              </w:rPr>
            </w:pPr>
            <w:r>
              <w:rPr>
                <w:rFonts w:ascii="Arial" w:cs="Arial" w:eastAsia="Arial" w:hAnsi="Arial"/>
                <w:sz w:val="13"/>
                <w:szCs w:val="13"/>
                <w:b w:val="1"/>
                <w:bCs w:val="1"/>
                <w:color w:val="auto"/>
                <w:w w:val="85"/>
              </w:rPr>
              <w:t>1345 Avenue of the Americas</w:t>
            </w:r>
          </w:p>
        </w:tc>
        <w:tc>
          <w:tcPr>
            <w:tcW w:w="0" w:type="dxa"/>
            <w:vAlign w:val="bottom"/>
          </w:tcPr>
          <w:p>
            <w:pPr>
              <w:spacing w:after="0"/>
              <w:rPr>
                <w:sz w:val="1"/>
                <w:szCs w:val="1"/>
                <w:color w:val="auto"/>
              </w:rPr>
            </w:pPr>
          </w:p>
        </w:tc>
      </w:tr>
      <w:tr>
        <w:trPr>
          <w:trHeight w:val="135"/>
        </w:trPr>
        <w:tc>
          <w:tcPr>
            <w:tcW w:w="2560" w:type="dxa"/>
            <w:vAlign w:val="bottom"/>
          </w:tcPr>
          <w:p>
            <w:pPr>
              <w:jc w:val="center"/>
              <w:ind w:left="635"/>
              <w:spacing w:after="0" w:line="135" w:lineRule="exact"/>
              <w:rPr>
                <w:sz w:val="20"/>
                <w:szCs w:val="20"/>
                <w:color w:val="auto"/>
              </w:rPr>
            </w:pPr>
            <w:r>
              <w:rPr>
                <w:rFonts w:ascii="Arial" w:cs="Arial" w:eastAsia="Arial" w:hAnsi="Arial"/>
                <w:sz w:val="13"/>
                <w:szCs w:val="13"/>
                <w:b w:val="1"/>
                <w:bCs w:val="1"/>
                <w:color w:val="auto"/>
                <w:w w:val="88"/>
              </w:rPr>
              <w:t>Tel: (212) 819-8200</w:t>
            </w:r>
          </w:p>
        </w:tc>
        <w:tc>
          <w:tcPr>
            <w:tcW w:w="6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40" w:type="dxa"/>
            <w:vAlign w:val="bottom"/>
          </w:tcPr>
          <w:p>
            <w:pPr>
              <w:jc w:val="center"/>
              <w:ind w:right="435"/>
              <w:spacing w:after="0" w:line="135" w:lineRule="exact"/>
              <w:rPr>
                <w:sz w:val="20"/>
                <w:szCs w:val="20"/>
                <w:color w:val="auto"/>
              </w:rPr>
            </w:pPr>
            <w:r>
              <w:rPr>
                <w:rFonts w:ascii="Arial" w:cs="Arial" w:eastAsia="Arial" w:hAnsi="Arial"/>
                <w:sz w:val="13"/>
                <w:szCs w:val="13"/>
                <w:b w:val="1"/>
                <w:bCs w:val="1"/>
                <w:color w:val="auto"/>
                <w:w w:val="88"/>
              </w:rPr>
              <w:t>New York, New York 10105</w:t>
            </w: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40" w:type="dxa"/>
            <w:vAlign w:val="bottom"/>
          </w:tcPr>
          <w:p>
            <w:pPr>
              <w:jc w:val="center"/>
              <w:ind w:right="415"/>
              <w:spacing w:after="0"/>
              <w:rPr>
                <w:sz w:val="20"/>
                <w:szCs w:val="20"/>
                <w:color w:val="auto"/>
              </w:rPr>
            </w:pPr>
            <w:r>
              <w:rPr>
                <w:rFonts w:ascii="Arial" w:cs="Arial" w:eastAsia="Arial" w:hAnsi="Arial"/>
                <w:sz w:val="13"/>
                <w:szCs w:val="13"/>
                <w:b w:val="1"/>
                <w:bCs w:val="1"/>
                <w:color w:val="auto"/>
                <w:w w:val="86"/>
              </w:rPr>
              <w:t>Tel: (212) 370-1300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87630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4" w:lineRule="exact"/>
        <w:rPr>
          <w:sz w:val="24"/>
          <w:szCs w:val="24"/>
          <w:color w:val="auto"/>
        </w:rPr>
      </w:pPr>
    </w:p>
    <w:p>
      <w:pPr>
        <w:jc w:val="center"/>
        <w:ind w:right="-499"/>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the effective date of this registration statement.</w:t>
      </w:r>
    </w:p>
    <w:p>
      <w:pPr>
        <w:spacing w:after="0" w:line="13" w:lineRule="exact"/>
        <w:rPr>
          <w:sz w:val="24"/>
          <w:szCs w:val="24"/>
          <w:color w:val="auto"/>
        </w:rPr>
      </w:pPr>
    </w:p>
    <w:p>
      <w:pPr>
        <w:ind w:left="500" w:right="280" w:firstLine="360"/>
        <w:spacing w:after="0" w:line="142"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500" w:right="140" w:firstLine="360"/>
        <w:spacing w:after="0" w:line="14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500" w:right="100" w:firstLine="360"/>
        <w:spacing w:after="0" w:line="135"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500" w:right="80" w:firstLine="360"/>
        <w:spacing w:after="0" w:line="14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jc w:val="both"/>
        <w:ind w:left="500" w:right="180" w:firstLine="360"/>
        <w:spacing w:after="0" w:line="250"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500" w:type="dxa"/>
        <w:tblCellMar>
          <w:top w:w="0" w:type="dxa"/>
          <w:left w:w="0" w:type="dxa"/>
          <w:bottom w:w="0" w:type="dxa"/>
          <w:right w:w="0" w:type="dxa"/>
        </w:tblCellMar>
      </w:tblPr>
      <w:tr>
        <w:trPr>
          <w:trHeight w:val="138"/>
        </w:trPr>
        <w:tc>
          <w:tcPr>
            <w:tcW w:w="1280" w:type="dxa"/>
            <w:vAlign w:val="bottom"/>
          </w:tcPr>
          <w:p>
            <w:pPr>
              <w:spacing w:after="0" w:line="139" w:lineRule="exact"/>
              <w:rPr>
                <w:sz w:val="20"/>
                <w:szCs w:val="20"/>
                <w:color w:val="auto"/>
              </w:rPr>
            </w:pPr>
            <w:r>
              <w:rPr>
                <w:rFonts w:ascii="Arial" w:cs="Arial" w:eastAsia="Arial" w:hAnsi="Arial"/>
                <w:sz w:val="13"/>
                <w:szCs w:val="13"/>
                <w:color w:val="auto"/>
                <w:w w:val="97"/>
              </w:rPr>
              <w:t>Large accelerated filer</w:t>
            </w:r>
          </w:p>
        </w:tc>
        <w:tc>
          <w:tcPr>
            <w:tcW w:w="4100" w:type="dxa"/>
            <w:vAlign w:val="bottom"/>
            <w:gridSpan w:val="2"/>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line="139" w:lineRule="exact"/>
              <w:rPr>
                <w:sz w:val="20"/>
                <w:szCs w:val="20"/>
                <w:color w:val="auto"/>
              </w:rPr>
            </w:pPr>
            <w:r>
              <w:rPr>
                <w:rFonts w:ascii="Arial" w:cs="Arial" w:eastAsia="Arial" w:hAnsi="Arial"/>
                <w:sz w:val="13"/>
                <w:szCs w:val="13"/>
                <w:color w:val="auto"/>
              </w:rPr>
              <w:t>Accelerated filer</w:t>
            </w:r>
          </w:p>
        </w:tc>
        <w:tc>
          <w:tcPr>
            <w:tcW w:w="460" w:type="dxa"/>
            <w:vAlign w:val="bottom"/>
          </w:tcPr>
          <w:p>
            <w:pPr>
              <w:spacing w:after="0"/>
              <w:rPr>
                <w:sz w:val="12"/>
                <w:szCs w:val="12"/>
                <w:color w:val="auto"/>
              </w:rPr>
            </w:pPr>
          </w:p>
        </w:tc>
        <w:tc>
          <w:tcPr>
            <w:tcW w:w="660" w:type="dxa"/>
            <w:vAlign w:val="bottom"/>
          </w:tcPr>
          <w:p>
            <w:pPr>
              <w:jc w:val="center"/>
              <w:ind w:right="435"/>
              <w:spacing w:after="0" w:line="131" w:lineRule="exact"/>
              <w:rPr>
                <w:sz w:val="20"/>
                <w:szCs w:val="20"/>
                <w:color w:val="auto"/>
              </w:rPr>
            </w:pPr>
            <w:r>
              <w:rPr>
                <w:rFonts w:ascii="MS PGothic" w:cs="MS PGothic" w:eastAsia="MS PGothic" w:hAnsi="MS PGothic"/>
                <w:sz w:val="13"/>
                <w:szCs w:val="13"/>
                <w:color w:val="auto"/>
                <w:w w:val="91"/>
              </w:rPr>
              <w:t>☐</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line="135" w:lineRule="exact"/>
              <w:rPr>
                <w:sz w:val="20"/>
                <w:szCs w:val="20"/>
                <w:color w:val="auto"/>
              </w:rPr>
            </w:pPr>
            <w:r>
              <w:rPr>
                <w:rFonts w:ascii="Arial" w:cs="Arial" w:eastAsia="Arial" w:hAnsi="Arial"/>
                <w:sz w:val="13"/>
                <w:szCs w:val="13"/>
                <w:color w:val="auto"/>
              </w:rPr>
              <w:t>Non-accelerated filer</w:t>
            </w:r>
          </w:p>
        </w:tc>
        <w:tc>
          <w:tcPr>
            <w:tcW w:w="4100" w:type="dxa"/>
            <w:vAlign w:val="bottom"/>
            <w:gridSpan w:val="2"/>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60" w:type="dxa"/>
            <w:vAlign w:val="bottom"/>
            <w:gridSpan w:val="2"/>
          </w:tcPr>
          <w:p>
            <w:pPr>
              <w:spacing w:after="0" w:line="135" w:lineRule="exact"/>
              <w:rPr>
                <w:sz w:val="20"/>
                <w:szCs w:val="20"/>
                <w:color w:val="auto"/>
              </w:rPr>
            </w:pPr>
            <w:r>
              <w:rPr>
                <w:rFonts w:ascii="Arial" w:cs="Arial" w:eastAsia="Arial" w:hAnsi="Arial"/>
                <w:sz w:val="13"/>
                <w:szCs w:val="13"/>
                <w:color w:val="auto"/>
                <w:w w:val="92"/>
              </w:rPr>
              <w:t>Smaller reporting company</w:t>
            </w:r>
          </w:p>
        </w:tc>
        <w:tc>
          <w:tcPr>
            <w:tcW w:w="6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2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gridSpan w:val="2"/>
          </w:tcPr>
          <w:p>
            <w:pPr>
              <w:spacing w:after="0"/>
              <w:rPr>
                <w:sz w:val="20"/>
                <w:szCs w:val="20"/>
                <w:color w:val="auto"/>
              </w:rPr>
            </w:pPr>
            <w:r>
              <w:rPr>
                <w:rFonts w:ascii="Arial" w:cs="Arial" w:eastAsia="Arial" w:hAnsi="Arial"/>
                <w:sz w:val="13"/>
                <w:szCs w:val="13"/>
                <w:color w:val="auto"/>
                <w:w w:val="93"/>
              </w:rPr>
              <w:t>Emerging growth company</w:t>
            </w:r>
          </w:p>
        </w:tc>
        <w:tc>
          <w:tcPr>
            <w:tcW w:w="6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9720" w:type="dxa"/>
            <w:vAlign w:val="bottom"/>
            <w:gridSpan w:val="9"/>
          </w:tcPr>
          <w:p>
            <w:pPr>
              <w:ind w:left="360"/>
              <w:spacing w:after="0" w:line="126" w:lineRule="exact"/>
              <w:rPr>
                <w:sz w:val="20"/>
                <w:szCs w:val="20"/>
                <w:color w:val="auto"/>
              </w:rPr>
            </w:pPr>
            <w:r>
              <w:rPr>
                <w:rFonts w:ascii="Arial" w:cs="Arial" w:eastAsia="Arial" w:hAnsi="Arial"/>
                <w:sz w:val="13"/>
                <w:szCs w:val="13"/>
                <w:color w:val="auto"/>
                <w:w w:val="99"/>
              </w:rPr>
              <w:t>If an emerging growth company, indicate by check mark if the registrant has elected not to use the extended transition period for complying with any new or revised</w:t>
            </w:r>
          </w:p>
        </w:tc>
        <w:tc>
          <w:tcPr>
            <w:tcW w:w="0" w:type="dxa"/>
            <w:vAlign w:val="bottom"/>
          </w:tcPr>
          <w:p>
            <w:pPr>
              <w:spacing w:after="0"/>
              <w:rPr>
                <w:sz w:val="1"/>
                <w:szCs w:val="1"/>
                <w:color w:val="auto"/>
              </w:rPr>
            </w:pPr>
          </w:p>
        </w:tc>
      </w:tr>
      <w:tr>
        <w:trPr>
          <w:trHeight w:val="202"/>
        </w:trPr>
        <w:tc>
          <w:tcPr>
            <w:tcW w:w="5380" w:type="dxa"/>
            <w:vAlign w:val="bottom"/>
            <w:gridSpan w:val="3"/>
          </w:tcPr>
          <w:p>
            <w:pPr>
              <w:spacing w:after="0" w:line="150" w:lineRule="exact"/>
              <w:rPr>
                <w:sz w:val="20"/>
                <w:szCs w:val="20"/>
                <w:color w:val="auto"/>
              </w:rPr>
            </w:pPr>
            <w:r>
              <w:rPr>
                <w:rFonts w:ascii="Arial" w:cs="Arial" w:eastAsia="Arial" w:hAnsi="Arial"/>
                <w:sz w:val="13"/>
                <w:szCs w:val="13"/>
                <w:color w:val="auto"/>
                <w:w w:val="97"/>
              </w:rPr>
              <w:t xml:space="preserve">financial accounting standards provided pursuant to Section 7(a)(2)(B) of the Securities Act.  </w:t>
            </w:r>
            <w:r>
              <w:rPr>
                <w:rFonts w:ascii="MS PGothic" w:cs="MS PGothic" w:eastAsia="MS PGothic" w:hAnsi="MS PGothic"/>
                <w:sz w:val="13"/>
                <w:szCs w:val="13"/>
                <w:color w:val="auto"/>
                <w:w w:val="97"/>
              </w:rPr>
              <w:t>☐</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1"/>
                <w:szCs w:val="21"/>
                <w:color w:val="auto"/>
              </w:rPr>
            </w:pPr>
          </w:p>
        </w:tc>
        <w:tc>
          <w:tcPr>
            <w:tcW w:w="5360" w:type="dxa"/>
            <w:vAlign w:val="bottom"/>
            <w:gridSpan w:val="4"/>
          </w:tcPr>
          <w:p>
            <w:pPr>
              <w:ind w:left="2380"/>
              <w:spacing w:after="0"/>
              <w:rPr>
                <w:sz w:val="20"/>
                <w:szCs w:val="20"/>
                <w:color w:val="auto"/>
              </w:rPr>
            </w:pPr>
            <w:r>
              <w:rPr>
                <w:rFonts w:ascii="Arial" w:cs="Arial" w:eastAsia="Arial" w:hAnsi="Arial"/>
                <w:sz w:val="13"/>
                <w:szCs w:val="13"/>
                <w:b w:val="1"/>
                <w:bCs w:val="1"/>
                <w:color w:val="auto"/>
              </w:rPr>
              <w:t>CALCULATION OF REGISTRATION FEE</w:t>
            </w: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128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89"/>
              </w:rPr>
              <w:t>Amount</w:t>
            </w:r>
          </w:p>
        </w:tc>
        <w:tc>
          <w:tcPr>
            <w:tcW w:w="10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3"/>
              </w:rPr>
              <w:t>Proposed</w:t>
            </w:r>
          </w:p>
        </w:tc>
        <w:tc>
          <w:tcPr>
            <w:tcW w:w="1120" w:type="dxa"/>
            <w:vAlign w:val="bottom"/>
            <w:tcBorders>
              <w:right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3"/>
              </w:rPr>
              <w:t>Proposed</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2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gridSpan w:val="2"/>
            <w:vMerge w:val="continue"/>
          </w:tcPr>
          <w:p>
            <w:pPr>
              <w:spacing w:after="0"/>
              <w:rPr>
                <w:sz w:val="11"/>
                <w:szCs w:val="11"/>
                <w:color w:val="auto"/>
              </w:rPr>
            </w:pPr>
          </w:p>
        </w:tc>
        <w:tc>
          <w:tcPr>
            <w:tcW w:w="100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3"/>
              </w:rPr>
              <w:t>Maximum</w:t>
            </w:r>
          </w:p>
        </w:tc>
        <w:tc>
          <w:tcPr>
            <w:tcW w:w="1120" w:type="dxa"/>
            <w:vAlign w:val="bottom"/>
            <w:tcBorders>
              <w:right w:val="single" w:sz="8" w:color="auto"/>
            </w:tcBorders>
            <w:gridSpan w:val="2"/>
          </w:tcPr>
          <w:p>
            <w:pPr>
              <w:jc w:val="center"/>
              <w:ind w:right="15"/>
              <w:spacing w:after="0" w:line="128" w:lineRule="exact"/>
              <w:rPr>
                <w:sz w:val="20"/>
                <w:szCs w:val="20"/>
                <w:color w:val="auto"/>
              </w:rPr>
            </w:pPr>
            <w:r>
              <w:rPr>
                <w:rFonts w:ascii="Arial" w:cs="Arial" w:eastAsia="Arial" w:hAnsi="Arial"/>
                <w:sz w:val="13"/>
                <w:szCs w:val="13"/>
                <w:b w:val="1"/>
                <w:bCs w:val="1"/>
                <w:color w:val="auto"/>
                <w:w w:val="93"/>
              </w:rPr>
              <w:t>Maximum</w:t>
            </w:r>
          </w:p>
        </w:tc>
        <w:tc>
          <w:tcPr>
            <w:tcW w:w="960" w:type="dxa"/>
            <w:vAlign w:val="bottom"/>
            <w:vMerge w:val="restart"/>
          </w:tcPr>
          <w:p>
            <w:pPr>
              <w:jc w:val="center"/>
              <w:ind w:left="3"/>
              <w:spacing w:after="0"/>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41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3"/>
                <w:szCs w:val="13"/>
                <w:b w:val="1"/>
                <w:bCs w:val="1"/>
                <w:color w:val="auto"/>
              </w:rPr>
              <w:t>Title of Each Class of Security Being Registered</w:t>
            </w:r>
          </w:p>
        </w:tc>
        <w:tc>
          <w:tcPr>
            <w:tcW w:w="1260" w:type="dxa"/>
            <w:vAlign w:val="bottom"/>
            <w:tcBorders>
              <w:right w:val="single" w:sz="8" w:color="auto"/>
            </w:tcBorders>
            <w:gridSpan w:val="2"/>
          </w:tcPr>
          <w:p>
            <w:pPr>
              <w:jc w:val="center"/>
              <w:ind w:right="60"/>
              <w:spacing w:after="0" w:line="129" w:lineRule="exact"/>
              <w:rPr>
                <w:sz w:val="20"/>
                <w:szCs w:val="20"/>
                <w:color w:val="auto"/>
              </w:rPr>
            </w:pPr>
            <w:r>
              <w:rPr>
                <w:rFonts w:ascii="Arial" w:cs="Arial" w:eastAsia="Arial" w:hAnsi="Arial"/>
                <w:sz w:val="13"/>
                <w:szCs w:val="13"/>
                <w:b w:val="1"/>
                <w:bCs w:val="1"/>
                <w:color w:val="auto"/>
                <w:w w:val="88"/>
              </w:rPr>
              <w:t>Being</w:t>
            </w:r>
          </w:p>
        </w:tc>
        <w:tc>
          <w:tcPr>
            <w:tcW w:w="10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8"/>
              </w:rPr>
              <w:t>Offering Price</w:t>
            </w:r>
          </w:p>
        </w:tc>
        <w:tc>
          <w:tcPr>
            <w:tcW w:w="1120" w:type="dxa"/>
            <w:vAlign w:val="bottom"/>
            <w:tcBorders>
              <w:right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3"/>
              </w:rPr>
              <w:t>Aggregate</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tcPr>
          <w:p>
            <w:pPr>
              <w:spacing w:after="0"/>
              <w:rPr>
                <w:sz w:val="12"/>
                <w:szCs w:val="12"/>
                <w:color w:val="auto"/>
              </w:rPr>
            </w:pPr>
          </w:p>
        </w:tc>
        <w:tc>
          <w:tcPr>
            <w:tcW w:w="4100" w:type="dxa"/>
            <w:vAlign w:val="bottom"/>
            <w:tcBorders>
              <w:bottom w:val="single" w:sz="8" w:color="auto"/>
              <w:right w:val="single" w:sz="8" w:color="auto"/>
            </w:tcBorders>
            <w:gridSpan w:val="2"/>
            <w:vMerge w:val="continue"/>
          </w:tcPr>
          <w:p>
            <w:pPr>
              <w:spacing w:after="0"/>
              <w:rPr>
                <w:sz w:val="12"/>
                <w:szCs w:val="12"/>
                <w:color w:val="auto"/>
              </w:rPr>
            </w:pPr>
          </w:p>
        </w:tc>
        <w:tc>
          <w:tcPr>
            <w:tcW w:w="12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3"/>
              </w:rPr>
              <w:t>Registered</w:t>
            </w:r>
          </w:p>
        </w:tc>
        <w:tc>
          <w:tcPr>
            <w:tcW w:w="100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2"/>
                <w:szCs w:val="12"/>
                <w:b w:val="1"/>
                <w:bCs w:val="1"/>
                <w:color w:val="auto"/>
                <w:w w:val="91"/>
              </w:rPr>
              <w:t>per Security</w:t>
            </w:r>
            <w:r>
              <w:rPr>
                <w:rFonts w:ascii="Arial" w:cs="Arial" w:eastAsia="Arial" w:hAnsi="Arial"/>
                <w:sz w:val="17"/>
                <w:szCs w:val="17"/>
                <w:b w:val="1"/>
                <w:bCs w:val="1"/>
                <w:color w:val="auto"/>
                <w:w w:val="91"/>
                <w:vertAlign w:val="superscript"/>
              </w:rPr>
              <w:t>(1)</w:t>
            </w:r>
          </w:p>
        </w:tc>
        <w:tc>
          <w:tcPr>
            <w:tcW w:w="1120" w:type="dxa"/>
            <w:vAlign w:val="bottom"/>
            <w:tcBorders>
              <w:bottom w:val="single" w:sz="8" w:color="auto"/>
              <w:right w:val="single" w:sz="8" w:color="auto"/>
            </w:tcBorders>
            <w:gridSpan w:val="2"/>
          </w:tcPr>
          <w:p>
            <w:pPr>
              <w:jc w:val="center"/>
              <w:spacing w:after="0" w:line="149" w:lineRule="exact"/>
              <w:rPr>
                <w:sz w:val="20"/>
                <w:szCs w:val="20"/>
                <w:color w:val="auto"/>
              </w:rPr>
            </w:pPr>
            <w:r>
              <w:rPr>
                <w:rFonts w:ascii="Arial" w:cs="Arial" w:eastAsia="Arial" w:hAnsi="Arial"/>
                <w:sz w:val="12"/>
                <w:szCs w:val="12"/>
                <w:b w:val="1"/>
                <w:bCs w:val="1"/>
                <w:color w:val="auto"/>
                <w:w w:val="94"/>
              </w:rPr>
              <w:t>Offering Price</w:t>
            </w:r>
            <w:r>
              <w:rPr>
                <w:rFonts w:ascii="Arial" w:cs="Arial" w:eastAsia="Arial" w:hAnsi="Arial"/>
                <w:sz w:val="17"/>
                <w:szCs w:val="17"/>
                <w:b w:val="1"/>
                <w:bCs w:val="1"/>
                <w:color w:val="auto"/>
                <w:w w:val="94"/>
                <w:vertAlign w:val="superscript"/>
              </w:rPr>
              <w:t>(1)</w:t>
            </w:r>
          </w:p>
        </w:tc>
        <w:tc>
          <w:tcPr>
            <w:tcW w:w="960" w:type="dxa"/>
            <w:vAlign w:val="bottom"/>
            <w:tcBorders>
              <w:bottom w:val="single" w:sz="8" w:color="auto"/>
            </w:tcBorders>
          </w:tcPr>
          <w:p>
            <w:pPr>
              <w:jc w:val="center"/>
              <w:ind w:left="43"/>
              <w:spacing w:after="0"/>
              <w:rPr>
                <w:sz w:val="20"/>
                <w:szCs w:val="20"/>
                <w:color w:val="auto"/>
              </w:rPr>
            </w:pPr>
            <w:r>
              <w:rPr>
                <w:rFonts w:ascii="Arial" w:cs="Arial" w:eastAsia="Arial" w:hAnsi="Arial"/>
                <w:sz w:val="13"/>
                <w:szCs w:val="13"/>
                <w:b w:val="1"/>
                <w:bCs w:val="1"/>
                <w:color w:val="auto"/>
                <w:w w:val="84"/>
              </w:rPr>
              <w:t>Registration Fee</w:t>
            </w:r>
          </w:p>
        </w:tc>
        <w:tc>
          <w:tcPr>
            <w:tcW w:w="0" w:type="dxa"/>
            <w:vAlign w:val="bottom"/>
          </w:tcPr>
          <w:p>
            <w:pPr>
              <w:spacing w:after="0"/>
              <w:rPr>
                <w:sz w:val="1"/>
                <w:szCs w:val="1"/>
                <w:color w:val="auto"/>
              </w:rPr>
            </w:pPr>
          </w:p>
        </w:tc>
      </w:tr>
      <w:tr>
        <w:trPr>
          <w:trHeight w:val="115"/>
        </w:trPr>
        <w:tc>
          <w:tcPr>
            <w:tcW w:w="5380" w:type="dxa"/>
            <w:vAlign w:val="bottom"/>
            <w:tcBorders>
              <w:right w:val="single" w:sz="8" w:color="auto"/>
            </w:tcBorders>
            <w:gridSpan w:val="3"/>
            <w:shd w:val="clear" w:color="auto" w:fill="CCEEFF"/>
          </w:tcPr>
          <w:p>
            <w:pPr>
              <w:spacing w:after="0" w:line="115" w:lineRule="exact"/>
              <w:rPr>
                <w:sz w:val="20"/>
                <w:szCs w:val="20"/>
                <w:color w:val="auto"/>
              </w:rPr>
            </w:pPr>
            <w:r>
              <w:rPr>
                <w:rFonts w:ascii="Arial" w:cs="Arial" w:eastAsia="Arial" w:hAnsi="Arial"/>
                <w:sz w:val="13"/>
                <w:szCs w:val="13"/>
                <w:color w:val="auto"/>
                <w:w w:val="98"/>
              </w:rPr>
              <w:t>Units, each consisting of one share of Class A common stock, $0.0001 par value, and one-half</w:t>
            </w:r>
          </w:p>
        </w:tc>
        <w:tc>
          <w:tcPr>
            <w:tcW w:w="460" w:type="dxa"/>
            <w:vAlign w:val="bottom"/>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380" w:type="dxa"/>
            <w:vAlign w:val="bottom"/>
            <w:tcBorders>
              <w:bottom w:val="single" w:sz="8" w:color="auto"/>
              <w:right w:val="single" w:sz="8" w:color="auto"/>
            </w:tcBorders>
            <w:gridSpan w:val="3"/>
            <w:shd w:val="clear" w:color="auto" w:fill="CCEEFF"/>
          </w:tcPr>
          <w:p>
            <w:pPr>
              <w:ind w:left="120"/>
              <w:spacing w:after="0" w:line="189" w:lineRule="exact"/>
              <w:rPr>
                <w:sz w:val="20"/>
                <w:szCs w:val="20"/>
                <w:color w:val="auto"/>
              </w:rPr>
            </w:pPr>
            <w:r>
              <w:rPr>
                <w:rFonts w:ascii="Arial" w:cs="Arial" w:eastAsia="Arial" w:hAnsi="Arial"/>
                <w:sz w:val="13"/>
                <w:szCs w:val="13"/>
                <w:color w:val="auto"/>
              </w:rPr>
              <w:t>of one redeemable warrant</w:t>
            </w:r>
            <w:r>
              <w:rPr>
                <w:rFonts w:ascii="Arial" w:cs="Arial" w:eastAsia="Arial" w:hAnsi="Arial"/>
                <w:sz w:val="19"/>
                <w:szCs w:val="19"/>
                <w:color w:val="auto"/>
                <w:vertAlign w:val="superscript"/>
              </w:rPr>
              <w:t>(2)</w:t>
            </w:r>
          </w:p>
        </w:tc>
        <w:tc>
          <w:tcPr>
            <w:tcW w:w="1260" w:type="dxa"/>
            <w:vAlign w:val="bottom"/>
            <w:tcBorders>
              <w:bottom w:val="single" w:sz="8" w:color="auto"/>
              <w:right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11,500,000 Units</w:t>
            </w: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$10.00</w:t>
            </w:r>
          </w:p>
        </w:tc>
        <w:tc>
          <w:tcPr>
            <w:tcW w:w="112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color w:val="auto"/>
                <w:w w:val="90"/>
              </w:rPr>
              <w:t>$115,000,000</w:t>
            </w:r>
          </w:p>
        </w:tc>
        <w:tc>
          <w:tcPr>
            <w:tcW w:w="960" w:type="dxa"/>
            <w:vAlign w:val="bottom"/>
            <w:tcBorders>
              <w:bottom w:val="single" w:sz="8" w:color="auto"/>
            </w:tcBorders>
            <w:shd w:val="clear" w:color="auto" w:fill="CCEEFF"/>
          </w:tcPr>
          <w:p>
            <w:pPr>
              <w:jc w:val="center"/>
              <w:ind w:left="43"/>
              <w:spacing w:after="0"/>
              <w:rPr>
                <w:sz w:val="20"/>
                <w:szCs w:val="20"/>
                <w:color w:val="auto"/>
              </w:rPr>
            </w:pPr>
            <w:r>
              <w:rPr>
                <w:rFonts w:ascii="Arial" w:cs="Arial" w:eastAsia="Arial" w:hAnsi="Arial"/>
                <w:sz w:val="13"/>
                <w:szCs w:val="13"/>
                <w:color w:val="auto"/>
                <w:w w:val="95"/>
              </w:rPr>
              <w:t>$14,927.00</w:t>
            </w:r>
          </w:p>
        </w:tc>
        <w:tc>
          <w:tcPr>
            <w:tcW w:w="0" w:type="dxa"/>
            <w:vAlign w:val="bottom"/>
          </w:tcPr>
          <w:p>
            <w:pPr>
              <w:spacing w:after="0"/>
              <w:rPr>
                <w:sz w:val="1"/>
                <w:szCs w:val="1"/>
                <w:color w:val="auto"/>
              </w:rPr>
            </w:pPr>
          </w:p>
        </w:tc>
      </w:tr>
      <w:tr>
        <w:trPr>
          <w:trHeight w:val="155"/>
        </w:trPr>
        <w:tc>
          <w:tcPr>
            <w:tcW w:w="5380" w:type="dxa"/>
            <w:vAlign w:val="bottom"/>
            <w:tcBorders>
              <w:bottom w:val="single" w:sz="8" w:color="auto"/>
              <w:right w:val="single" w:sz="8" w:color="auto"/>
            </w:tcBorders>
            <w:gridSpan w:val="3"/>
          </w:tcPr>
          <w:p>
            <w:pPr>
              <w:spacing w:after="0" w:line="156" w:lineRule="exact"/>
              <w:rPr>
                <w:sz w:val="20"/>
                <w:szCs w:val="20"/>
                <w:color w:val="auto"/>
              </w:rPr>
            </w:pPr>
            <w:r>
              <w:rPr>
                <w:rFonts w:ascii="Arial" w:cs="Arial" w:eastAsia="Arial" w:hAnsi="Arial"/>
                <w:sz w:val="12"/>
                <w:szCs w:val="12"/>
                <w:color w:val="auto"/>
              </w:rPr>
              <w:t>Shares of Class A common stock included as part of the units</w:t>
            </w:r>
            <w:r>
              <w:rPr>
                <w:rFonts w:ascii="Arial" w:cs="Arial" w:eastAsia="Arial" w:hAnsi="Arial"/>
                <w:sz w:val="18"/>
                <w:szCs w:val="18"/>
                <w:color w:val="auto"/>
                <w:vertAlign w:val="superscript"/>
              </w:rPr>
              <w:t>(3)</w:t>
            </w:r>
          </w:p>
        </w:tc>
        <w:tc>
          <w:tcPr>
            <w:tcW w:w="12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3"/>
                <w:szCs w:val="13"/>
                <w:color w:val="auto"/>
                <w:w w:val="90"/>
              </w:rPr>
              <w:t>11,500,000 Shares</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jc w:val="center"/>
              <w:ind w:right="435"/>
              <w:spacing w:after="0"/>
              <w:rPr>
                <w:sz w:val="20"/>
                <w:szCs w:val="20"/>
                <w:color w:val="auto"/>
              </w:rPr>
            </w:pPr>
            <w:r>
              <w:rPr>
                <w:rFonts w:ascii="Arial" w:cs="Arial" w:eastAsia="Arial" w:hAnsi="Arial"/>
                <w:sz w:val="13"/>
                <w:szCs w:val="13"/>
                <w:color w:val="auto"/>
                <w:w w:val="91"/>
              </w:rPr>
              <w:t>—</w:t>
            </w:r>
          </w:p>
        </w:tc>
        <w:tc>
          <w:tcPr>
            <w:tcW w:w="960" w:type="dxa"/>
            <w:vAlign w:val="bottom"/>
            <w:tcBorders>
              <w:bottom w:val="single" w:sz="8" w:color="auto"/>
            </w:tcBorders>
          </w:tcPr>
          <w:p>
            <w:pPr>
              <w:jc w:val="center"/>
              <w:ind w:left="43"/>
              <w:spacing w:after="0" w:line="156"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8"/>
                <w:szCs w:val="8"/>
                <w:color w:val="auto"/>
              </w:rPr>
              <w:t xml:space="preserve"> (4)</w:t>
            </w:r>
          </w:p>
        </w:tc>
        <w:tc>
          <w:tcPr>
            <w:tcW w:w="0" w:type="dxa"/>
            <w:vAlign w:val="bottom"/>
          </w:tcPr>
          <w:p>
            <w:pPr>
              <w:spacing w:after="0"/>
              <w:rPr>
                <w:sz w:val="1"/>
                <w:szCs w:val="1"/>
                <w:color w:val="auto"/>
              </w:rPr>
            </w:pPr>
          </w:p>
        </w:tc>
      </w:tr>
      <w:tr>
        <w:trPr>
          <w:trHeight w:val="155"/>
        </w:trPr>
        <w:tc>
          <w:tcPr>
            <w:tcW w:w="5380" w:type="dxa"/>
            <w:vAlign w:val="bottom"/>
            <w:tcBorders>
              <w:bottom w:val="single" w:sz="8" w:color="auto"/>
              <w:right w:val="single" w:sz="8" w:color="auto"/>
            </w:tcBorders>
            <w:gridSpan w:val="3"/>
            <w:shd w:val="clear" w:color="auto" w:fill="CCEEFF"/>
          </w:tcPr>
          <w:p>
            <w:pPr>
              <w:spacing w:after="0" w:line="156" w:lineRule="exact"/>
              <w:rPr>
                <w:sz w:val="20"/>
                <w:szCs w:val="20"/>
                <w:color w:val="auto"/>
              </w:rPr>
            </w:pPr>
            <w:r>
              <w:rPr>
                <w:rFonts w:ascii="Arial" w:cs="Arial" w:eastAsia="Arial" w:hAnsi="Arial"/>
                <w:sz w:val="12"/>
                <w:szCs w:val="12"/>
                <w:color w:val="auto"/>
              </w:rPr>
              <w:t>Redeemable warrants included as part of the units</w:t>
            </w:r>
            <w:r>
              <w:rPr>
                <w:rFonts w:ascii="Arial" w:cs="Arial" w:eastAsia="Arial" w:hAnsi="Arial"/>
                <w:sz w:val="18"/>
                <w:szCs w:val="18"/>
                <w:color w:val="auto"/>
                <w:vertAlign w:val="superscript"/>
              </w:rPr>
              <w:t>(3)</w:t>
            </w:r>
          </w:p>
        </w:tc>
        <w:tc>
          <w:tcPr>
            <w:tcW w:w="1260" w:type="dxa"/>
            <w:vAlign w:val="bottom"/>
            <w:tcBorders>
              <w:bottom w:val="single" w:sz="8" w:color="auto"/>
              <w:right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2"/>
              </w:rPr>
              <w:t>5,750,000 Warrants</w:t>
            </w: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right w:val="single" w:sz="8" w:color="auto"/>
            </w:tcBorders>
            <w:shd w:val="clear" w:color="auto" w:fill="CCEEFF"/>
          </w:tcPr>
          <w:p>
            <w:pPr>
              <w:jc w:val="center"/>
              <w:ind w:right="435"/>
              <w:spacing w:after="0"/>
              <w:rPr>
                <w:sz w:val="20"/>
                <w:szCs w:val="20"/>
                <w:color w:val="auto"/>
              </w:rPr>
            </w:pPr>
            <w:r>
              <w:rPr>
                <w:rFonts w:ascii="Arial" w:cs="Arial" w:eastAsia="Arial" w:hAnsi="Arial"/>
                <w:sz w:val="13"/>
                <w:szCs w:val="13"/>
                <w:color w:val="auto"/>
                <w:w w:val="91"/>
              </w:rPr>
              <w:t>—</w:t>
            </w:r>
          </w:p>
        </w:tc>
        <w:tc>
          <w:tcPr>
            <w:tcW w:w="960" w:type="dxa"/>
            <w:vAlign w:val="bottom"/>
            <w:tcBorders>
              <w:bottom w:val="single" w:sz="8" w:color="auto"/>
            </w:tcBorders>
            <w:shd w:val="clear" w:color="auto" w:fill="CCEEFF"/>
          </w:tcPr>
          <w:p>
            <w:pPr>
              <w:jc w:val="center"/>
              <w:ind w:left="43"/>
              <w:spacing w:after="0" w:line="156"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8"/>
                <w:szCs w:val="8"/>
                <w:color w:val="auto"/>
              </w:rPr>
              <w:t xml:space="preserve"> (4)</w:t>
            </w:r>
          </w:p>
        </w:tc>
        <w:tc>
          <w:tcPr>
            <w:tcW w:w="0" w:type="dxa"/>
            <w:vAlign w:val="bottom"/>
          </w:tcPr>
          <w:p>
            <w:pPr>
              <w:spacing w:after="0"/>
              <w:rPr>
                <w:sz w:val="1"/>
                <w:szCs w:val="1"/>
                <w:color w:val="auto"/>
              </w:rPr>
            </w:pPr>
          </w:p>
        </w:tc>
      </w:tr>
      <w:tr>
        <w:trPr>
          <w:trHeight w:val="142"/>
        </w:trPr>
        <w:tc>
          <w:tcPr>
            <w:tcW w:w="128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Total</w:t>
            </w:r>
          </w:p>
        </w:tc>
        <w:tc>
          <w:tcPr>
            <w:tcW w:w="2620" w:type="dxa"/>
            <w:vAlign w:val="bottom"/>
            <w:tcBorders>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gridSpan w:val="2"/>
          </w:tcPr>
          <w:p>
            <w:pPr>
              <w:jc w:val="center"/>
              <w:spacing w:after="0" w:line="142" w:lineRule="exact"/>
              <w:rPr>
                <w:sz w:val="20"/>
                <w:szCs w:val="20"/>
                <w:color w:val="auto"/>
              </w:rPr>
            </w:pPr>
            <w:r>
              <w:rPr>
                <w:rFonts w:ascii="Arial" w:cs="Arial" w:eastAsia="Arial" w:hAnsi="Arial"/>
                <w:sz w:val="13"/>
                <w:szCs w:val="13"/>
                <w:color w:val="auto"/>
                <w:w w:val="90"/>
              </w:rPr>
              <w:t>$115,000,000</w:t>
            </w:r>
          </w:p>
        </w:tc>
        <w:tc>
          <w:tcPr>
            <w:tcW w:w="960" w:type="dxa"/>
            <w:vAlign w:val="bottom"/>
            <w:tcBorders>
              <w:bottom w:val="single" w:sz="8" w:color="auto"/>
            </w:tcBorders>
          </w:tcPr>
          <w:p>
            <w:pPr>
              <w:jc w:val="center"/>
              <w:ind w:left="43"/>
              <w:spacing w:after="0" w:line="142" w:lineRule="exact"/>
              <w:rPr>
                <w:sz w:val="20"/>
                <w:szCs w:val="20"/>
                <w:color w:val="auto"/>
              </w:rPr>
            </w:pPr>
            <w:r>
              <w:rPr>
                <w:rFonts w:ascii="Arial" w:cs="Arial" w:eastAsia="Arial" w:hAnsi="Arial"/>
                <w:sz w:val="13"/>
                <w:szCs w:val="13"/>
                <w:color w:val="auto"/>
                <w:w w:val="95"/>
              </w:rPr>
              <w:t>$14,927.00</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w:t>
      </w:r>
    </w:p>
    <w:p>
      <w:pPr>
        <w:spacing w:after="0" w:line="53" w:lineRule="exact"/>
        <w:rPr>
          <w:rFonts w:ascii="Arial" w:cs="Arial" w:eastAsia="Arial" w:hAnsi="Arial"/>
          <w:sz w:val="13"/>
          <w:szCs w:val="13"/>
          <w:color w:val="auto"/>
        </w:rPr>
      </w:pPr>
    </w:p>
    <w:p>
      <w:pPr>
        <w:ind w:left="860" w:right="20" w:hanging="366"/>
        <w:spacing w:after="0" w:line="281"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1,500,000 units, consisting of 1,500,000 shares of Class A common stock and 750,000 redeemable warrants, which may be issued upon exercise of a 45-day option granted to the underwriters to cover over-allotments, if any.</w:t>
      </w:r>
    </w:p>
    <w:p>
      <w:pPr>
        <w:ind w:left="860" w:hanging="366"/>
        <w:spacing w:after="0" w:line="282"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there are also being registered an indeterminable number of additional securities as may be issued to prevent dilution resulting from stock splits, stock dividends or similar transactions.</w:t>
      </w:r>
    </w:p>
    <w:p>
      <w:pPr>
        <w:spacing w:after="0" w:line="13" w:lineRule="exact"/>
        <w:rPr>
          <w:rFonts w:ascii="Arial" w:cs="Arial" w:eastAsia="Arial" w:hAnsi="Arial"/>
          <w:sz w:val="13"/>
          <w:szCs w:val="13"/>
          <w:color w:val="auto"/>
        </w:rPr>
      </w:pPr>
    </w:p>
    <w:p>
      <w:pPr>
        <w:ind w:left="860" w:hanging="366"/>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 fee pursuant to Rule 457(g).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61595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78" w:lineRule="exact"/>
        <w:rPr>
          <w:sz w:val="24"/>
          <w:szCs w:val="24"/>
          <w:color w:val="auto"/>
        </w:rPr>
      </w:pPr>
    </w:p>
    <w:p>
      <w:pPr>
        <w:ind w:left="500" w:right="40" w:firstLine="360"/>
        <w:spacing w:after="0" w:line="295"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17780</wp:posOffset>
            </wp:positionV>
            <wp:extent cx="6189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60325</wp:posOffset>
            </wp:positionV>
            <wp:extent cx="61893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239" w:right="1339" w:bottom="1440" w:gutter="0" w:footer="0" w:header="0"/>
        </w:sectPr>
      </w:pPr>
    </w:p>
    <w:bookmarkStart w:id="1" w:name="page2"/>
    <w:bookmarkEnd w:id="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tbl>
      <w:tblPr>
        <w:tblLayout w:type="fixed"/>
        <w:tblInd w:w="900" w:type="dxa"/>
        <w:tblCellMar>
          <w:top w:w="0" w:type="dxa"/>
          <w:left w:w="0" w:type="dxa"/>
          <w:bottom w:w="0" w:type="dxa"/>
          <w:right w:w="0" w:type="dxa"/>
        </w:tblCellMar>
      </w:tblPr>
      <w:tr>
        <w:trPr>
          <w:trHeight w:val="969"/>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and Exchange</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offer or sale is</w:t>
            </w:r>
          </w:p>
        </w:tc>
      </w:tr>
      <w:tr>
        <w:trPr>
          <w:trHeight w:val="716"/>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where the</w:t>
            </w:r>
          </w:p>
        </w:tc>
      </w:tr>
      <w:tr>
        <w:trPr>
          <w:trHeight w:val="4439"/>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sell these securities until the registration statement filed with the</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is not soliciting an offer to buy these securities in any jurisdiction</w:t>
            </w:r>
          </w:p>
        </w:tc>
      </w:tr>
      <w:tr>
        <w:trPr>
          <w:trHeight w:val="152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We may not</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these securities and it</w:t>
            </w:r>
          </w:p>
        </w:tc>
      </w:tr>
      <w:tr>
        <w:trPr>
          <w:trHeight w:val="80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offer to sell</w:t>
            </w:r>
          </w:p>
        </w:tc>
      </w:tr>
      <w:tr>
        <w:trPr>
          <w:trHeight w:val="65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w:t>
            </w:r>
          </w:p>
        </w:tc>
        <w:tc>
          <w:tcPr>
            <w:tcW w:w="300" w:type="dxa"/>
            <w:vAlign w:val="bottom"/>
            <w:textDirection w:val="btLr"/>
          </w:tcPr>
          <w:p>
            <w:pPr>
              <w:ind w:left="23"/>
              <w:spacing w:after="0"/>
              <w:rPr>
                <w:sz w:val="20"/>
                <w:szCs w:val="20"/>
                <w:color w:val="auto"/>
              </w:rPr>
            </w:pPr>
            <w:r>
              <w:rPr>
                <w:rFonts w:ascii="Arial" w:cs="Arial" w:eastAsia="Arial" w:hAnsi="Arial"/>
                <w:sz w:val="14"/>
                <w:szCs w:val="14"/>
                <w:b w:val="1"/>
                <w:bCs w:val="1"/>
                <w:color w:val="FC0014"/>
              </w:rPr>
              <w:t>is not an</w:t>
            </w:r>
          </w:p>
        </w:tc>
      </w:tr>
      <w:tr>
        <w:trPr>
          <w:trHeight w:val="3602"/>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300" w:type="dxa"/>
            <w:vAlign w:val="bottom"/>
            <w:textDirection w:val="btLr"/>
          </w:tcPr>
          <w:p>
            <w:pPr>
              <w:ind w:left="139"/>
              <w:spacing w:after="0"/>
              <w:rPr>
                <w:sz w:val="20"/>
                <w:szCs w:val="20"/>
                <w:color w:val="auto"/>
              </w:rPr>
            </w:pPr>
            <w:r>
              <w:rPr>
                <w:rFonts w:ascii="Arial" w:cs="Arial" w:eastAsia="Arial" w:hAnsi="Arial"/>
                <w:sz w:val="14"/>
                <w:szCs w:val="14"/>
                <w:b w:val="1"/>
                <w:bCs w:val="1"/>
                <w:color w:val="FC0014"/>
                <w:w w:val="80"/>
              </w:rPr>
              <w:t>Commission is effective. This preliminary prospectusnotpermitted.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FC0014"/>
        </w:rPr>
        <w:t>SUBJECT TO COMPLETION, DATED AUGUST 3, 2020</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PRELIMINARY PROSPECTUS</w:t>
      </w:r>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HighCape Capital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71755</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5"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$100,000,000</w:t>
      </w:r>
    </w:p>
    <w:p>
      <w:pPr>
        <w:spacing w:after="0" w:line="14"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10,000,000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46990</wp:posOffset>
            </wp:positionV>
            <wp:extent cx="1234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2" w:lineRule="exact"/>
        <w:rPr>
          <w:sz w:val="20"/>
          <w:szCs w:val="20"/>
          <w:color w:val="auto"/>
        </w:rPr>
      </w:pPr>
    </w:p>
    <w:p>
      <w:pPr>
        <w:ind w:right="379" w:firstLine="360"/>
        <w:spacing w:after="0" w:line="301" w:lineRule="auto"/>
        <w:rPr>
          <w:sz w:val="20"/>
          <w:szCs w:val="20"/>
          <w:color w:val="auto"/>
        </w:rPr>
      </w:pPr>
      <w:r>
        <w:rPr>
          <w:rFonts w:ascii="Arial" w:cs="Arial" w:eastAsia="Arial" w:hAnsi="Arial"/>
          <w:sz w:val="12"/>
          <w:szCs w:val="12"/>
          <w:color w:val="auto"/>
        </w:rPr>
        <w:t>HighCape Capital Acquisition Corp. is a blank check company whose business purpose is to effect a merger, capital stock exchange, asset acquisition, stock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23" w:lineRule="exact"/>
        <w:rPr>
          <w:sz w:val="20"/>
          <w:szCs w:val="20"/>
          <w:color w:val="auto"/>
        </w:rPr>
      </w:pPr>
    </w:p>
    <w:p>
      <w:pPr>
        <w:ind w:right="379" w:firstLine="360"/>
        <w:spacing w:after="0" w:line="269" w:lineRule="auto"/>
        <w:rPr>
          <w:sz w:val="20"/>
          <w:szCs w:val="20"/>
          <w:color w:val="auto"/>
        </w:rPr>
      </w:pPr>
      <w:r>
        <w:rPr>
          <w:rFonts w:ascii="Arial" w:cs="Arial" w:eastAsia="Arial" w:hAnsi="Arial"/>
          <w:sz w:val="13"/>
          <w:szCs w:val="13"/>
          <w:color w:val="auto"/>
        </w:rPr>
        <w:t>This is an initial public offering of our securities. Each unit has an offering price of $10.00 and consists of one share of Class A common stock and one-half of one redeemable warrant. Each whole warrant entitles the holder thereof to purchase one share of Class A common stock at a price of $11.50 per share, subject to adjustment as described herein. Only whole warrants are exercisable. No fractional warrants will be issued upon separation of the units and only whole warrants will trade. The underwriters have a 45-day option from the date of this prospectus to purchase up to 1,500,000 additional units to cover over-allotments, if any.</w:t>
      </w:r>
    </w:p>
    <w:p>
      <w:pPr>
        <w:spacing w:after="0" w:line="40" w:lineRule="exact"/>
        <w:rPr>
          <w:sz w:val="20"/>
          <w:szCs w:val="20"/>
          <w:color w:val="auto"/>
        </w:rPr>
      </w:pPr>
    </w:p>
    <w:p>
      <w:pPr>
        <w:ind w:right="399" w:firstLine="360"/>
        <w:spacing w:after="0" w:line="284" w:lineRule="auto"/>
        <w:rPr>
          <w:sz w:val="20"/>
          <w:szCs w:val="20"/>
          <w:color w:val="auto"/>
        </w:rPr>
      </w:pPr>
      <w:r>
        <w:rPr>
          <w:rFonts w:ascii="Arial" w:cs="Arial" w:eastAsia="Arial" w:hAnsi="Arial"/>
          <w:sz w:val="12"/>
          <w:szCs w:val="12"/>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described below as of two business days prior to the consummation of our initial business combination, including interest earned on the funds held in the trust account (net of amounts which may be withdrawn to pay our taxes (“permitted withdrawals”)), divided by the number of then outstanding shares of Class A common stock that were sold as part of the units in this offering, which we refer to collectively as our public shares, subject to the limitations and on the conditions described herein. If we do not complete our initial business combination within</w:t>
      </w:r>
    </w:p>
    <w:p>
      <w:pPr>
        <w:spacing w:after="0" w:line="3" w:lineRule="exact"/>
        <w:rPr>
          <w:sz w:val="20"/>
          <w:szCs w:val="20"/>
          <w:color w:val="auto"/>
        </w:rPr>
      </w:pPr>
    </w:p>
    <w:p>
      <w:pPr>
        <w:ind w:right="619"/>
        <w:spacing w:after="0" w:line="266" w:lineRule="auto"/>
        <w:rPr>
          <w:sz w:val="20"/>
          <w:szCs w:val="20"/>
          <w:color w:val="auto"/>
        </w:rPr>
      </w:pPr>
      <w:r>
        <w:rPr>
          <w:rFonts w:ascii="Arial" w:cs="Arial" w:eastAsia="Arial" w:hAnsi="Arial"/>
          <w:sz w:val="13"/>
          <w:szCs w:val="13"/>
          <w:color w:val="auto"/>
        </w:rPr>
        <w:t>18 months from the closing of this offering, we will redeem 100% of the public shares at a per 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subject to applicable law and certain conditions as further described herein.</w:t>
      </w:r>
    </w:p>
    <w:p>
      <w:pPr>
        <w:spacing w:after="0" w:line="56" w:lineRule="exact"/>
        <w:rPr>
          <w:sz w:val="20"/>
          <w:szCs w:val="20"/>
          <w:color w:val="auto"/>
        </w:rPr>
      </w:pPr>
    </w:p>
    <w:p>
      <w:pPr>
        <w:ind w:right="479" w:firstLine="360"/>
        <w:spacing w:after="0" w:line="301" w:lineRule="auto"/>
        <w:rPr>
          <w:sz w:val="20"/>
          <w:szCs w:val="20"/>
          <w:color w:val="auto"/>
        </w:rPr>
      </w:pPr>
      <w:r>
        <w:rPr>
          <w:rFonts w:ascii="Arial" w:cs="Arial" w:eastAsia="Arial" w:hAnsi="Arial"/>
          <w:sz w:val="12"/>
          <w:szCs w:val="12"/>
          <w:color w:val="auto"/>
        </w:rPr>
        <w:t>Our sponsor, HighCape Capital Acquisition LLC, has committed to purchase an aggregate of 375,000 units (or 405,000 units if the underwriters’ over-allotment option is exercised in full), at a price of $10.00 per unit, or $3,750,000 in the aggregate (or $4,050,000 if the underwriters’ over-allotment option is exercised in full), in a private placement that will close simultaneously with the closing of this offering. The private placement units are identical to the units sold in this offering, subject to certain limited exceptions as described in this prospectus.</w:t>
      </w:r>
    </w:p>
    <w:p>
      <w:pPr>
        <w:spacing w:after="0" w:line="23" w:lineRule="exact"/>
        <w:rPr>
          <w:sz w:val="20"/>
          <w:szCs w:val="20"/>
          <w:color w:val="auto"/>
        </w:rPr>
      </w:pPr>
    </w:p>
    <w:p>
      <w:pPr>
        <w:ind w:right="559" w:firstLine="360"/>
        <w:spacing w:after="0" w:line="272" w:lineRule="auto"/>
        <w:rPr>
          <w:sz w:val="20"/>
          <w:szCs w:val="20"/>
          <w:color w:val="auto"/>
        </w:rPr>
      </w:pPr>
      <w:r>
        <w:rPr>
          <w:rFonts w:ascii="Arial" w:cs="Arial" w:eastAsia="Arial" w:hAnsi="Arial"/>
          <w:sz w:val="13"/>
          <w:szCs w:val="13"/>
          <w:color w:val="auto"/>
        </w:rPr>
        <w:t>Our initial stockholders currently own an aggregate of 2,875,000 shares of Class B common stock (up to 375,000 shares of which are subject to forfeiture depending on the extent to which the underwriters’ over-allotment option is exercised), which will automatically convert into shares of Class A common stock concurrently with or immediately following the consummation of our initial business combination on a one-for-one basis, subject to the adjustments described herein.</w:t>
      </w:r>
    </w:p>
    <w:p>
      <w:pPr>
        <w:spacing w:after="0" w:line="38" w:lineRule="exact"/>
        <w:rPr>
          <w:sz w:val="20"/>
          <w:szCs w:val="20"/>
          <w:color w:val="auto"/>
        </w:rPr>
      </w:pPr>
    </w:p>
    <w:p>
      <w:pPr>
        <w:ind w:right="399" w:firstLine="360"/>
        <w:spacing w:after="0" w:line="248" w:lineRule="auto"/>
        <w:rPr>
          <w:sz w:val="20"/>
          <w:szCs w:val="20"/>
          <w:color w:val="auto"/>
        </w:rPr>
      </w:pPr>
      <w:r>
        <w:rPr>
          <w:rFonts w:ascii="Arial" w:cs="Arial" w:eastAsia="Arial" w:hAnsi="Arial"/>
          <w:sz w:val="13"/>
          <w:szCs w:val="13"/>
          <w:color w:val="auto"/>
        </w:rPr>
        <w:t>Currently, there is no public market for our units, Class A common stock or warrants. We have applied to have our units listed on The Nasdaq Capital Market, or Nasdaq, under the symbol “CAPAU” on or promptly after the date of this prospectus. We cannot guarantee that our securities will be approved for listing on Nasdaq. We expect the shares of Class A common stock and warrants comprising the units to begin separate trading on the 52</w:t>
      </w:r>
      <w:r>
        <w:rPr>
          <w:rFonts w:ascii="Arial" w:cs="Arial" w:eastAsia="Arial" w:hAnsi="Arial"/>
          <w:sz w:val="19"/>
          <w:szCs w:val="19"/>
          <w:color w:val="auto"/>
          <w:vertAlign w:val="superscript"/>
        </w:rPr>
        <w:t>nd</w:t>
      </w:r>
      <w:r>
        <w:rPr>
          <w:rFonts w:ascii="Arial" w:cs="Arial" w:eastAsia="Arial" w:hAnsi="Arial"/>
          <w:sz w:val="13"/>
          <w:szCs w:val="13"/>
          <w:color w:val="auto"/>
        </w:rPr>
        <w:t xml:space="preserve"> day following the date of this prospectus unless Cantor Fitzgerald &amp; Co. informs us of its decision to allow earlier separate trading, subject to our satisfaction of certain conditions. Once the securities comprising the units begin separate trading, we expect that the Class A common stock and warrants will be listed on Nasdaq under the symbols “CAPA” and CAPAW,”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84455</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2" w:lineRule="exact"/>
        <w:rPr>
          <w:sz w:val="20"/>
          <w:szCs w:val="20"/>
          <w:color w:val="auto"/>
        </w:rPr>
      </w:pPr>
    </w:p>
    <w:p>
      <w:pPr>
        <w:ind w:right="419" w:firstLine="360"/>
        <w:spacing w:after="0" w:line="251" w:lineRule="auto"/>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We are an “emerging growth company” under applicable federal securities laws and will be subject to reduced public company reporting requirements. Investing in our securities involves a high degree of risk. See “Risk Factors” beginning on page </w:t>
      </w:r>
      <w:hyperlink w:anchor="page34">
        <w:r>
          <w:rPr>
            <w:rFonts w:ascii="Arial" w:cs="Arial" w:eastAsia="Arial" w:hAnsi="Arial"/>
            <w:sz w:val="13"/>
            <w:szCs w:val="13"/>
            <w:b w:val="1"/>
            <w:bCs w:val="1"/>
            <w:u w:val="single" w:color="auto"/>
            <w:color w:val="0000EE"/>
          </w:rPr>
          <w:t>33</w:t>
        </w:r>
        <w:r>
          <w:rPr>
            <w:rFonts w:ascii="Arial" w:cs="Arial" w:eastAsia="Arial" w:hAnsi="Arial"/>
            <w:sz w:val="13"/>
            <w:szCs w:val="13"/>
            <w:b w:val="1"/>
            <w:bCs w:val="1"/>
            <w:u w:val="single" w:color="auto"/>
            <w:color w:val="auto"/>
          </w:rPr>
          <w:t xml:space="preserve"> </w:t>
        </w:r>
      </w:hyperlink>
      <w:r>
        <w:rPr>
          <w:rFonts w:ascii="Arial" w:cs="Arial" w:eastAsia="Arial" w:hAnsi="Arial"/>
          <w:sz w:val="13"/>
          <w:szCs w:val="13"/>
          <w:b w:val="1"/>
          <w:bCs w:val="1"/>
          <w:color w:val="auto"/>
        </w:rPr>
        <w:t>for a discussion of information that should be considered in connection with an investment in our securities. Investors will not be entitled to protections normally afforded to investors in Rule 419 blank check offerings.</w:t>
      </w:r>
    </w:p>
    <w:p>
      <w:pPr>
        <w:spacing w:after="0" w:line="36" w:lineRule="exact"/>
        <w:rPr>
          <w:sz w:val="20"/>
          <w:szCs w:val="20"/>
          <w:color w:val="auto"/>
        </w:rPr>
      </w:pPr>
    </w:p>
    <w:p>
      <w:pPr>
        <w:ind w:right="459" w:firstLine="360"/>
        <w:spacing w:after="0" w:line="299"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Arial" w:cs="Arial" w:eastAsia="Arial" w:hAnsi="Arial"/>
                <w:sz w:val="13"/>
                <w:szCs w:val="13"/>
                <w:b w:val="1"/>
                <w:bCs w:val="1"/>
                <w:color w:val="auto"/>
              </w:rPr>
              <w:t>Per</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4"/>
        </w:trPr>
        <w:tc>
          <w:tcPr>
            <w:tcW w:w="6860" w:type="dxa"/>
            <w:vAlign w:val="bottom"/>
          </w:tcPr>
          <w:p>
            <w:pPr>
              <w:spacing w:after="0"/>
              <w:rPr>
                <w:sz w:val="15"/>
                <w:szCs w:val="15"/>
                <w:color w:val="auto"/>
              </w:rPr>
            </w:pPr>
          </w:p>
        </w:tc>
        <w:tc>
          <w:tcPr>
            <w:tcW w:w="600" w:type="dxa"/>
            <w:vAlign w:val="bottom"/>
            <w:gridSpan w:val="3"/>
          </w:tcPr>
          <w:p>
            <w:pPr>
              <w:ind w:left="60"/>
              <w:spacing w:after="0"/>
              <w:rPr>
                <w:sz w:val="20"/>
                <w:szCs w:val="20"/>
                <w:color w:val="auto"/>
              </w:rPr>
            </w:pPr>
            <w:r>
              <w:rPr>
                <w:rFonts w:ascii="Arial" w:cs="Arial" w:eastAsia="Arial" w:hAnsi="Arial"/>
                <w:sz w:val="13"/>
                <w:szCs w:val="13"/>
                <w:b w:val="1"/>
                <w:bCs w:val="1"/>
                <w:color w:val="auto"/>
              </w:rPr>
              <w:t>Unit</w:t>
            </w:r>
          </w:p>
        </w:tc>
        <w:tc>
          <w:tcPr>
            <w:tcW w:w="8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3"/>
                <w:szCs w:val="13"/>
                <w:b w:val="1"/>
                <w:bCs w:val="1"/>
                <w:color w:val="auto"/>
              </w:rPr>
              <w:t>Total</w:t>
            </w:r>
          </w:p>
        </w:tc>
      </w:tr>
      <w:tr>
        <w:trPr>
          <w:trHeight w:val="28"/>
        </w:trPr>
        <w:tc>
          <w:tcPr>
            <w:tcW w:w="6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3"/>
        </w:trPr>
        <w:tc>
          <w:tcPr>
            <w:tcW w:w="6860" w:type="dxa"/>
            <w:vAlign w:val="bottom"/>
            <w:shd w:val="clear" w:color="auto" w:fill="CCEEFF"/>
          </w:tcPr>
          <w:p>
            <w:pPr>
              <w:spacing w:after="0"/>
              <w:rPr>
                <w:sz w:val="20"/>
                <w:szCs w:val="20"/>
                <w:color w:val="auto"/>
              </w:rPr>
            </w:pPr>
            <w:r>
              <w:rPr>
                <w:rFonts w:ascii="Arial" w:cs="Arial" w:eastAsia="Arial" w:hAnsi="Arial"/>
                <w:sz w:val="13"/>
                <w:szCs w:val="13"/>
                <w:color w:val="auto"/>
              </w:rPr>
              <w:t>Public offering price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10.00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100,000,000</w:t>
            </w:r>
          </w:p>
        </w:tc>
      </w:tr>
      <w:tr>
        <w:trPr>
          <w:trHeight w:val="175"/>
        </w:trPr>
        <w:tc>
          <w:tcPr>
            <w:tcW w:w="6860" w:type="dxa"/>
            <w:vAlign w:val="bottom"/>
          </w:tcPr>
          <w:p>
            <w:pPr>
              <w:spacing w:after="0" w:line="175" w:lineRule="exact"/>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9"/>
                <w:szCs w:val="19"/>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0.55</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5,500,000</w:t>
            </w:r>
          </w:p>
        </w:tc>
      </w:tr>
      <w:tr>
        <w:trPr>
          <w:trHeight w:val="162"/>
        </w:trPr>
        <w:tc>
          <w:tcPr>
            <w:tcW w:w="6860" w:type="dxa"/>
            <w:vAlign w:val="bottom"/>
            <w:shd w:val="clear" w:color="auto" w:fill="CCEEFF"/>
          </w:tcPr>
          <w:p>
            <w:pPr>
              <w:spacing w:after="0"/>
              <w:rPr>
                <w:sz w:val="20"/>
                <w:szCs w:val="20"/>
                <w:color w:val="auto"/>
              </w:rPr>
            </w:pPr>
            <w:r>
              <w:rPr>
                <w:rFonts w:ascii="Arial" w:cs="Arial" w:eastAsia="Arial" w:hAnsi="Arial"/>
                <w:sz w:val="13"/>
                <w:szCs w:val="13"/>
                <w:color w:val="auto"/>
              </w:rPr>
              <w:t>Proceeds, before expenses, to us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-342265</wp:posOffset>
            </wp:positionV>
            <wp:extent cx="47320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320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137160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7" w:lineRule="exact"/>
        <w:rPr>
          <w:sz w:val="20"/>
          <w:szCs w:val="20"/>
          <w:color w:val="auto"/>
        </w:rPr>
      </w:pPr>
    </w:p>
    <w:p>
      <w:pPr>
        <w:ind w:left="360" w:right="479" w:hanging="354"/>
        <w:spacing w:after="0" w:line="245" w:lineRule="auto"/>
        <w:tabs>
          <w:tab w:leader="none" w:pos="36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$0.20 per unit, or $2,000,000 in the aggregate (or $2,300,000 if the underwriters’ over-allotment option is exercised in full), is payable upon the closing of this offering. Includes $0.35 per unit, or $3,500,000 in the aggregate (or up to $4,025,000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“Underwriting” beginning on page </w:t>
      </w:r>
      <w:hyperlink w:anchor="page145">
        <w:r>
          <w:rPr>
            <w:rFonts w:ascii="Arial" w:cs="Arial" w:eastAsia="Arial" w:hAnsi="Arial"/>
            <w:sz w:val="13"/>
            <w:szCs w:val="13"/>
            <w:u w:val="single" w:color="auto"/>
            <w:color w:val="0000EE"/>
          </w:rPr>
          <w:t>144</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for a description of compensation and other items of value payable to the underwriters.</w:t>
      </w:r>
    </w:p>
    <w:p>
      <w:pPr>
        <w:spacing w:after="0" w:line="56" w:lineRule="exact"/>
        <w:rPr>
          <w:sz w:val="20"/>
          <w:szCs w:val="20"/>
          <w:color w:val="auto"/>
        </w:rPr>
      </w:pPr>
    </w:p>
    <w:p>
      <w:pPr>
        <w:ind w:right="419" w:firstLine="360"/>
        <w:spacing w:after="0" w:line="269" w:lineRule="auto"/>
        <w:rPr>
          <w:sz w:val="20"/>
          <w:szCs w:val="20"/>
          <w:color w:val="auto"/>
        </w:rPr>
      </w:pPr>
      <w:r>
        <w:rPr>
          <w:rFonts w:ascii="Arial" w:cs="Arial" w:eastAsia="Arial" w:hAnsi="Arial"/>
          <w:sz w:val="13"/>
          <w:szCs w:val="13"/>
          <w:color w:val="auto"/>
        </w:rPr>
        <w:t>Of the proceeds we receive from this offering and the sale of the private placement units described in this prospectus, $100 million, or $115 million if the underwriters’ over-allotment option is exercised in full ($10.00 per unit in either case), will be deposited into a trust account in the United States with Continental Stock Transfer &amp; Trust Company acting as trustee, after deducting $2,000,000 in underwriting discounts and commissions payable upon the closing of this offering (or $2,300,000 if the underwriters’ over-allotment option is exercised in full) and an aggregate of $1.75 million to pay expenses in connection with the closing of this offering and for working capital following this offering.</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underwriters are offering the units for sale on a firm commitment basis. The underwriters expect to deliver the units to the purchasers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tcPr>
          <w:p>
            <w:pPr>
              <w:spacing w:after="0"/>
              <w:rPr>
                <w:sz w:val="20"/>
                <w:szCs w:val="20"/>
                <w:color w:val="auto"/>
              </w:rPr>
            </w:pPr>
            <w:r>
              <w:rPr>
                <w:rFonts w:ascii="Arial" w:cs="Arial" w:eastAsia="Arial" w:hAnsi="Arial"/>
                <w:sz w:val="13"/>
                <w:szCs w:val="13"/>
                <w:color w:val="auto"/>
              </w:rPr>
              <w:t>on or about</w:t>
            </w:r>
          </w:p>
        </w:tc>
        <w:tc>
          <w:tcPr>
            <w:tcW w:w="920" w:type="dxa"/>
            <w:vAlign w:val="bottom"/>
          </w:tcPr>
          <w:p>
            <w:pPr>
              <w:jc w:val="right"/>
              <w:spacing w:after="0"/>
              <w:rPr>
                <w:sz w:val="20"/>
                <w:szCs w:val="20"/>
                <w:color w:val="auto"/>
              </w:rPr>
            </w:pPr>
            <w:r>
              <w:rPr>
                <w:rFonts w:ascii="Arial" w:cs="Arial" w:eastAsia="Arial" w:hAnsi="Arial"/>
                <w:sz w:val="13"/>
                <w:szCs w:val="13"/>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45085</wp:posOffset>
            </wp:positionV>
            <wp:extent cx="123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0"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Cantor</w:t>
      </w:r>
    </w:p>
    <w:p>
      <w:pPr>
        <w:spacing w:after="0" w:line="74" w:lineRule="exact"/>
        <w:rPr>
          <w:sz w:val="20"/>
          <w:szCs w:val="20"/>
          <w:color w:val="auto"/>
        </w:rPr>
      </w:pPr>
    </w:p>
    <w:p>
      <w:pPr>
        <w:sectPr>
          <w:pgSz w:w="11900" w:h="16838" w:orient="portrait"/>
          <w:cols w:equalWidth="0" w:num="2">
            <w:col w:w="1340" w:space="240"/>
            <w:col w:w="8559"/>
          </w:cols>
          <w:pgMar w:left="320" w:top="131" w:right="1440" w:bottom="1440" w:gutter="0" w:footer="0" w:header="0"/>
          <w:type w:val="continuous"/>
        </w:sectPr>
      </w:pPr>
    </w:p>
    <w:p>
      <w:pPr>
        <w:ind w:left="6020"/>
        <w:spacing w:after="0"/>
        <w:rPr>
          <w:sz w:val="20"/>
          <w:szCs w:val="20"/>
          <w:color w:val="auto"/>
        </w:rPr>
      </w:pPr>
      <w:r>
        <w:rPr>
          <w:rFonts w:ascii="Arial" w:cs="Arial" w:eastAsia="Arial" w:hAnsi="Arial"/>
          <w:sz w:val="12"/>
          <w:szCs w:val="12"/>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8225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822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699" w:firstLine="360"/>
        <w:spacing w:after="0" w:line="241"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22"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Unless otherwise stated in this prospectus or the context otherwise requires, references to:</w:t>
      </w:r>
    </w:p>
    <w:p>
      <w:pPr>
        <w:spacing w:after="0" w:line="104" w:lineRule="exact"/>
        <w:rPr>
          <w:sz w:val="20"/>
          <w:szCs w:val="20"/>
          <w:color w:val="auto"/>
        </w:rPr>
      </w:pPr>
    </w:p>
    <w:p>
      <w:pPr>
        <w:ind w:left="1820" w:right="839" w:hanging="180"/>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“amended and restated certificate of incorporation” are to our certificate of incorporation to be in effect upon the completion of this offering;</w:t>
      </w:r>
    </w:p>
    <w:p>
      <w:pPr>
        <w:spacing w:after="0" w:line="62" w:lineRule="exact"/>
        <w:rPr>
          <w:rFonts w:ascii="Arial" w:cs="Arial" w:eastAsia="Arial" w:hAnsi="Arial"/>
          <w:sz w:val="18"/>
          <w:szCs w:val="18"/>
          <w:color w:val="auto"/>
        </w:rPr>
      </w:pPr>
    </w:p>
    <w:p>
      <w:pPr>
        <w:ind w:left="1820" w:hanging="180"/>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“board” are to our board of directors;</w:t>
      </w:r>
    </w:p>
    <w:p>
      <w:pPr>
        <w:spacing w:after="0" w:line="117" w:lineRule="exact"/>
        <w:rPr>
          <w:rFonts w:ascii="Arial" w:cs="Arial" w:eastAsia="Arial" w:hAnsi="Arial"/>
          <w:sz w:val="18"/>
          <w:szCs w:val="18"/>
          <w:color w:val="auto"/>
        </w:rPr>
      </w:pPr>
    </w:p>
    <w:p>
      <w:pPr>
        <w:ind w:left="1820" w:hanging="180"/>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“Cantor” are to Cantor Fitzgerald &amp; Co., the representatives of the underwriters in this offering;</w:t>
      </w:r>
    </w:p>
    <w:p>
      <w:pPr>
        <w:spacing w:after="0" w:line="117" w:lineRule="exact"/>
        <w:rPr>
          <w:rFonts w:ascii="Arial" w:cs="Arial" w:eastAsia="Arial" w:hAnsi="Arial"/>
          <w:sz w:val="18"/>
          <w:szCs w:val="18"/>
          <w:color w:val="auto"/>
        </w:rPr>
      </w:pPr>
    </w:p>
    <w:p>
      <w:pPr>
        <w:ind w:left="1820" w:hanging="180"/>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w:t>
      </w:r>
    </w:p>
    <w:p>
      <w:pPr>
        <w:spacing w:after="0" w:line="117" w:lineRule="exact"/>
        <w:rPr>
          <w:rFonts w:ascii="Arial" w:cs="Arial" w:eastAsia="Arial" w:hAnsi="Arial"/>
          <w:sz w:val="18"/>
          <w:szCs w:val="18"/>
          <w:color w:val="auto"/>
        </w:rPr>
      </w:pPr>
    </w:p>
    <w:p>
      <w:pPr>
        <w:ind w:left="1820" w:hanging="180"/>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“directors” are to our current directors and director nominees;</w:t>
      </w:r>
    </w:p>
    <w:p>
      <w:pPr>
        <w:spacing w:after="0" w:line="117" w:lineRule="exact"/>
        <w:rPr>
          <w:rFonts w:ascii="Arial" w:cs="Arial" w:eastAsia="Arial" w:hAnsi="Arial"/>
          <w:sz w:val="18"/>
          <w:szCs w:val="18"/>
          <w:color w:val="auto"/>
        </w:rPr>
      </w:pPr>
    </w:p>
    <w:p>
      <w:pPr>
        <w:ind w:left="1820" w:right="739" w:hanging="180"/>
        <w:spacing w:after="0" w:line="259"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“equity-linked securities” are to any debt or equity securities that are convertible, exercisable or exchangeable for shares of our Class A common stock issued in a financing transaction in connection with our initial business combination, including but not limited to a private placement of such securities;</w:t>
      </w:r>
    </w:p>
    <w:p>
      <w:pPr>
        <w:spacing w:after="0" w:line="78" w:lineRule="exact"/>
        <w:rPr>
          <w:rFonts w:ascii="Arial" w:cs="Arial" w:eastAsia="Arial" w:hAnsi="Arial"/>
          <w:sz w:val="18"/>
          <w:szCs w:val="18"/>
          <w:color w:val="auto"/>
        </w:rPr>
      </w:pPr>
    </w:p>
    <w:p>
      <w:pPr>
        <w:jc w:val="both"/>
        <w:ind w:left="1820" w:right="719" w:hanging="180"/>
        <w:spacing w:after="0" w:line="263"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are to shares of our Class B common stock and the shares of our Class A common stock issued upon the automatic conversion thereof at the time of our initial business combination as provided herein;</w:t>
      </w:r>
    </w:p>
    <w:p>
      <w:pPr>
        <w:spacing w:after="0" w:line="75" w:lineRule="exact"/>
        <w:rPr>
          <w:rFonts w:ascii="Arial" w:cs="Arial" w:eastAsia="Arial" w:hAnsi="Arial"/>
          <w:sz w:val="18"/>
          <w:szCs w:val="18"/>
          <w:color w:val="auto"/>
        </w:rPr>
      </w:pPr>
    </w:p>
    <w:p>
      <w:pPr>
        <w:ind w:left="1820" w:hanging="180"/>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“HighCape” are to HighCape Capital, LP, a Delaware limited partnership;</w:t>
      </w:r>
    </w:p>
    <w:p>
      <w:pPr>
        <w:spacing w:after="0" w:line="103" w:lineRule="exact"/>
        <w:rPr>
          <w:rFonts w:ascii="Arial" w:cs="Arial" w:eastAsia="Arial" w:hAnsi="Arial"/>
          <w:sz w:val="18"/>
          <w:szCs w:val="18"/>
          <w:color w:val="auto"/>
        </w:rPr>
      </w:pPr>
    </w:p>
    <w:p>
      <w:pPr>
        <w:ind w:left="1820" w:right="699" w:hanging="180"/>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“HighCape Partners QP” are to HighCape Partners II QP, L.P., a Delaware limited partnership and an affiliate of HighCape;</w:t>
      </w:r>
    </w:p>
    <w:p>
      <w:pPr>
        <w:spacing w:after="0" w:line="62" w:lineRule="exact"/>
        <w:rPr>
          <w:rFonts w:ascii="Arial" w:cs="Arial" w:eastAsia="Arial" w:hAnsi="Arial"/>
          <w:sz w:val="18"/>
          <w:szCs w:val="18"/>
          <w:color w:val="auto"/>
        </w:rPr>
      </w:pPr>
    </w:p>
    <w:p>
      <w:pPr>
        <w:ind w:left="1820" w:hanging="180"/>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“HighCape Partners LP” are to HighCape Partners II, L.P, a Delaware limited partnership;</w:t>
      </w:r>
    </w:p>
    <w:p>
      <w:pPr>
        <w:spacing w:after="0" w:line="117" w:lineRule="exact"/>
        <w:rPr>
          <w:rFonts w:ascii="Arial" w:cs="Arial" w:eastAsia="Arial" w:hAnsi="Arial"/>
          <w:sz w:val="18"/>
          <w:szCs w:val="18"/>
          <w:color w:val="auto"/>
        </w:rPr>
      </w:pPr>
    </w:p>
    <w:p>
      <w:pPr>
        <w:ind w:left="1820" w:right="879" w:hanging="180"/>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are to our sponsor and any other holders of our founder shares immediately prior to this offering;</w:t>
      </w:r>
    </w:p>
    <w:p>
      <w:pPr>
        <w:spacing w:after="0" w:line="62" w:lineRule="exact"/>
        <w:rPr>
          <w:rFonts w:ascii="Arial" w:cs="Arial" w:eastAsia="Arial" w:hAnsi="Arial"/>
          <w:sz w:val="18"/>
          <w:szCs w:val="18"/>
          <w:color w:val="auto"/>
        </w:rPr>
      </w:pPr>
    </w:p>
    <w:p>
      <w:pPr>
        <w:ind w:left="1820" w:right="1159" w:hanging="180"/>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“letter agreement” refers to the letter agreement, the form of which is filed as an exhibit to the registration statement of which this prospectus forms a part;</w:t>
      </w:r>
    </w:p>
    <w:p>
      <w:pPr>
        <w:spacing w:after="0" w:line="62" w:lineRule="exact"/>
        <w:rPr>
          <w:rFonts w:ascii="Arial" w:cs="Arial" w:eastAsia="Arial" w:hAnsi="Arial"/>
          <w:sz w:val="18"/>
          <w:szCs w:val="18"/>
          <w:color w:val="auto"/>
        </w:rPr>
      </w:pPr>
    </w:p>
    <w:p>
      <w:pPr>
        <w:ind w:left="1820" w:hanging="180"/>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117" w:lineRule="exact"/>
        <w:rPr>
          <w:rFonts w:ascii="Arial" w:cs="Arial" w:eastAsia="Arial" w:hAnsi="Arial"/>
          <w:sz w:val="18"/>
          <w:szCs w:val="18"/>
          <w:color w:val="auto"/>
        </w:rPr>
      </w:pPr>
    </w:p>
    <w:p>
      <w:pPr>
        <w:ind w:left="1820" w:right="979" w:hanging="180"/>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placement shares” are to the shares of Class A common stock sold as part of the private placement units;</w:t>
      </w:r>
    </w:p>
    <w:p>
      <w:pPr>
        <w:spacing w:after="0" w:line="62" w:lineRule="exact"/>
        <w:rPr>
          <w:rFonts w:ascii="Arial" w:cs="Arial" w:eastAsia="Arial" w:hAnsi="Arial"/>
          <w:sz w:val="18"/>
          <w:szCs w:val="18"/>
          <w:color w:val="auto"/>
        </w:rPr>
      </w:pPr>
    </w:p>
    <w:p>
      <w:pPr>
        <w:ind w:left="1820" w:right="879" w:hanging="180"/>
        <w:spacing w:after="0" w:line="286" w:lineRule="auto"/>
        <w:tabs>
          <w:tab w:leader="none" w:pos="18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“private placement units” are to the units issued to our sponsor in a private placement simultaneously with the closing of this offering, which private placement units are identical to the units sold in this offering, subject to certain limited exceptions as described in this prospectus;</w:t>
      </w:r>
    </w:p>
    <w:p>
      <w:pPr>
        <w:spacing w:after="0" w:line="43" w:lineRule="exact"/>
        <w:rPr>
          <w:rFonts w:ascii="Arial" w:cs="Arial" w:eastAsia="Arial" w:hAnsi="Arial"/>
          <w:sz w:val="17"/>
          <w:szCs w:val="17"/>
          <w:color w:val="auto"/>
        </w:rPr>
      </w:pPr>
    </w:p>
    <w:p>
      <w:pPr>
        <w:ind w:left="1820" w:hanging="180"/>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placement warrants” are to the warrants sold as part of the private placement units;</w:t>
      </w:r>
    </w:p>
    <w:p>
      <w:pPr>
        <w:spacing w:after="0" w:line="117" w:lineRule="exact"/>
        <w:rPr>
          <w:rFonts w:ascii="Arial" w:cs="Arial" w:eastAsia="Arial" w:hAnsi="Arial"/>
          <w:sz w:val="18"/>
          <w:szCs w:val="18"/>
          <w:color w:val="auto"/>
        </w:rPr>
      </w:pPr>
    </w:p>
    <w:p>
      <w:pPr>
        <w:ind w:left="1820" w:right="839" w:hanging="180"/>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are to shares of our Class A common stock sold as part of the units in this offering (whether they are purchased in this offering or thereafter in the open market);</w:t>
      </w:r>
    </w:p>
    <w:p>
      <w:pPr>
        <w:spacing w:after="0" w:line="62" w:lineRule="exact"/>
        <w:rPr>
          <w:rFonts w:ascii="Arial" w:cs="Arial" w:eastAsia="Arial" w:hAnsi="Arial"/>
          <w:sz w:val="18"/>
          <w:szCs w:val="18"/>
          <w:color w:val="auto"/>
        </w:rPr>
      </w:pPr>
    </w:p>
    <w:p>
      <w:pPr>
        <w:ind w:left="1820" w:right="839" w:hanging="180"/>
        <w:spacing w:after="0" w:line="286" w:lineRule="auto"/>
        <w:tabs>
          <w:tab w:leader="none" w:pos="18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stockholders” are to the holders of our public shares, including our sponsor, officers and directors to the extent our sponsor, officers or directors purchase public shares, provided that each of their status as a “public stockholder” shall only exist with respect to such public shares;</w:t>
      </w:r>
    </w:p>
    <w:p>
      <w:pPr>
        <w:spacing w:after="0" w:line="57" w:lineRule="exact"/>
        <w:rPr>
          <w:rFonts w:ascii="Arial" w:cs="Arial" w:eastAsia="Arial" w:hAnsi="Arial"/>
          <w:sz w:val="17"/>
          <w:szCs w:val="17"/>
          <w:color w:val="auto"/>
        </w:rPr>
      </w:pPr>
    </w:p>
    <w:p>
      <w:pPr>
        <w:ind w:left="1820" w:right="959" w:hanging="180"/>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is to HighCape Capital Acquisition LLC, a Delaware limited liability company and an affiliate of HighCape;</w:t>
      </w:r>
    </w:p>
    <w:p>
      <w:pPr>
        <w:spacing w:after="0" w:line="62" w:lineRule="exact"/>
        <w:rPr>
          <w:rFonts w:ascii="Arial" w:cs="Arial" w:eastAsia="Arial" w:hAnsi="Arial"/>
          <w:sz w:val="18"/>
          <w:szCs w:val="18"/>
          <w:color w:val="auto"/>
        </w:rPr>
      </w:pPr>
    </w:p>
    <w:p>
      <w:pPr>
        <w:ind w:left="1820" w:right="1239" w:hanging="180"/>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“underwriters’ option to purchase additional units” are to the underwriters’ 45-day option to purchase up to an additional 1,500,000 units to cover over-allotments, if any;</w:t>
      </w:r>
    </w:p>
    <w:p>
      <w:pPr>
        <w:spacing w:after="0" w:line="62" w:lineRule="exact"/>
        <w:rPr>
          <w:rFonts w:ascii="Arial" w:cs="Arial" w:eastAsia="Arial" w:hAnsi="Arial"/>
          <w:sz w:val="18"/>
          <w:szCs w:val="18"/>
          <w:color w:val="auto"/>
        </w:rPr>
      </w:pPr>
    </w:p>
    <w:p>
      <w:pPr>
        <w:ind w:left="1820" w:right="719" w:hanging="180"/>
        <w:spacing w:after="0" w:line="308" w:lineRule="auto"/>
        <w:tabs>
          <w:tab w:leader="none" w:pos="18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“warrants” are to our warrants sold as part of the units in this offering (whether they are purchased in this offering or thereafter in the open market) and the private placement warrants; and</w:t>
      </w:r>
    </w:p>
    <w:p>
      <w:pPr>
        <w:sectPr>
          <w:pgSz w:w="11900" w:h="16838" w:orient="portrait"/>
          <w:cols w:equalWidth="0" w:num="1">
            <w:col w:w="10139"/>
          </w:cols>
          <w:pgMar w:left="320" w:top="131" w:right="1440" w:bottom="1440" w:gutter="0" w:footer="0" w:header="0"/>
        </w:sectPr>
      </w:pPr>
    </w:p>
    <w:p>
      <w:pPr>
        <w:spacing w:after="0" w:line="33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1019" w:hanging="180"/>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“us,” “our” and “the company,” are to HighCape Capital Acquisition Corp., a Delaware corporation.</w:t>
      </w:r>
    </w:p>
    <w:p>
      <w:pPr>
        <w:spacing w:after="0" w:line="89" w:lineRule="exact"/>
        <w:rPr>
          <w:sz w:val="20"/>
          <w:szCs w:val="20"/>
          <w:color w:val="auto"/>
        </w:rPr>
      </w:pPr>
    </w:p>
    <w:p>
      <w:pPr>
        <w:ind w:left="1280" w:right="759" w:firstLine="360"/>
        <w:spacing w:after="0" w:line="248" w:lineRule="auto"/>
        <w:rPr>
          <w:sz w:val="20"/>
          <w:szCs w:val="20"/>
          <w:color w:val="auto"/>
        </w:rPr>
      </w:pPr>
      <w:r>
        <w:rPr>
          <w:rFonts w:ascii="Arial" w:cs="Arial" w:eastAsia="Arial" w:hAnsi="Arial"/>
          <w:sz w:val="18"/>
          <w:szCs w:val="18"/>
          <w:i w:val="1"/>
          <w:iCs w:val="1"/>
          <w:color w:val="auto"/>
        </w:rPr>
        <w:t>Unless we tell you otherwise, the information in this prospectus assumes that the underwriters will not exercise their option to purchase additional units and the forfeiture by our sponsor of 375,000 founder shares.</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80" w:right="659" w:firstLine="360"/>
        <w:spacing w:after="0" w:line="238" w:lineRule="auto"/>
        <w:rPr>
          <w:sz w:val="20"/>
          <w:szCs w:val="20"/>
          <w:color w:val="auto"/>
        </w:rPr>
      </w:pPr>
      <w:r>
        <w:rPr>
          <w:rFonts w:ascii="Arial" w:cs="Arial" w:eastAsia="Arial" w:hAnsi="Arial"/>
          <w:sz w:val="18"/>
          <w:szCs w:val="18"/>
          <w:color w:val="auto"/>
        </w:rPr>
        <w:t>We are a newly organized blank check company incorporated in June 2020 as a Delaware corporation formed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initiated any substantive discussions, directly or indirectly, with any business combination target. We have generated no operating revenues to date and we do not expect that we will generate operating revenues until we consummate our initial business combination.</w:t>
      </w:r>
    </w:p>
    <w:p>
      <w:pPr>
        <w:spacing w:after="0" w:line="124" w:lineRule="exact"/>
        <w:rPr>
          <w:sz w:val="20"/>
          <w:szCs w:val="20"/>
          <w:color w:val="auto"/>
        </w:rPr>
      </w:pPr>
    </w:p>
    <w:p>
      <w:pPr>
        <w:jc w:val="both"/>
        <w:ind w:left="1280" w:right="1079" w:firstLine="360"/>
        <w:spacing w:after="0" w:line="243" w:lineRule="auto"/>
        <w:rPr>
          <w:sz w:val="20"/>
          <w:szCs w:val="20"/>
          <w:color w:val="auto"/>
        </w:rPr>
      </w:pPr>
      <w:r>
        <w:rPr>
          <w:rFonts w:ascii="Arial" w:cs="Arial" w:eastAsia="Arial" w:hAnsi="Arial"/>
          <w:sz w:val="18"/>
          <w:szCs w:val="18"/>
          <w:color w:val="auto"/>
        </w:rPr>
        <w:t>While we may pursue an acquisition opportunity in any business, industry, sector or geographical location, we intend to focus on industries that complement our management team’s background in life sciences and life sciences related industries, and to capitalize on the ability of our management team to identify and acquire a business within those industries.</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80" w:right="739" w:firstLine="360"/>
        <w:spacing w:after="0" w:line="243" w:lineRule="auto"/>
        <w:rPr>
          <w:sz w:val="20"/>
          <w:szCs w:val="20"/>
          <w:color w:val="auto"/>
        </w:rPr>
      </w:pPr>
      <w:r>
        <w:rPr>
          <w:rFonts w:ascii="Arial" w:cs="Arial" w:eastAsia="Arial" w:hAnsi="Arial"/>
          <w:sz w:val="18"/>
          <w:szCs w:val="18"/>
          <w:color w:val="auto"/>
        </w:rPr>
        <w:t>Our strategy will be to identify, acquire and, after our initial business combination, build, a life sciences or life sciences related business. We intend to focus our investment effort broadly across the entire life sciences industry, which encompasses therapeutics, devices, diagnostics, medical information technology, agrisciences and animal health.</w:t>
      </w:r>
    </w:p>
    <w:p>
      <w:pPr>
        <w:spacing w:after="0" w:line="120" w:lineRule="exact"/>
        <w:rPr>
          <w:sz w:val="20"/>
          <w:szCs w:val="20"/>
          <w:color w:val="auto"/>
        </w:rPr>
      </w:pPr>
    </w:p>
    <w:p>
      <w:pPr>
        <w:ind w:left="1280" w:right="739" w:firstLine="360"/>
        <w:spacing w:after="0" w:line="255" w:lineRule="auto"/>
        <w:rPr>
          <w:sz w:val="20"/>
          <w:szCs w:val="20"/>
          <w:color w:val="auto"/>
        </w:rPr>
      </w:pPr>
      <w:r>
        <w:rPr>
          <w:rFonts w:ascii="Arial" w:cs="Arial" w:eastAsia="Arial" w:hAnsi="Arial"/>
          <w:sz w:val="17"/>
          <w:szCs w:val="17"/>
          <w:color w:val="auto"/>
        </w:rPr>
        <w:t>We were formed by HighCape, a life sciences investment firm with a focus on active investing in commercial stage companies. HighCape typically invests in companies that have FDA cleared products and are at the point of product launch or have already generated revenue for multiple years. HighCape’s expertise in working with companies at this stage of development is what makes it unique. We believe that the experience of HighCape’s partners and advisors and our management team and board of directors will allow us to source, identify and execute an attractive transaction for our stockholders. Collectively, this group has been actively involved in initial public offerings and exits totaling in excess of $5 billion.</w:t>
      </w:r>
    </w:p>
    <w:p>
      <w:pPr>
        <w:spacing w:after="0" w:line="112" w:lineRule="exact"/>
        <w:rPr>
          <w:sz w:val="20"/>
          <w:szCs w:val="20"/>
          <w:color w:val="auto"/>
        </w:rPr>
      </w:pPr>
    </w:p>
    <w:p>
      <w:pPr>
        <w:ind w:left="1280" w:right="699" w:firstLine="360"/>
        <w:spacing w:after="0" w:line="237" w:lineRule="auto"/>
        <w:rPr>
          <w:sz w:val="20"/>
          <w:szCs w:val="20"/>
          <w:color w:val="auto"/>
        </w:rPr>
      </w:pPr>
      <w:r>
        <w:rPr>
          <w:rFonts w:ascii="Arial" w:cs="Arial" w:eastAsia="Arial" w:hAnsi="Arial"/>
          <w:sz w:val="18"/>
          <w:szCs w:val="18"/>
          <w:color w:val="auto"/>
        </w:rPr>
        <w:t>Our management team is led by Kevin Rakin, our chief executive officer, who has more than 30 years of experience in leading, investing and exiting life sciences companies across a wide array of products and services. Mr. Rakin has been a chief executive officer, chairman and a board member for a number of public and private life sciences companies, including Genaissance Pharmaceuticals, Inc. (“Genaissance”) (merged with Clinical Data, Inc. (“Clinical Data”) and subsequently sold to Forest Laboratories, Inc.), Cyvek, Inc. (sold to Bio-Techne Corporation), Ipsogen SA (sold to Qiagen Inc. (“Qiagen”)) and Collagen Matrix, Inc. (sold to Linden Capital Partners). Prior to co-founding HighCape in 2013, Mr. Rakin was the chairman and chief executive officer of Advanced BioHealing, Inc. (“ABH”). From 2006-2011, together with most of the members of the HighCape team, ABH grew from a company with eight employees and no revenue to one with a revenue run rate approaching $176 million per year and over 500 employees. In 2011, ABH was acquired by Shire Plc for $750 million.</w:t>
      </w:r>
    </w:p>
    <w:p>
      <w:pPr>
        <w:spacing w:after="0" w:line="114" w:lineRule="exact"/>
        <w:rPr>
          <w:sz w:val="20"/>
          <w:szCs w:val="20"/>
          <w:color w:val="auto"/>
        </w:rPr>
      </w:pPr>
    </w:p>
    <w:p>
      <w:pPr>
        <w:ind w:left="1280" w:right="679" w:firstLine="360"/>
        <w:spacing w:after="0" w:line="239" w:lineRule="auto"/>
        <w:rPr>
          <w:sz w:val="20"/>
          <w:szCs w:val="20"/>
          <w:color w:val="auto"/>
        </w:rPr>
      </w:pPr>
      <w:r>
        <w:rPr>
          <w:rFonts w:ascii="Arial" w:cs="Arial" w:eastAsia="Arial" w:hAnsi="Arial"/>
          <w:sz w:val="18"/>
          <w:szCs w:val="18"/>
          <w:color w:val="auto"/>
        </w:rPr>
        <w:t>The other member of our management team is Matt Zuga, who will be our chief financial officer. Messrs. Rakin and Zuga co-founded HighCape and have worked on transactions together for more than 20 years. Prior to HighCape, Mr. Zuga was a managing director with Syngenta Ventures Pte Ltd, an investment vehicle of Syngenta Corp. He was also the founder and managing member of Red Abbey Venture Partners (“Red Abbey”), an investment company focused on biotechnology companies. Prior to Red Abbey, Mr. Zuga was a Managing Director and head of life sciences investment banking at Legg Mason, Inc. (“Legg Mason”).</w:t>
      </w:r>
    </w:p>
    <w:p>
      <w:pPr>
        <w:spacing w:after="0" w:line="123" w:lineRule="exact"/>
        <w:rPr>
          <w:sz w:val="20"/>
          <w:szCs w:val="20"/>
          <w:color w:val="auto"/>
        </w:rPr>
      </w:pPr>
    </w:p>
    <w:p>
      <w:pPr>
        <w:ind w:left="1280" w:right="1259" w:firstLine="360"/>
        <w:spacing w:after="0" w:line="291" w:lineRule="auto"/>
        <w:rPr>
          <w:sz w:val="20"/>
          <w:szCs w:val="20"/>
          <w:color w:val="auto"/>
        </w:rPr>
      </w:pPr>
      <w:r>
        <w:rPr>
          <w:rFonts w:ascii="Arial" w:cs="Arial" w:eastAsia="Arial" w:hAnsi="Arial"/>
          <w:sz w:val="17"/>
          <w:szCs w:val="17"/>
          <w:color w:val="auto"/>
        </w:rPr>
        <w:t>We have assembled a group of independent directors who we believe will provide us oversight, governance and extensive experience in sourcing, evaluating and transacting significant life sciences</w:t>
      </w:r>
    </w:p>
    <w:p>
      <w:pPr>
        <w:sectPr>
          <w:pgSz w:w="11900" w:h="16838" w:orient="portrait"/>
          <w:cols w:equalWidth="0" w:num="1">
            <w:col w:w="10139"/>
          </w:cols>
          <w:pgMar w:left="320" w:top="132" w:right="1440" w:bottom="1440" w:gutter="0" w:footer="0" w:header="0"/>
        </w:sectPr>
      </w:pPr>
    </w:p>
    <w:p>
      <w:pPr>
        <w:spacing w:after="0" w:line="39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93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799"/>
        <w:spacing w:after="0" w:line="243" w:lineRule="auto"/>
        <w:rPr>
          <w:sz w:val="20"/>
          <w:szCs w:val="20"/>
          <w:color w:val="auto"/>
        </w:rPr>
      </w:pPr>
      <w:r>
        <w:rPr>
          <w:rFonts w:ascii="Arial" w:cs="Arial" w:eastAsia="Arial" w:hAnsi="Arial"/>
          <w:sz w:val="18"/>
          <w:szCs w:val="18"/>
          <w:color w:val="auto"/>
        </w:rPr>
        <w:t>opportunities. Our directors have extensive experience, having served as directors or officers for numerous publicly-listed and privately-owned companies, with acquisitions, divestitures and corporate strategy and implementation, which we believe will significantly benefit us as we evaluate potential acquisition or merger candidates. These directors include:</w:t>
      </w:r>
    </w:p>
    <w:p>
      <w:pPr>
        <w:spacing w:after="0" w:line="80" w:lineRule="exact"/>
        <w:rPr>
          <w:sz w:val="20"/>
          <w:szCs w:val="20"/>
          <w:color w:val="auto"/>
        </w:rPr>
      </w:pPr>
    </w:p>
    <w:p>
      <w:pPr>
        <w:ind w:left="1820" w:right="659" w:hanging="180"/>
        <w:spacing w:after="0" w:line="266"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David Colpman </w:t>
      </w:r>
      <w:r>
        <w:rPr>
          <w:rFonts w:ascii="Arial" w:cs="Arial" w:eastAsia="Arial" w:hAnsi="Arial"/>
          <w:sz w:val="17"/>
          <w:szCs w:val="17"/>
          <w:color w:val="auto"/>
        </w:rPr>
        <w:t>was the Managing Partner of Colpman Consulting Ltd, a business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consultancy, until March 2020. Since 2014, Colpman Consulting secured transformational deals for Alligator Bioscience AB, Cormorant Pharmaceuticals AB, Agalimmune Ltd., Diaprost AB and Ziylo Ltd. Prior to this, Mr. Colpman was the head of business development for Shire Plc, where he executed on the M&amp;A and licensing strategy which successfully built the company to become a global leader in rare diseases and specialty medicines. Reporting directly to the CEO he led a team of over 20 business development professionals. Notable transactions included the $4.2 billion acquisition of ViroPharma Incorporated and the acquisition of SARcode Bioscience, Inc., which delivered the blockbuster drug Xiidra for Dry Eye. Earlier in his career at Shire Plc, he identified and led the acquisition of Transkaryotic Therapies Inc. which went on to become the cornerstone of Shire Plc’s successful rare disease business. He also in-licensed Lialda, which achieved sales of</w:t>
      </w:r>
    </w:p>
    <w:p>
      <w:pPr>
        <w:spacing w:after="0" w:line="7" w:lineRule="exact"/>
        <w:rPr>
          <w:rFonts w:ascii="Arial" w:cs="Arial" w:eastAsia="Arial" w:hAnsi="Arial"/>
          <w:sz w:val="17"/>
          <w:szCs w:val="17"/>
          <w:color w:val="auto"/>
        </w:rPr>
      </w:pPr>
    </w:p>
    <w:p>
      <w:pPr>
        <w:ind w:left="1820"/>
        <w:spacing w:after="0"/>
        <w:rPr>
          <w:rFonts w:ascii="Arial" w:cs="Arial" w:eastAsia="Arial" w:hAnsi="Arial"/>
          <w:sz w:val="17"/>
          <w:szCs w:val="17"/>
          <w:color w:val="auto"/>
        </w:rPr>
      </w:pPr>
      <w:r>
        <w:rPr>
          <w:rFonts w:ascii="Arial" w:cs="Arial" w:eastAsia="Arial" w:hAnsi="Arial"/>
          <w:sz w:val="18"/>
          <w:szCs w:val="18"/>
          <w:color w:val="auto"/>
        </w:rPr>
        <w:t>$700 million to become sector leader in ulcerative colitis.</w:t>
      </w:r>
    </w:p>
    <w:p>
      <w:pPr>
        <w:spacing w:after="0" w:line="102" w:lineRule="exact"/>
        <w:rPr>
          <w:rFonts w:ascii="Arial" w:cs="Arial" w:eastAsia="Arial" w:hAnsi="Arial"/>
          <w:sz w:val="17"/>
          <w:szCs w:val="17"/>
          <w:color w:val="auto"/>
        </w:rPr>
      </w:pPr>
    </w:p>
    <w:p>
      <w:pPr>
        <w:ind w:left="1820" w:right="719" w:hanging="180"/>
        <w:spacing w:after="0" w:line="252"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Antony Loebel, M.D. </w:t>
      </w:r>
      <w:r>
        <w:rPr>
          <w:rFonts w:ascii="Arial" w:cs="Arial" w:eastAsia="Arial" w:hAnsi="Arial"/>
          <w:sz w:val="17"/>
          <w:szCs w:val="17"/>
          <w:color w:val="auto"/>
        </w:rPr>
        <w:t>is the Chief Executive Officer of Sunovion Pharmaceuticals Inc. (“Sunovion”),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U.S. subsidiary of Sumitomo Dainippon Pharma Co. Ltd, a company he joined in 2007. Sunovion’s track record of discovery, development and commercialization of important psychiatric, neurological and respiratory therapies has included Latuda</w:t>
      </w:r>
      <w:r>
        <w:rPr>
          <w:rFonts w:ascii="Arial" w:cs="Arial" w:eastAsia="Arial" w:hAnsi="Arial"/>
          <w:sz w:val="25"/>
          <w:szCs w:val="25"/>
          <w:color w:val="auto"/>
          <w:vertAlign w:val="superscript"/>
        </w:rPr>
        <w:t>®</w:t>
      </w:r>
      <w:r>
        <w:rPr>
          <w:rFonts w:ascii="Arial" w:cs="Arial" w:eastAsia="Arial" w:hAnsi="Arial"/>
          <w:sz w:val="17"/>
          <w:szCs w:val="17"/>
          <w:color w:val="auto"/>
        </w:rPr>
        <w:t>, Brovana</w:t>
      </w:r>
      <w:r>
        <w:rPr>
          <w:rFonts w:ascii="Arial" w:cs="Arial" w:eastAsia="Arial" w:hAnsi="Arial"/>
          <w:sz w:val="25"/>
          <w:szCs w:val="25"/>
          <w:color w:val="auto"/>
          <w:vertAlign w:val="superscript"/>
        </w:rPr>
        <w:t>®</w:t>
      </w:r>
      <w:r>
        <w:rPr>
          <w:rFonts w:ascii="Arial" w:cs="Arial" w:eastAsia="Arial" w:hAnsi="Arial"/>
          <w:sz w:val="17"/>
          <w:szCs w:val="17"/>
          <w:color w:val="auto"/>
        </w:rPr>
        <w:t>, Aptiom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Lonhala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Magnair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Inhalation Solution and, most recently, KYNMOBI™ sublingual film. His prior industry experience includes seven years in drug development and medical affairs roles at Pfizer Inc. (“Pfizer”). He serves as an Executive Leadership Team member of Sunovion and an Executive Officer of Sumitomo Dainippon Pharma Co., Ltd., the parent company of Sunovion. Dr. Loebel also serves on the Pharmaceutical Research and Manufacturers of America (PhRMA) Board of Directors and previously served on the Massachusetts Biotechnology Council (MassBio) Board of Directors. For his achievements in advancing new treatments for central nervous system (CNS) disorders, Dr. Loebel received the 2015 Award for Leadership from the International Society for CNS Drug Development and the 2019 CNS Summit Leadership Award. Selected by PharmaVOICE in 2019 and 2013 as one of the “100 Most Inspiring People” in the pharmaceutical industry.</w:t>
      </w:r>
    </w:p>
    <w:p>
      <w:pPr>
        <w:spacing w:after="0" w:line="78" w:lineRule="exact"/>
        <w:rPr>
          <w:rFonts w:ascii="Arial" w:cs="Arial" w:eastAsia="Arial" w:hAnsi="Arial"/>
          <w:sz w:val="17"/>
          <w:szCs w:val="17"/>
          <w:color w:val="auto"/>
        </w:rPr>
      </w:pPr>
    </w:p>
    <w:p>
      <w:pPr>
        <w:ind w:left="1820" w:right="659" w:hanging="180"/>
        <w:spacing w:after="0" w:line="268"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Robert Taub </w:t>
      </w:r>
      <w:r>
        <w:rPr>
          <w:rFonts w:ascii="Arial" w:cs="Arial" w:eastAsia="Arial" w:hAnsi="Arial"/>
          <w:sz w:val="17"/>
          <w:szCs w:val="17"/>
          <w:color w:val="auto"/>
        </w:rPr>
        <w:t>has more than four decades of business experience in the biopharmaceutical and medtech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industries. Mr. Taub is the Co-Founder and Chairman of the Board of Nyxoah S.A. (“Nyxoah”), a private company which is developing implants to treat Obstructive Sleep Apnea and recently received an approximately $25 million investment from investors including ResMed Inc. Prior to this, Mr. Taub was the Chairman of Neuroderm Ltd. (“Neuroderm”), a Nasdaq listed biotech company that was sold to Mitsubishi-Tanabe Pharma Corporation (“Mitsubishi-Tanabe”) for</w:t>
      </w:r>
    </w:p>
    <w:p>
      <w:pPr>
        <w:ind w:left="1820" w:right="719"/>
        <w:spacing w:after="0" w:line="273" w:lineRule="auto"/>
        <w:rPr>
          <w:rFonts w:ascii="Arial" w:cs="Arial" w:eastAsia="Arial" w:hAnsi="Arial"/>
          <w:sz w:val="17"/>
          <w:szCs w:val="17"/>
          <w:color w:val="auto"/>
        </w:rPr>
      </w:pPr>
      <w:r>
        <w:rPr>
          <w:rFonts w:ascii="Arial" w:cs="Arial" w:eastAsia="Arial" w:hAnsi="Arial"/>
          <w:sz w:val="17"/>
          <w:szCs w:val="17"/>
          <w:color w:val="auto"/>
        </w:rPr>
        <w:t>$1.1 billion in 2017. Mr. Taub also founded and served as President, Chief Executive Officer and a member of the board of directors of Omrix Biopharmaceuticals, Inc. (“Omrix”), a biopharmaceutical company that marketed biological products for the biosurgical and immunotherapy markets and which was acquired by Johnson &amp; Johnson in 2008, following a listing on Nasdaq in 2006.</w:t>
      </w:r>
    </w:p>
    <w:p>
      <w:pPr>
        <w:spacing w:after="0" w:line="109" w:lineRule="exact"/>
        <w:rPr>
          <w:sz w:val="20"/>
          <w:szCs w:val="20"/>
          <w:color w:val="auto"/>
        </w:rPr>
      </w:pPr>
    </w:p>
    <w:p>
      <w:pPr>
        <w:ind w:left="1280" w:right="699" w:firstLine="360"/>
        <w:spacing w:after="0" w:line="262" w:lineRule="auto"/>
        <w:rPr>
          <w:sz w:val="20"/>
          <w:szCs w:val="20"/>
          <w:color w:val="auto"/>
        </w:rPr>
      </w:pPr>
      <w:r>
        <w:rPr>
          <w:rFonts w:ascii="Arial" w:cs="Arial" w:eastAsia="Arial" w:hAnsi="Arial"/>
          <w:sz w:val="17"/>
          <w:szCs w:val="17"/>
          <w:color w:val="auto"/>
        </w:rPr>
        <w:t>We believe our management team is well positioned to take advantage of the growing set of acquisition opportunities in the life sciences industry and that our contacts and relationships, ranging from owners of private and public companies, private equity funds, venture capital firms, investment bankers, attorneys, accountants and business brokers will allow us to generate an attractive transaction for our stockholders.</w:t>
      </w:r>
    </w:p>
    <w:p>
      <w:pPr>
        <w:spacing w:after="0" w:line="105" w:lineRule="exact"/>
        <w:rPr>
          <w:sz w:val="20"/>
          <w:szCs w:val="20"/>
          <w:color w:val="auto"/>
        </w:rPr>
      </w:pPr>
    </w:p>
    <w:p>
      <w:pPr>
        <w:ind w:left="1280" w:right="779" w:firstLine="360"/>
        <w:spacing w:after="0" w:line="238" w:lineRule="auto"/>
        <w:rPr>
          <w:sz w:val="20"/>
          <w:szCs w:val="20"/>
          <w:color w:val="auto"/>
        </w:rPr>
      </w:pPr>
      <w:r>
        <w:rPr>
          <w:rFonts w:ascii="Arial" w:cs="Arial" w:eastAsia="Arial" w:hAnsi="Arial"/>
          <w:sz w:val="18"/>
          <w:szCs w:val="18"/>
          <w:color w:val="auto"/>
        </w:rPr>
        <w:t>Our founder, HighCape, is a life sciences investment firm with approximately $145 million in assets under management as of June 30, 2020. Since its founding in 2013, HighCape has focused exclusively on commercial stage life sciences companies and has made five investments, each time as the lead investor. In total the companies in the HighCape portfolio have attracted in excess of $500 million of invested capital. Mr. Rakin served as the chairman of two of the portfolio companies. A fundamental element of the HighCape strategy is limiting investments to one to two per year, thus allowing for a rigorous selection process and the team to engage with each company to drive stockholder value creation. This approach has been successful, as demonstrated by the fact that two portfolio companies have already exited and a third has completed an Initial Public Offering. In October of 2019, Cheetah Medical, Inc. completed its acquisition by Baxter</w:t>
      </w:r>
    </w:p>
    <w:p>
      <w:pPr>
        <w:sectPr>
          <w:pgSz w:w="11900" w:h="16838" w:orient="portrait"/>
          <w:cols w:equalWidth="0" w:num="1">
            <w:col w:w="10139"/>
          </w:cols>
          <w:pgMar w:left="320" w:top="132" w:right="1440" w:bottom="1440" w:gutter="0" w:footer="0" w:header="0"/>
        </w:sectPr>
      </w:pPr>
    </w:p>
    <w:p>
      <w:pPr>
        <w:spacing w:after="0" w:line="37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699"/>
        <w:spacing w:after="0" w:line="270" w:lineRule="auto"/>
        <w:rPr>
          <w:sz w:val="20"/>
          <w:szCs w:val="20"/>
          <w:color w:val="auto"/>
        </w:rPr>
      </w:pPr>
      <w:r>
        <w:rPr>
          <w:rFonts w:ascii="Arial" w:cs="Arial" w:eastAsia="Arial" w:hAnsi="Arial"/>
          <w:sz w:val="17"/>
          <w:szCs w:val="17"/>
          <w:color w:val="auto"/>
        </w:rPr>
        <w:t>International Inc. for a total deal value of $230 million (including up to $ 30 million in milestone payments), while in November of 2019, TELA Bio, Inc. (Nasdaq: TELA) completed an IPO. In December of 2019, ZipLine Medical, Inc. was acquired by a global medical device company for an undisclosed amount.</w:t>
      </w:r>
    </w:p>
    <w:p>
      <w:pPr>
        <w:spacing w:after="0" w:line="83" w:lineRule="exact"/>
        <w:rPr>
          <w:sz w:val="20"/>
          <w:szCs w:val="20"/>
          <w:color w:val="auto"/>
        </w:rPr>
      </w:pPr>
    </w:p>
    <w:p>
      <w:pPr>
        <w:ind w:left="1280" w:right="959" w:firstLine="360"/>
        <w:spacing w:after="0" w:line="261" w:lineRule="auto"/>
        <w:rPr>
          <w:sz w:val="20"/>
          <w:szCs w:val="20"/>
          <w:color w:val="auto"/>
        </w:rPr>
      </w:pPr>
      <w:r>
        <w:rPr>
          <w:rFonts w:ascii="Arial" w:cs="Arial" w:eastAsia="Arial" w:hAnsi="Arial"/>
          <w:sz w:val="18"/>
          <w:szCs w:val="18"/>
          <w:color w:val="auto"/>
        </w:rPr>
        <w:t>The rapid progress of HighCape from a concept in 2013 to a proven investment firm today has been driven by four key fundamentals that form the foundation for the firm’s day to day operations:</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The Team</w:t>
      </w:r>
    </w:p>
    <w:p>
      <w:pPr>
        <w:spacing w:after="0" w:line="158" w:lineRule="exact"/>
        <w:rPr>
          <w:sz w:val="20"/>
          <w:szCs w:val="20"/>
          <w:color w:val="auto"/>
        </w:rPr>
      </w:pPr>
    </w:p>
    <w:p>
      <w:pPr>
        <w:jc w:val="both"/>
        <w:ind w:left="1280" w:right="699" w:firstLine="360"/>
        <w:spacing w:after="0" w:line="248" w:lineRule="auto"/>
        <w:rPr>
          <w:sz w:val="20"/>
          <w:szCs w:val="20"/>
          <w:color w:val="auto"/>
        </w:rPr>
      </w:pPr>
      <w:r>
        <w:rPr>
          <w:rFonts w:ascii="Arial" w:cs="Arial" w:eastAsia="Arial" w:hAnsi="Arial"/>
          <w:sz w:val="18"/>
          <w:szCs w:val="18"/>
          <w:color w:val="auto"/>
        </w:rPr>
        <w:t>The HighCape partners have worked together for as long as 22 years in some instances, and during that time have built a level of mutual trust and respect that facilitates a highly efficient level of interaction with each other and the portfolio companies.</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Relationships</w:t>
      </w:r>
    </w:p>
    <w:p>
      <w:pPr>
        <w:spacing w:after="0" w:line="158" w:lineRule="exact"/>
        <w:rPr>
          <w:sz w:val="20"/>
          <w:szCs w:val="20"/>
          <w:color w:val="auto"/>
        </w:rPr>
      </w:pPr>
    </w:p>
    <w:p>
      <w:pPr>
        <w:ind w:left="1280" w:right="839" w:firstLine="360"/>
        <w:spacing w:after="0" w:line="243" w:lineRule="auto"/>
        <w:rPr>
          <w:sz w:val="20"/>
          <w:szCs w:val="20"/>
          <w:color w:val="auto"/>
        </w:rPr>
      </w:pPr>
      <w:r>
        <w:rPr>
          <w:rFonts w:ascii="Arial" w:cs="Arial" w:eastAsia="Arial" w:hAnsi="Arial"/>
          <w:sz w:val="18"/>
          <w:szCs w:val="18"/>
          <w:color w:val="auto"/>
        </w:rPr>
        <w:t>The firm has nurtured deep relationships across the industry based on years of creating, building and exiting multiple life sciences companies. The firm’s relationships extend to investment bankers, venture capital firms, industry consultants and numerous management teams. This myriad of connections provides numerous proprietary investment opportunities.</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Partnership</w:t>
      </w:r>
    </w:p>
    <w:p>
      <w:pPr>
        <w:spacing w:after="0" w:line="144" w:lineRule="exact"/>
        <w:rPr>
          <w:sz w:val="20"/>
          <w:szCs w:val="20"/>
          <w:color w:val="auto"/>
        </w:rPr>
      </w:pPr>
    </w:p>
    <w:p>
      <w:pPr>
        <w:ind w:left="1280" w:right="679" w:firstLine="360"/>
        <w:spacing w:after="0" w:line="241" w:lineRule="auto"/>
        <w:rPr>
          <w:sz w:val="20"/>
          <w:szCs w:val="20"/>
          <w:color w:val="auto"/>
        </w:rPr>
      </w:pPr>
      <w:r>
        <w:rPr>
          <w:rFonts w:ascii="Arial" w:cs="Arial" w:eastAsia="Arial" w:hAnsi="Arial"/>
          <w:sz w:val="18"/>
          <w:szCs w:val="18"/>
          <w:color w:val="auto"/>
        </w:rPr>
        <w:t>The distinctive background of each HighCape partner as well as an intentionally focused investment approach allows the firm to truly partner with portfolio companies. Aside from board-level involvement, the partners routinely assist portfolio companies with strategic planning across a wide range of functional areas, capital formation strategies and planning, assisting with identifying and recruiting key leadership positions and providing business development/transaction assistance.</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Breadth of Experience and Execution Capabilities</w:t>
      </w:r>
    </w:p>
    <w:p>
      <w:pPr>
        <w:spacing w:after="0" w:line="158" w:lineRule="exact"/>
        <w:rPr>
          <w:sz w:val="20"/>
          <w:szCs w:val="20"/>
          <w:color w:val="auto"/>
        </w:rPr>
      </w:pPr>
    </w:p>
    <w:p>
      <w:pPr>
        <w:ind w:left="1280" w:right="739" w:firstLine="360"/>
        <w:spacing w:after="0" w:line="243" w:lineRule="auto"/>
        <w:rPr>
          <w:sz w:val="20"/>
          <w:szCs w:val="20"/>
          <w:color w:val="auto"/>
        </w:rPr>
      </w:pPr>
      <w:r>
        <w:rPr>
          <w:rFonts w:ascii="Arial" w:cs="Arial" w:eastAsia="Arial" w:hAnsi="Arial"/>
          <w:sz w:val="18"/>
          <w:szCs w:val="18"/>
          <w:color w:val="auto"/>
        </w:rPr>
        <w:t>The HighCape team has a unique breadth of industry experience and functional expertise. With a combined &gt;150 years of industry knowledge and backgrounds ranging from banking and finance to product development to building world-class commercial organizations, the HighCape team brings to each transaction an unusually deep level of industry and functional expertise.</w:t>
      </w:r>
    </w:p>
    <w:p>
      <w:pPr>
        <w:spacing w:after="0" w:line="120" w:lineRule="exact"/>
        <w:rPr>
          <w:sz w:val="20"/>
          <w:szCs w:val="20"/>
          <w:color w:val="auto"/>
        </w:rPr>
      </w:pPr>
    </w:p>
    <w:p>
      <w:pPr>
        <w:ind w:left="1280" w:right="659" w:firstLine="360"/>
        <w:spacing w:after="0" w:line="238" w:lineRule="auto"/>
        <w:rPr>
          <w:sz w:val="20"/>
          <w:szCs w:val="20"/>
          <w:color w:val="auto"/>
        </w:rPr>
      </w:pPr>
      <w:r>
        <w:rPr>
          <w:rFonts w:ascii="Arial" w:cs="Arial" w:eastAsia="Arial" w:hAnsi="Arial"/>
          <w:sz w:val="18"/>
          <w:szCs w:val="18"/>
          <w:color w:val="auto"/>
        </w:rPr>
        <w:t>We expect to receive significant input and support from the HighCape team and advisors as we identify, pursue, evaluate and complete our initial business combination. The HighCape team members include Jennifer Barretta, a former head of Human Resources, Charles Hart, Ph.D., a former Chief Scientific Officer, Carol Reed, M.D., a former Chief Medical Officer, and Dean Tozer, a former Chief Marketing Officer. The HighCape advisors include Seth Rudnick M.D., former head of Canaan Partners’ life sciences team, Jon Soderstrom, Ph.D., managing director of the Yale Office of Cooperative Research, Kevin O’Boyle, the former chief financial officer of ABH and NuVasive, Inc. and Christopher Wright, an investment professional. Collectively, the HighCape team and advisors have worked together for decades with Messrs. Rakin and Zuga in various executive and investing capacities. The biographies of HighCape’s team and advisors are detailed below.</w:t>
      </w:r>
    </w:p>
    <w:p>
      <w:pPr>
        <w:spacing w:after="0" w:line="107" w:lineRule="exact"/>
        <w:rPr>
          <w:sz w:val="20"/>
          <w:szCs w:val="20"/>
          <w:color w:val="auto"/>
        </w:rPr>
      </w:pPr>
    </w:p>
    <w:p>
      <w:pPr>
        <w:ind w:left="1280" w:right="739" w:firstLine="360"/>
        <w:spacing w:after="0" w:line="257" w:lineRule="auto"/>
        <w:rPr>
          <w:sz w:val="20"/>
          <w:szCs w:val="20"/>
          <w:color w:val="auto"/>
        </w:rPr>
      </w:pPr>
      <w:r>
        <w:rPr>
          <w:rFonts w:ascii="Arial" w:cs="Arial" w:eastAsia="Arial" w:hAnsi="Arial"/>
          <w:sz w:val="17"/>
          <w:szCs w:val="17"/>
          <w:b w:val="1"/>
          <w:bCs w:val="1"/>
          <w:i w:val="1"/>
          <w:iCs w:val="1"/>
          <w:color w:val="auto"/>
        </w:rPr>
        <w:t xml:space="preserve">Jennifer Barretta. </w:t>
      </w:r>
      <w:r>
        <w:rPr>
          <w:rFonts w:ascii="Arial" w:cs="Arial" w:eastAsia="Arial" w:hAnsi="Arial"/>
          <w:sz w:val="17"/>
          <w:szCs w:val="17"/>
          <w:color w:val="auto"/>
        </w:rPr>
        <w:t>Since April 2014, Ms. Barretta has been a partner at HighCape, and brings 20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human resources experience. From 2011 to 2012, Ms. Barretta was the vice president of Human Resources for Shire Regenerative Medicine, Inc. (“SRM”). Prior to that, Ms. Barretta served as vice president of ABH from 2006 until its acquisition by SRM in 2011, where she led human resources until August 2012. Prior to ABH, Ms. Barretta was Director of Human Resources at Genaissance until its merger with Clinical Data in 2005. Ms. Barretta received a B.S. from Syracuse University.</w:t>
      </w:r>
    </w:p>
    <w:p>
      <w:pPr>
        <w:spacing w:after="0" w:line="108" w:lineRule="exact"/>
        <w:rPr>
          <w:sz w:val="20"/>
          <w:szCs w:val="20"/>
          <w:color w:val="auto"/>
        </w:rPr>
      </w:pPr>
    </w:p>
    <w:p>
      <w:pPr>
        <w:ind w:left="1280" w:right="779" w:firstLine="360"/>
        <w:spacing w:after="0" w:line="257" w:lineRule="auto"/>
        <w:rPr>
          <w:sz w:val="20"/>
          <w:szCs w:val="20"/>
          <w:color w:val="auto"/>
        </w:rPr>
      </w:pPr>
      <w:r>
        <w:rPr>
          <w:rFonts w:ascii="Arial" w:cs="Arial" w:eastAsia="Arial" w:hAnsi="Arial"/>
          <w:sz w:val="17"/>
          <w:szCs w:val="17"/>
          <w:b w:val="1"/>
          <w:bCs w:val="1"/>
          <w:i w:val="1"/>
          <w:iCs w:val="1"/>
          <w:color w:val="auto"/>
        </w:rPr>
        <w:t xml:space="preserve">Charles Hart, Ph.D. </w:t>
      </w:r>
      <w:r>
        <w:rPr>
          <w:rFonts w:ascii="Arial" w:cs="Arial" w:eastAsia="Arial" w:hAnsi="Arial"/>
          <w:sz w:val="17"/>
          <w:szCs w:val="17"/>
          <w:color w:val="auto"/>
        </w:rPr>
        <w:t>Since April 2014, Dr. Hart has been an operating partner at HighCape, and brings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35 years of research and development experience in the biotechnology field. From 2011 to 2013, Dr. Hart was the vice president of research of SRM. Prior to that, Dr. Hart served as chief scientific officer of ABH from 2008 until its acquisition by SRM. He also served as the vice president and chief scientific officer at BioMimetic Therapeutics, Inc. (“BioMimetic”), a company focused on the development of products for the treatment of musculoskeletal injuries, from 2004 to 2008. Before BioMimetic, he had spent 21 years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859"/>
        <w:spacing w:after="0" w:line="248" w:lineRule="auto"/>
        <w:rPr>
          <w:sz w:val="20"/>
          <w:szCs w:val="20"/>
          <w:color w:val="auto"/>
        </w:rPr>
      </w:pPr>
      <w:r>
        <w:rPr>
          <w:rFonts w:ascii="Arial" w:cs="Arial" w:eastAsia="Arial" w:hAnsi="Arial"/>
          <w:sz w:val="18"/>
          <w:szCs w:val="18"/>
          <w:color w:val="auto"/>
        </w:rPr>
        <w:t>at ZymoGenetics, Inc., a biotech company. Dr. Hart has authored over 60 scientific publications and holds over 45 U.S. patents. He received a Ph.D. from the University of Washington, a M.S. from Oregon State University and a B.S. from the University of California at Davis.</w:t>
      </w:r>
    </w:p>
    <w:p>
      <w:pPr>
        <w:spacing w:after="0" w:line="101" w:lineRule="exact"/>
        <w:rPr>
          <w:sz w:val="20"/>
          <w:szCs w:val="20"/>
          <w:color w:val="auto"/>
        </w:rPr>
      </w:pPr>
    </w:p>
    <w:p>
      <w:pPr>
        <w:ind w:left="1280" w:right="819" w:firstLine="360"/>
        <w:spacing w:after="0" w:line="238" w:lineRule="auto"/>
        <w:rPr>
          <w:sz w:val="20"/>
          <w:szCs w:val="20"/>
          <w:color w:val="auto"/>
        </w:rPr>
      </w:pPr>
      <w:r>
        <w:rPr>
          <w:rFonts w:ascii="Arial" w:cs="Arial" w:eastAsia="Arial" w:hAnsi="Arial"/>
          <w:sz w:val="18"/>
          <w:szCs w:val="18"/>
          <w:b w:val="1"/>
          <w:bCs w:val="1"/>
          <w:i w:val="1"/>
          <w:iCs w:val="1"/>
          <w:color w:val="auto"/>
        </w:rPr>
        <w:t xml:space="preserve">Carol Reed, M.D. </w:t>
      </w:r>
      <w:r>
        <w:rPr>
          <w:rFonts w:ascii="Arial" w:cs="Arial" w:eastAsia="Arial" w:hAnsi="Arial"/>
          <w:sz w:val="18"/>
          <w:szCs w:val="18"/>
          <w:color w:val="auto"/>
        </w:rPr>
        <w:t>Since April 2014, Dr. Reed has been an operating partner at HighCape, and brings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twenty years of experience in drug and device development in the areas of pulmonary diseases, psychiatry, cardiology, gastroenterology and infectious diseases, in addition to ten years’ experience as a physician in the practice of pulmonary and critical care medicine from 1989 to 1999. From 1999 to 2005, Dr. Reed was the vice president, medical affairs at Genaissance Pharmaceuticals. Following that, Dr. Reed was the chief medical officer and executive vice president of Clinical Data from 2005 to 2011, and the senior vice president of Medical Affairs at Synthetic Biologics, Inc. from 2011 to 2014. Dr. Reed received her M.D. from Rush Medical College in Chicago and an M.S. in Biology from the University of Illinois at Chicago. She is a Fellow at the American College of Physicians and the American College of Chest Physicians.</w:t>
      </w:r>
    </w:p>
    <w:p>
      <w:pPr>
        <w:spacing w:after="0" w:line="117" w:lineRule="exact"/>
        <w:rPr>
          <w:sz w:val="20"/>
          <w:szCs w:val="20"/>
          <w:color w:val="auto"/>
        </w:rPr>
      </w:pPr>
    </w:p>
    <w:p>
      <w:pPr>
        <w:ind w:left="1280" w:right="679" w:firstLine="360"/>
        <w:spacing w:after="0" w:line="255" w:lineRule="auto"/>
        <w:rPr>
          <w:sz w:val="20"/>
          <w:szCs w:val="20"/>
          <w:color w:val="auto"/>
        </w:rPr>
      </w:pPr>
      <w:r>
        <w:rPr>
          <w:rFonts w:ascii="Arial" w:cs="Arial" w:eastAsia="Arial" w:hAnsi="Arial"/>
          <w:sz w:val="17"/>
          <w:szCs w:val="17"/>
          <w:b w:val="1"/>
          <w:bCs w:val="1"/>
          <w:i w:val="1"/>
          <w:iCs w:val="1"/>
          <w:color w:val="auto"/>
        </w:rPr>
        <w:t>Dean Tozer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April 2014, Mr. Tozer has been a partner at High Cape, and brings 25 years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in the global healthcare industry. From March 2014 to January 2016, Mr. Tozer served as executive vice president and chief commercial officer and then the president and chief executive officer of Nuo Therapeutics, Inc. Prior to joining Nuo Therapeutics, Inc., he was the senior vice president of corporate development for SRM, which acquired ABH in 2011, where he had been a senior vice president. Prior to these roles, he spent 10 years in the global pharmaceutical industry. Mr. Tozer is currently on the board of BLDG Active, Inc., and he received a Bachelor of Commerce from Saint Mary’s University in Halifax, Nova Scotia and a Certified Management Accountant designation in Ontario, Canada.</w:t>
      </w:r>
    </w:p>
    <w:p>
      <w:pPr>
        <w:spacing w:after="0" w:line="111" w:lineRule="exact"/>
        <w:rPr>
          <w:sz w:val="20"/>
          <w:szCs w:val="20"/>
          <w:color w:val="auto"/>
        </w:rPr>
      </w:pPr>
    </w:p>
    <w:p>
      <w:pPr>
        <w:ind w:left="1280" w:right="719" w:firstLine="360"/>
        <w:spacing w:after="0" w:line="267" w:lineRule="auto"/>
        <w:rPr>
          <w:sz w:val="20"/>
          <w:szCs w:val="20"/>
          <w:color w:val="auto"/>
        </w:rPr>
      </w:pPr>
      <w:r>
        <w:rPr>
          <w:rFonts w:ascii="Arial" w:cs="Arial" w:eastAsia="Arial" w:hAnsi="Arial"/>
          <w:sz w:val="16"/>
          <w:szCs w:val="16"/>
          <w:b w:val="1"/>
          <w:bCs w:val="1"/>
          <w:i w:val="1"/>
          <w:iCs w:val="1"/>
          <w:color w:val="auto"/>
        </w:rPr>
        <w:t xml:space="preserve">Seth Rudnick, M.D. </w:t>
      </w:r>
      <w:r>
        <w:rPr>
          <w:rFonts w:ascii="Arial" w:cs="Arial" w:eastAsia="Arial" w:hAnsi="Arial"/>
          <w:sz w:val="16"/>
          <w:szCs w:val="16"/>
          <w:color w:val="auto"/>
        </w:rPr>
        <w:t>Since January 2014, Dr. Rudnick has been an advisor to HighCape. Dr. Rudnick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extensive expertise in oncology, drug discovery and development, and healthcare investments. From 1999 until his retirement in 2013, Dr. Rudnick was a general partner at Canaan Partners, where he built the global venture capital firm’s capability in biopharmaceutical investing. Prior to joining Canaan, he was the Chief Executive Officer and Chairman of CytoTherapeutics, Inc., a developer of cell therapies to combat chronic diseases. From 1986 to 1991, he was a founder of and head of research and development at Johnson</w:t>
      </w:r>
    </w:p>
    <w:p>
      <w:pPr>
        <w:spacing w:after="0" w:line="3" w:lineRule="exact"/>
        <w:rPr>
          <w:sz w:val="20"/>
          <w:szCs w:val="20"/>
          <w:color w:val="auto"/>
        </w:rPr>
      </w:pPr>
    </w:p>
    <w:p>
      <w:pPr>
        <w:ind w:left="1280" w:right="1479"/>
        <w:spacing w:after="0" w:line="243" w:lineRule="auto"/>
        <w:tabs>
          <w:tab w:leader="none" w:pos="1472" w:val="left"/>
        </w:tabs>
        <w:numPr>
          <w:ilvl w:val="0"/>
          <w:numId w:val="6"/>
        </w:numPr>
        <w:rPr>
          <w:rFonts w:ascii="Arial" w:cs="Arial" w:eastAsia="Arial" w:hAnsi="Arial"/>
          <w:sz w:val="18"/>
          <w:szCs w:val="18"/>
          <w:color w:val="auto"/>
        </w:rPr>
      </w:pPr>
      <w:r>
        <w:rPr>
          <w:rFonts w:ascii="Arial" w:cs="Arial" w:eastAsia="Arial" w:hAnsi="Arial"/>
          <w:sz w:val="18"/>
          <w:szCs w:val="18"/>
          <w:color w:val="auto"/>
        </w:rPr>
        <w:t>Johnson’s biotechnology company, Ortho Biotech, Inc., and from 1982 to 1986, he was head of pharmaceutical development at Biogen N.V.</w:t>
      </w:r>
    </w:p>
    <w:p>
      <w:pPr>
        <w:spacing w:after="0" w:line="105" w:lineRule="exact"/>
        <w:rPr>
          <w:sz w:val="20"/>
          <w:szCs w:val="20"/>
          <w:color w:val="auto"/>
        </w:rPr>
      </w:pPr>
    </w:p>
    <w:p>
      <w:pPr>
        <w:ind w:left="1280" w:right="819" w:firstLine="360"/>
        <w:spacing w:after="0" w:line="259" w:lineRule="auto"/>
        <w:rPr>
          <w:sz w:val="20"/>
          <w:szCs w:val="20"/>
          <w:color w:val="auto"/>
        </w:rPr>
      </w:pPr>
      <w:r>
        <w:rPr>
          <w:rFonts w:ascii="Arial" w:cs="Arial" w:eastAsia="Arial" w:hAnsi="Arial"/>
          <w:sz w:val="17"/>
          <w:szCs w:val="17"/>
          <w:color w:val="auto"/>
        </w:rPr>
        <w:t>Dr. Rudnick started his career as a faculty member in Medical Oncology and Epidemiology at the University of North Carolina in Chapel Hill. He was a Yale Fellow and Robert Wood Johnson scholar in medical oncology. He earned his medical degree at the University of Virginia and holds a B.A. in history from the University of Pennsylvania. He currently serves as a board member of Liquidia Technologies and G1 Therapeutics and was formerly Chairman of the Board for both companies.</w:t>
      </w:r>
    </w:p>
    <w:p>
      <w:pPr>
        <w:spacing w:after="0" w:line="106" w:lineRule="exact"/>
        <w:rPr>
          <w:sz w:val="20"/>
          <w:szCs w:val="20"/>
          <w:color w:val="auto"/>
        </w:rPr>
      </w:pPr>
    </w:p>
    <w:p>
      <w:pPr>
        <w:ind w:left="1280" w:right="779" w:firstLine="360"/>
        <w:spacing w:after="0" w:line="255" w:lineRule="auto"/>
        <w:rPr>
          <w:sz w:val="20"/>
          <w:szCs w:val="20"/>
          <w:color w:val="auto"/>
        </w:rPr>
      </w:pPr>
      <w:r>
        <w:rPr>
          <w:rFonts w:ascii="Arial" w:cs="Arial" w:eastAsia="Arial" w:hAnsi="Arial"/>
          <w:sz w:val="17"/>
          <w:szCs w:val="17"/>
          <w:b w:val="1"/>
          <w:bCs w:val="1"/>
          <w:i w:val="1"/>
          <w:iCs w:val="1"/>
          <w:color w:val="auto"/>
        </w:rPr>
        <w:t xml:space="preserve">Kevin O’Boyle. </w:t>
      </w:r>
      <w:r>
        <w:rPr>
          <w:rFonts w:ascii="Arial" w:cs="Arial" w:eastAsia="Arial" w:hAnsi="Arial"/>
          <w:sz w:val="17"/>
          <w:szCs w:val="17"/>
          <w:color w:val="auto"/>
        </w:rPr>
        <w:t>Since May 2020, Mr. O’Boyle has been an advisor to HighCape. He has over 20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executive management experience in the medical device industry. Mr. O’Boyle currently serves as a director of Wright Medical Group N.V., GenMark Diagnostics, Inc., Nevro Corp. and Sientra, Inc.</w:t>
      </w:r>
    </w:p>
    <w:p>
      <w:pPr>
        <w:ind w:left="1280" w:right="759"/>
        <w:spacing w:after="0" w:line="248" w:lineRule="auto"/>
        <w:rPr>
          <w:sz w:val="20"/>
          <w:szCs w:val="20"/>
          <w:color w:val="auto"/>
        </w:rPr>
      </w:pPr>
      <w:r>
        <w:rPr>
          <w:rFonts w:ascii="Arial" w:cs="Arial" w:eastAsia="Arial" w:hAnsi="Arial"/>
          <w:sz w:val="17"/>
          <w:szCs w:val="17"/>
          <w:color w:val="auto"/>
        </w:rPr>
        <w:t>Mr. O’Boyle served as the Senior Vice President and Chief Financial Officer of ABH from December 2010 until it was acquired in July 2011. From January 2003 until December 2009, Mr. O’Boyle served as Chief Financial Officer of NuVasive, Inc. Prior to that, Mr. O’Boyle served in various leadership positions during his six years with ChromaVision Medical Systems, Inc., including as its Chief Financial Officer and Chief Operating Officer. Before that, Mr. O’Boyle spent seven years with Albert Fisher Group PLC, an international food company, where he held several leadership positions including Chief Financial Officer and Senior Vice President of Operations. Mr. O’Boyle previously served as a director of each Zeltiq Aesthetics Inc., from July 2011 until it was acquired in April 2017, Durata Therapeutics, Inc., from</w:t>
      </w:r>
    </w:p>
    <w:p>
      <w:pPr>
        <w:spacing w:after="0" w:line="4" w:lineRule="exact"/>
        <w:rPr>
          <w:sz w:val="20"/>
          <w:szCs w:val="20"/>
          <w:color w:val="auto"/>
        </w:rPr>
      </w:pPr>
    </w:p>
    <w:p>
      <w:pPr>
        <w:ind w:left="1280" w:right="679"/>
        <w:spacing w:after="0" w:line="238" w:lineRule="auto"/>
        <w:rPr>
          <w:sz w:val="20"/>
          <w:szCs w:val="20"/>
          <w:color w:val="auto"/>
        </w:rPr>
      </w:pPr>
      <w:r>
        <w:rPr>
          <w:rFonts w:ascii="Arial" w:cs="Arial" w:eastAsia="Arial" w:hAnsi="Arial"/>
          <w:sz w:val="18"/>
          <w:szCs w:val="18"/>
          <w:color w:val="auto"/>
        </w:rPr>
        <w:t>April 2012 until it was acquired in November 2014, and NeoTract, Inc., from April 2017 until it was acquired in October 2017. Mr. O’Boyle received a Bachelor of Science in Accounting from Rochester Institute of Technology and successfully completed the Executive Management Program at the University of California Los Angeles, John E Anderson Graduate School of Business.</w:t>
      </w:r>
    </w:p>
    <w:p>
      <w:pPr>
        <w:spacing w:after="0" w:line="121" w:lineRule="exact"/>
        <w:rPr>
          <w:sz w:val="20"/>
          <w:szCs w:val="20"/>
          <w:color w:val="auto"/>
        </w:rPr>
      </w:pPr>
    </w:p>
    <w:p>
      <w:pPr>
        <w:ind w:left="1280" w:right="699" w:firstLine="360"/>
        <w:spacing w:after="0" w:line="262" w:lineRule="auto"/>
        <w:rPr>
          <w:sz w:val="20"/>
          <w:szCs w:val="20"/>
          <w:color w:val="auto"/>
        </w:rPr>
      </w:pPr>
      <w:r>
        <w:rPr>
          <w:rFonts w:ascii="Arial" w:cs="Arial" w:eastAsia="Arial" w:hAnsi="Arial"/>
          <w:sz w:val="17"/>
          <w:szCs w:val="17"/>
          <w:b w:val="1"/>
          <w:bCs w:val="1"/>
          <w:i w:val="1"/>
          <w:iCs w:val="1"/>
          <w:color w:val="auto"/>
        </w:rPr>
        <w:t xml:space="preserve">Jon Soderstrom, Ph.D. </w:t>
      </w:r>
      <w:r>
        <w:rPr>
          <w:rFonts w:ascii="Arial" w:cs="Arial" w:eastAsia="Arial" w:hAnsi="Arial"/>
          <w:sz w:val="17"/>
          <w:szCs w:val="17"/>
          <w:color w:val="auto"/>
        </w:rPr>
        <w:t>Since December 2019, Dr. Soderstrom has been an advisor to HighCape.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Soderstrom is managing director of technology commercialization and faculty innovation at Yale University’s Office of Cooperative Research, responsible for working with leadership and faculty across the university to facilitate, support and enhance the protection, commercial translation, and dissemination of</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719"/>
        <w:spacing w:after="0" w:line="277" w:lineRule="auto"/>
        <w:rPr>
          <w:sz w:val="20"/>
          <w:szCs w:val="20"/>
          <w:color w:val="auto"/>
        </w:rPr>
      </w:pPr>
      <w:r>
        <w:rPr>
          <w:rFonts w:ascii="Arial" w:cs="Arial" w:eastAsia="Arial" w:hAnsi="Arial"/>
          <w:sz w:val="18"/>
          <w:szCs w:val="18"/>
          <w:color w:val="auto"/>
        </w:rPr>
        <w:t>intellectual property developed through Yale research, and for overseeing operations toward that goal. He is also responsible for facilitating a robust ecosystem that supports faculty entrepreneurship.</w:t>
      </w:r>
    </w:p>
    <w:p>
      <w:pPr>
        <w:spacing w:after="0" w:line="89"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8"/>
          <w:szCs w:val="18"/>
          <w:color w:val="auto"/>
        </w:rPr>
        <w:t>Dr. Soderstrom has helped form 25 new ventures, including Molecular Staging, Inc. (acquired by Qiagen), Agilix Labs, Inc., Achillion Pharmaceuticals, Inc. (NASQ: ACHN), PhytoCeutica, Inc. (acquired by Kadmon Corporation), Protometrix Inc. (acquired by Invitrogen Corporation), Iconic Therapeutics, Inc., Applied Spine Technologies Inc., HistoRx, Inc. (acquired by Genoptix, Inc.), VaxInnate Corporation, Affomix Corporation (acquired by Illumina, Inc.), Kolltan Pharmaceuticals, Inc. (acquired by Celldex Therapeutics, Inc.), Arvinas, Inc. (NASQ: ARVN) and Artizan Biosciences, Inc. Collectively, these companies have raised over $500 million in professional venture capital.</w:t>
      </w:r>
    </w:p>
    <w:p>
      <w:pPr>
        <w:spacing w:after="0" w:line="127" w:lineRule="exact"/>
        <w:rPr>
          <w:sz w:val="20"/>
          <w:szCs w:val="20"/>
          <w:color w:val="auto"/>
        </w:rPr>
      </w:pPr>
    </w:p>
    <w:p>
      <w:pPr>
        <w:ind w:left="1280" w:right="739" w:firstLine="360"/>
        <w:spacing w:after="0" w:line="275" w:lineRule="auto"/>
        <w:rPr>
          <w:sz w:val="20"/>
          <w:szCs w:val="20"/>
          <w:color w:val="auto"/>
        </w:rPr>
      </w:pPr>
      <w:r>
        <w:rPr>
          <w:rFonts w:ascii="Arial" w:cs="Arial" w:eastAsia="Arial" w:hAnsi="Arial"/>
          <w:sz w:val="17"/>
          <w:szCs w:val="17"/>
          <w:color w:val="auto"/>
        </w:rPr>
        <w:t>Previously, Dr. Soderstrom was the director of program development for Oak Ridge National Laboratory after serving for 10 years as director of technology licensing for Martin Marietta Energy Systems, Inc. In the Office of Technology Applications, he directed a group of 10 professionals responsible for negotiating license contracts and cooperative research and development agreements. Dr. Soderstrom received his Ph.D. from Northwestern University in 1980 and his B.A. from Hope College in 1976.</w:t>
      </w:r>
    </w:p>
    <w:p>
      <w:pPr>
        <w:spacing w:after="0" w:line="109" w:lineRule="exact"/>
        <w:rPr>
          <w:sz w:val="20"/>
          <w:szCs w:val="20"/>
          <w:color w:val="auto"/>
        </w:rPr>
      </w:pPr>
    </w:p>
    <w:p>
      <w:pPr>
        <w:ind w:left="1280" w:right="719" w:firstLine="360"/>
        <w:spacing w:after="0" w:line="254" w:lineRule="auto"/>
        <w:rPr>
          <w:sz w:val="20"/>
          <w:szCs w:val="20"/>
          <w:color w:val="auto"/>
        </w:rPr>
      </w:pPr>
      <w:r>
        <w:rPr>
          <w:rFonts w:ascii="Arial" w:cs="Arial" w:eastAsia="Arial" w:hAnsi="Arial"/>
          <w:sz w:val="18"/>
          <w:szCs w:val="18"/>
          <w:b w:val="1"/>
          <w:bCs w:val="1"/>
          <w:i w:val="1"/>
          <w:iCs w:val="1"/>
          <w:color w:val="auto"/>
        </w:rPr>
        <w:t xml:space="preserve">Christopher Wright. </w:t>
      </w:r>
      <w:r>
        <w:rPr>
          <w:rFonts w:ascii="Arial" w:cs="Arial" w:eastAsia="Arial" w:hAnsi="Arial"/>
          <w:sz w:val="18"/>
          <w:szCs w:val="18"/>
          <w:color w:val="auto"/>
        </w:rPr>
        <w:t>Since January 2014, Mr. Wright has been an advisor to HighCape. Christopher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Wright has been a director of Merifin Capital NV, a private European family owned investment firm since 1987. Until mid-2003, he also served as Head of Global Private Equity Partners and CEO of Dresdner Kleinwort Capital and was a Group Board Member of Dresdner Kleinwort based in NYC, London and Frankfurt. He served as Chairman of various investment funds prior to and following the latter’s integration with Allianz SE. He was subsequently Acting Global Head of Private Equity and Infrastructure Investments at Standard Bank of South Africa Ltd from 2005 to 2006.</w:t>
      </w:r>
    </w:p>
    <w:p>
      <w:pPr>
        <w:spacing w:after="0" w:line="114" w:lineRule="exact"/>
        <w:rPr>
          <w:sz w:val="20"/>
          <w:szCs w:val="20"/>
          <w:color w:val="auto"/>
        </w:rPr>
      </w:pPr>
    </w:p>
    <w:p>
      <w:pPr>
        <w:ind w:left="1280" w:right="719" w:firstLine="360"/>
        <w:spacing w:after="0" w:line="252" w:lineRule="auto"/>
        <w:rPr>
          <w:sz w:val="20"/>
          <w:szCs w:val="20"/>
          <w:color w:val="auto"/>
        </w:rPr>
      </w:pPr>
      <w:r>
        <w:rPr>
          <w:rFonts w:ascii="Arial" w:cs="Arial" w:eastAsia="Arial" w:hAnsi="Arial"/>
          <w:sz w:val="18"/>
          <w:szCs w:val="18"/>
          <w:color w:val="auto"/>
        </w:rPr>
        <w:t>He was until 2014 non-executive Chairman of Maxcess International Corporation (an industrial controls business), and a founding board member of IDOX Plc, a leader in e-government software in the UK. He is co-founder and member of the board executive committee of Roper Technologies Inc (NYSE listed, S+P 500, large-cap diversified software, medtech and instrumentation company) whose audit committee he currently chairs. He is Chairman of YIMEI Capital, an asset management firm, based in Shanghai. He served until 2005 on the board of Genaissance. Mr. Wright is Emeritus Director of Campbell Lutyens &amp; Co. Ltd, a leading private equity and infrastructure focused investment banking firm based in London. He serves on the board of the UK charity, The Sutton Trust, and is an Advisory Director of the Scientific Exploration Society in the UK. He is a Fellow of the Royal Geographical Society and of the Royal Society of Arts. Mr. Wright was educated at Oxford University and holds a Certified Diploma in Accounting and Finance from ACCA. He is Honorary Fellow, Corpus Christi College, Oxford and serves as a member of its Endowment Investment Committee.</w:t>
      </w:r>
    </w:p>
    <w:p>
      <w:pPr>
        <w:spacing w:after="0" w:line="132" w:lineRule="exact"/>
        <w:rPr>
          <w:sz w:val="20"/>
          <w:szCs w:val="20"/>
          <w:color w:val="auto"/>
        </w:rPr>
      </w:pPr>
    </w:p>
    <w:p>
      <w:pPr>
        <w:ind w:left="1280" w:right="659" w:firstLine="360"/>
        <w:spacing w:after="0" w:line="257" w:lineRule="auto"/>
        <w:rPr>
          <w:sz w:val="20"/>
          <w:szCs w:val="20"/>
          <w:color w:val="auto"/>
        </w:rPr>
      </w:pPr>
      <w:r>
        <w:rPr>
          <w:rFonts w:ascii="Arial" w:cs="Arial" w:eastAsia="Arial" w:hAnsi="Arial"/>
          <w:sz w:val="18"/>
          <w:szCs w:val="18"/>
          <w:color w:val="auto"/>
        </w:rPr>
        <w:t>The past performance of the members of our management team, HighCape or their affiliates is not a guarantee that we will be able to identify a suitable candidate for our initial business combination or of success with respect to any business combination we may consummate. You should not rely on the historical record of the performance of our management, HighCape or any of its affiliates’ performance as indicative of our future performance.</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Competitive Advantages</w:t>
      </w:r>
    </w:p>
    <w:p>
      <w:pPr>
        <w:spacing w:after="0" w:line="16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intend to capitalize on the following competitive advantages in our pursuit of a target company:</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Our Ability to Provide Counsel and Position a Company for Success in the Public Market</w:t>
      </w:r>
    </w:p>
    <w:p>
      <w:pPr>
        <w:spacing w:after="0" w:line="144" w:lineRule="exact"/>
        <w:rPr>
          <w:sz w:val="20"/>
          <w:szCs w:val="20"/>
          <w:color w:val="auto"/>
        </w:rPr>
      </w:pPr>
    </w:p>
    <w:p>
      <w:pPr>
        <w:ind w:left="1280" w:right="699" w:firstLine="360"/>
        <w:spacing w:after="0" w:line="293" w:lineRule="auto"/>
        <w:rPr>
          <w:sz w:val="20"/>
          <w:szCs w:val="20"/>
          <w:color w:val="auto"/>
        </w:rPr>
      </w:pPr>
      <w:r>
        <w:rPr>
          <w:rFonts w:ascii="Arial" w:cs="Arial" w:eastAsia="Arial" w:hAnsi="Arial"/>
          <w:sz w:val="16"/>
          <w:szCs w:val="16"/>
          <w:color w:val="auto"/>
        </w:rPr>
        <w:t>We believe our greatest competitive advantage comes from HighCape’s partners’ extensive background and experience. The HighCape partners have been chief executive officers, board members, investors and executive leaders with years of experience in almost every phase and function of life sciences companies. These experiences bridge both public and private settings. We believe a target management team will see tremendous value in partnering with a firm that can say “we have truly sat in your seat” and, through that, help management with the transition issues from running a private company to managing a public entity.</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93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Proactive and Proprietary Transaction Sourcing</w:t>
      </w:r>
    </w:p>
    <w:p>
      <w:pPr>
        <w:spacing w:after="0" w:line="158" w:lineRule="exact"/>
        <w:rPr>
          <w:sz w:val="20"/>
          <w:szCs w:val="20"/>
          <w:color w:val="auto"/>
        </w:rPr>
      </w:pPr>
    </w:p>
    <w:p>
      <w:pPr>
        <w:jc w:val="both"/>
        <w:ind w:left="1280" w:right="1119" w:firstLine="360"/>
        <w:spacing w:after="0" w:line="308" w:lineRule="auto"/>
        <w:rPr>
          <w:sz w:val="20"/>
          <w:szCs w:val="20"/>
          <w:color w:val="auto"/>
        </w:rPr>
      </w:pPr>
      <w:r>
        <w:rPr>
          <w:rFonts w:ascii="Arial" w:cs="Arial" w:eastAsia="Arial" w:hAnsi="Arial"/>
          <w:sz w:val="17"/>
          <w:szCs w:val="17"/>
          <w:color w:val="auto"/>
        </w:rPr>
        <w:t>Our management team believes that its leading market reputation, proactive approach to sourcing transactions, and extensive network of relationships will provide proprietary investment opportunities.</w:t>
      </w:r>
    </w:p>
    <w:p>
      <w:pPr>
        <w:spacing w:after="0" w:line="146"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Execution and Structuring Capability</w:t>
      </w:r>
    </w:p>
    <w:p>
      <w:pPr>
        <w:spacing w:after="0" w:line="158" w:lineRule="exact"/>
        <w:rPr>
          <w:sz w:val="20"/>
          <w:szCs w:val="20"/>
          <w:color w:val="auto"/>
        </w:rPr>
      </w:pPr>
    </w:p>
    <w:p>
      <w:pPr>
        <w:ind w:left="1280" w:right="699" w:firstLine="360"/>
        <w:spacing w:after="0" w:line="259" w:lineRule="auto"/>
        <w:rPr>
          <w:sz w:val="20"/>
          <w:szCs w:val="20"/>
          <w:color w:val="auto"/>
        </w:rPr>
      </w:pPr>
      <w:r>
        <w:rPr>
          <w:rFonts w:ascii="Arial" w:cs="Arial" w:eastAsia="Arial" w:hAnsi="Arial"/>
          <w:sz w:val="18"/>
          <w:szCs w:val="18"/>
          <w:color w:val="auto"/>
        </w:rPr>
        <w:t>Our management team believes that its industry expertise and reputation allow them to source and complete transactions possessing structural attributes that create an attractive investment thesis. These types of transactions are typically complex and require creativity, industry knowledge and expertise, rigorous due diligence, and extensive negotiation and documentation.</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Focused Experience Across Public and Private Opportunities</w:t>
      </w:r>
    </w:p>
    <w:p>
      <w:pPr>
        <w:spacing w:after="0" w:line="144" w:lineRule="exact"/>
        <w:rPr>
          <w:sz w:val="20"/>
          <w:szCs w:val="20"/>
          <w:color w:val="auto"/>
        </w:rPr>
      </w:pPr>
    </w:p>
    <w:p>
      <w:pPr>
        <w:ind w:left="1280" w:right="699" w:firstLine="360"/>
        <w:spacing w:after="0" w:line="254" w:lineRule="auto"/>
        <w:rPr>
          <w:sz w:val="20"/>
          <w:szCs w:val="20"/>
          <w:color w:val="auto"/>
        </w:rPr>
      </w:pPr>
      <w:r>
        <w:rPr>
          <w:rFonts w:ascii="Arial" w:cs="Arial" w:eastAsia="Arial" w:hAnsi="Arial"/>
          <w:sz w:val="18"/>
          <w:szCs w:val="18"/>
          <w:color w:val="auto"/>
        </w:rPr>
        <w:t>Our management team combines deep experience in public and private transactions. Mr. Rakin has more than 30 years of experience as a chief executive officer and board member in both private and public companies, while Mr. Zuga similarly has more than 30 years in the banking and investing arena. Additionally, the entire HighCape team have more than 100 years years combined experience sourcing, leading and transacting both public and private opportunities. We believe this versatility of experience and understanding of both public and private markets will allow our team to identify companies that could make successful public market candidates and prepare them to make the transition to strong publicly-traded companies.</w:t>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Significant Value-Add Capability</w:t>
      </w:r>
    </w:p>
    <w:p>
      <w:pPr>
        <w:spacing w:after="0" w:line="158" w:lineRule="exact"/>
        <w:rPr>
          <w:sz w:val="20"/>
          <w:szCs w:val="20"/>
          <w:color w:val="auto"/>
        </w:rPr>
      </w:pPr>
    </w:p>
    <w:p>
      <w:pPr>
        <w:ind w:left="1280" w:right="659" w:firstLine="360"/>
        <w:spacing w:after="0" w:line="269" w:lineRule="auto"/>
        <w:rPr>
          <w:sz w:val="20"/>
          <w:szCs w:val="20"/>
          <w:color w:val="auto"/>
        </w:rPr>
      </w:pPr>
      <w:r>
        <w:rPr>
          <w:rFonts w:ascii="Arial" w:cs="Arial" w:eastAsia="Arial" w:hAnsi="Arial"/>
          <w:sz w:val="17"/>
          <w:szCs w:val="17"/>
          <w:color w:val="auto"/>
        </w:rPr>
        <w:t>We believe that the life sciences sector expertise and broad network of relationships of our management team will allow them to add significant value after consummation of an initial transaction. We anticipate that our team will be involved with a target company in a number of capacities, including: (i) assisting in setting strategic direction and priorities; (ii) designing specific performance improvement projects;</w:t>
      </w:r>
    </w:p>
    <w:p>
      <w:pPr>
        <w:spacing w:after="0" w:line="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(iii) helping to identify and recruit managers; (iv) advising on acquisition and financing transactions;</w:t>
      </w:r>
    </w:p>
    <w:p>
      <w:pPr>
        <w:spacing w:after="0" w:line="9" w:lineRule="exact"/>
        <w:rPr>
          <w:sz w:val="20"/>
          <w:szCs w:val="20"/>
          <w:color w:val="auto"/>
        </w:rPr>
      </w:pPr>
    </w:p>
    <w:p>
      <w:pPr>
        <w:ind w:left="1280" w:right="679"/>
        <w:spacing w:after="0" w:line="253" w:lineRule="auto"/>
        <w:tabs>
          <w:tab w:leader="none" w:pos="1549"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contributing market information; and (vi) developing a targeted investor relations program. Furthermore, our management team is also experienced in navigating complex reimbursement and regulatory issues that many companies in healthcare manage over time. Our management believes that its ability to identify and execute value creation initiatives has been an essential driver of past performance and will remain central to its acquisition strategy.</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Industry Opportunity</w:t>
      </w:r>
    </w:p>
    <w:p>
      <w:pPr>
        <w:spacing w:after="0" w:line="162" w:lineRule="exact"/>
        <w:rPr>
          <w:sz w:val="20"/>
          <w:szCs w:val="20"/>
          <w:color w:val="auto"/>
        </w:rPr>
      </w:pPr>
    </w:p>
    <w:p>
      <w:pPr>
        <w:ind w:left="1280" w:right="719" w:firstLine="360"/>
        <w:spacing w:after="0" w:line="263" w:lineRule="auto"/>
        <w:rPr>
          <w:sz w:val="20"/>
          <w:szCs w:val="20"/>
          <w:color w:val="auto"/>
        </w:rPr>
      </w:pPr>
      <w:r>
        <w:rPr>
          <w:rFonts w:ascii="Arial" w:cs="Arial" w:eastAsia="Arial" w:hAnsi="Arial"/>
          <w:sz w:val="18"/>
          <w:szCs w:val="18"/>
          <w:color w:val="auto"/>
        </w:rPr>
        <w:t>While we may acquire a business in any industry, our focus will be in the life sciences industry in the United States and other developed countries. We believe the life sciences industry is attractive for a number of reasons:</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Large Target Market</w:t>
      </w:r>
    </w:p>
    <w:p>
      <w:pPr>
        <w:spacing w:after="0" w:line="144" w:lineRule="exact"/>
        <w:rPr>
          <w:sz w:val="20"/>
          <w:szCs w:val="20"/>
          <w:color w:val="auto"/>
        </w:rPr>
      </w:pPr>
    </w:p>
    <w:p>
      <w:pPr>
        <w:ind w:left="1280" w:right="679" w:firstLine="360"/>
        <w:spacing w:after="0" w:line="255" w:lineRule="auto"/>
        <w:rPr>
          <w:sz w:val="20"/>
          <w:szCs w:val="20"/>
          <w:color w:val="auto"/>
        </w:rPr>
      </w:pPr>
      <w:r>
        <w:rPr>
          <w:rFonts w:ascii="Arial" w:cs="Arial" w:eastAsia="Arial" w:hAnsi="Arial"/>
          <w:sz w:val="18"/>
          <w:szCs w:val="18"/>
          <w:color w:val="auto"/>
        </w:rPr>
        <w:t>The life sciences industry represents an enormous target market. Total U.S. national health expenditure exceeds $3 trillion, and the Center for Medicare and Medicaid Services has estimated that total healthcare spending will approach 20% of total U.S. Gross Domestic Product over the coming years. The number of private companies in the life sciences industry is significant, with over 30,000 firms focused on various sub-sectors of the healthcare value chain in the United States alone. The market dynamics are similar in Europe and other developed countries.</w:t>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Broad Universe of Potential Targets</w:t>
      </w:r>
    </w:p>
    <w:p>
      <w:pPr>
        <w:spacing w:after="0" w:line="158" w:lineRule="exact"/>
        <w:rPr>
          <w:sz w:val="20"/>
          <w:szCs w:val="20"/>
          <w:color w:val="auto"/>
        </w:rPr>
      </w:pPr>
    </w:p>
    <w:p>
      <w:pPr>
        <w:ind w:left="1280" w:right="679" w:firstLine="360"/>
        <w:spacing w:after="0" w:line="296" w:lineRule="auto"/>
        <w:rPr>
          <w:sz w:val="20"/>
          <w:szCs w:val="20"/>
          <w:color w:val="auto"/>
        </w:rPr>
      </w:pPr>
      <w:r>
        <w:rPr>
          <w:rFonts w:ascii="Arial" w:cs="Arial" w:eastAsia="Arial" w:hAnsi="Arial"/>
          <w:sz w:val="16"/>
          <w:szCs w:val="16"/>
          <w:color w:val="auto"/>
        </w:rPr>
        <w:t>We intend to focus our investment effort broadly across the life sciences industry, which encompasses therapeutics, devices, diagnostics and animal health. We believe that our investment and operating expertise in healthcare across multiple industry verticals will give us a large, addressable universe of potential targets. The diversity of the target universe and the number of largely uncorrelated sub-sectors maximizes that likelihood that our management team will be able to identify and execute an attractive transaction.</w:t>
      </w:r>
    </w:p>
    <w:p>
      <w:pPr>
        <w:sectPr>
          <w:pgSz w:w="11900" w:h="16838" w:orient="portrait"/>
          <w:cols w:equalWidth="0" w:num="1">
            <w:col w:w="10139"/>
          </w:cols>
          <w:pgMar w:left="320" w:top="131"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8036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803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Limited Competition</w:t>
      </w:r>
    </w:p>
    <w:p>
      <w:pPr>
        <w:spacing w:after="0" w:line="158" w:lineRule="exact"/>
        <w:rPr>
          <w:sz w:val="20"/>
          <w:szCs w:val="20"/>
          <w:color w:val="auto"/>
        </w:rPr>
      </w:pPr>
    </w:p>
    <w:p>
      <w:pPr>
        <w:ind w:left="1280" w:right="779" w:firstLine="360"/>
        <w:spacing w:after="0"/>
        <w:rPr>
          <w:sz w:val="20"/>
          <w:szCs w:val="20"/>
          <w:color w:val="auto"/>
        </w:rPr>
      </w:pPr>
      <w:r>
        <w:rPr>
          <w:rFonts w:ascii="Arial" w:cs="Arial" w:eastAsia="Arial" w:hAnsi="Arial"/>
          <w:sz w:val="18"/>
          <w:szCs w:val="18"/>
          <w:color w:val="auto"/>
        </w:rPr>
        <w:t>Our management team believes that the complexity of the life sciences industry acts as a barrier to entry, requiring investors to have significant knowledge and expertise to identify and appropriately analyze investment opportunities. Technical, clinical and scientific knowledge, an understanding of the reimbursement environment and regulatory landscape, complex valuation methodologies, specialized accounting treatments, and regulatory and political considerations may deter competition from generalist firms.</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Favorable Trends</w:t>
      </w:r>
    </w:p>
    <w:p>
      <w:pPr>
        <w:spacing w:after="0" w:line="158" w:lineRule="exact"/>
        <w:rPr>
          <w:sz w:val="20"/>
          <w:szCs w:val="20"/>
          <w:color w:val="auto"/>
        </w:rPr>
      </w:pPr>
    </w:p>
    <w:p>
      <w:pPr>
        <w:ind w:left="1280" w:right="759" w:firstLine="360"/>
        <w:spacing w:after="0" w:line="254" w:lineRule="auto"/>
        <w:rPr>
          <w:sz w:val="20"/>
          <w:szCs w:val="20"/>
          <w:color w:val="auto"/>
        </w:rPr>
      </w:pPr>
      <w:r>
        <w:rPr>
          <w:rFonts w:ascii="Arial" w:cs="Arial" w:eastAsia="Arial" w:hAnsi="Arial"/>
          <w:sz w:val="17"/>
          <w:szCs w:val="17"/>
          <w:color w:val="auto"/>
        </w:rPr>
        <w:t>Total global healthcare expenditure has grown at a pace substantially above the global economy in the recent past, and this growth is projected to continue over the years to come, which we anticipate will include an aging population, increased prevalence of chronic disease and improved access to healthcare. While the size of healthcare spending has grown and will continue to grow, this expense has put significant pressure on payers, including federal and state governments as well as individuals. This dynamic provides opportunities to life sciences companies with innovative approaches that provide better clinical outcomes and also bend the cost curve for payers. The HighCape team has extensive experience in identifying, growing and exiting exactly these types of companies.</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Acquisition Criteria</w:t>
      </w:r>
    </w:p>
    <w:p>
      <w:pPr>
        <w:spacing w:after="0" w:line="148" w:lineRule="exact"/>
        <w:rPr>
          <w:sz w:val="20"/>
          <w:szCs w:val="20"/>
          <w:color w:val="auto"/>
        </w:rPr>
      </w:pPr>
    </w:p>
    <w:p>
      <w:pPr>
        <w:ind w:left="1280" w:right="839" w:firstLine="360"/>
        <w:spacing w:after="0" w:line="243" w:lineRule="auto"/>
        <w:rPr>
          <w:sz w:val="20"/>
          <w:szCs w:val="20"/>
          <w:color w:val="auto"/>
        </w:rPr>
      </w:pPr>
      <w:r>
        <w:rPr>
          <w:rFonts w:ascii="Arial" w:cs="Arial" w:eastAsia="Arial" w:hAnsi="Arial"/>
          <w:sz w:val="18"/>
          <w:szCs w:val="18"/>
          <w:color w:val="auto"/>
        </w:rPr>
        <w:t>Consistent with our strategy, we have identified the following general criteria and guidelines that we believe are important in evaluating prospective target businesses. We will use these criteria and guidelines in evaluating acquisition opportunities, but we may decide to enter into our initial business combination with a target business that does not meet these criteria and guidelines.</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Life Sciences Businesses</w:t>
      </w:r>
    </w:p>
    <w:p>
      <w:pPr>
        <w:spacing w:after="0" w:line="158" w:lineRule="exact"/>
        <w:rPr>
          <w:sz w:val="20"/>
          <w:szCs w:val="20"/>
          <w:color w:val="auto"/>
        </w:rPr>
      </w:pPr>
    </w:p>
    <w:p>
      <w:pPr>
        <w:ind w:left="1280" w:right="779" w:firstLine="360"/>
        <w:spacing w:after="0" w:line="241" w:lineRule="auto"/>
        <w:rPr>
          <w:sz w:val="20"/>
          <w:szCs w:val="20"/>
          <w:color w:val="auto"/>
        </w:rPr>
      </w:pPr>
      <w:r>
        <w:rPr>
          <w:rFonts w:ascii="Arial" w:cs="Arial" w:eastAsia="Arial" w:hAnsi="Arial"/>
          <w:sz w:val="18"/>
          <w:szCs w:val="18"/>
          <w:color w:val="auto"/>
        </w:rPr>
        <w:t>We believe that the life sciences segment provides the greatest number of opportunities for investment and is consistent with HighCape’s historical investment history. This segment is where we believe we also have the strongest network to identify the greatest number of attractive opportunities and we believe the larger market capitalization and public float of the resulting company will be more attractive to our investors.</w:t>
      </w:r>
    </w:p>
    <w:p>
      <w:pPr>
        <w:spacing w:after="0" w:line="189" w:lineRule="exact"/>
        <w:rPr>
          <w:sz w:val="20"/>
          <w:szCs w:val="20"/>
          <w:color w:val="auto"/>
        </w:rPr>
      </w:pPr>
    </w:p>
    <w:p>
      <w:pPr>
        <w:ind w:left="1280"/>
        <w:spacing w:after="0"/>
        <w:tabs>
          <w:tab w:leader="none" w:pos="7280" w:val="left"/>
        </w:tabs>
        <w:rPr>
          <w:sz w:val="20"/>
          <w:szCs w:val="20"/>
          <w:color w:val="auto"/>
        </w:rPr>
      </w:pPr>
      <w:r>
        <w:rPr>
          <w:rFonts w:ascii="Arial" w:cs="Arial" w:eastAsia="Arial" w:hAnsi="Arial"/>
          <w:sz w:val="18"/>
          <w:szCs w:val="18"/>
          <w:i w:val="1"/>
          <w:iCs w:val="1"/>
          <w:color w:val="auto"/>
        </w:rPr>
        <w:t>Companies with Revenue and Earnings Growth or Potential for Revenue and</w:t>
      </w:r>
      <w:r>
        <w:rPr>
          <w:sz w:val="20"/>
          <w:szCs w:val="20"/>
          <w:color w:val="auto"/>
        </w:rPr>
        <w:tab/>
      </w:r>
      <w:r>
        <w:rPr>
          <w:rFonts w:ascii="Arial" w:cs="Arial" w:eastAsia="Arial" w:hAnsi="Arial"/>
          <w:sz w:val="17"/>
          <w:szCs w:val="17"/>
          <w:i w:val="1"/>
          <w:iCs w:val="1"/>
          <w:color w:val="auto"/>
        </w:rPr>
        <w:t>Earnings Growth</w:t>
      </w:r>
    </w:p>
    <w:p>
      <w:pPr>
        <w:spacing w:after="0" w:line="158" w:lineRule="exact"/>
        <w:rPr>
          <w:sz w:val="20"/>
          <w:szCs w:val="20"/>
          <w:color w:val="auto"/>
        </w:rPr>
      </w:pPr>
    </w:p>
    <w:p>
      <w:pPr>
        <w:jc w:val="both"/>
        <w:ind w:left="1280" w:right="699" w:firstLine="360"/>
        <w:spacing w:after="0" w:line="243" w:lineRule="auto"/>
        <w:rPr>
          <w:sz w:val="20"/>
          <w:szCs w:val="20"/>
          <w:color w:val="auto"/>
        </w:rPr>
      </w:pPr>
      <w:r>
        <w:rPr>
          <w:rFonts w:ascii="Arial" w:cs="Arial" w:eastAsia="Arial" w:hAnsi="Arial"/>
          <w:sz w:val="18"/>
          <w:szCs w:val="18"/>
          <w:color w:val="auto"/>
        </w:rPr>
        <w:t>We will seek to acquire one or more businesses that have achieved or have the potential for significant revenue and earnings growth through a combination of organic growth, synergistic add- on acquisitions, new product markets and geographies, increased production capacity, expense reduction and increased operating leverage.</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Companies with, or with the Potential for, Strong Free Cash Flow Generation</w:t>
      </w:r>
    </w:p>
    <w:p>
      <w:pPr>
        <w:spacing w:after="0" w:line="144" w:lineRule="exact"/>
        <w:rPr>
          <w:sz w:val="20"/>
          <w:szCs w:val="20"/>
          <w:color w:val="auto"/>
        </w:rPr>
      </w:pPr>
    </w:p>
    <w:p>
      <w:pPr>
        <w:ind w:left="1280" w:right="759" w:firstLine="360"/>
        <w:spacing w:after="0" w:line="248" w:lineRule="auto"/>
        <w:rPr>
          <w:sz w:val="20"/>
          <w:szCs w:val="20"/>
          <w:color w:val="auto"/>
        </w:rPr>
      </w:pPr>
      <w:r>
        <w:rPr>
          <w:rFonts w:ascii="Arial" w:cs="Arial" w:eastAsia="Arial" w:hAnsi="Arial"/>
          <w:sz w:val="18"/>
          <w:szCs w:val="18"/>
          <w:color w:val="auto"/>
        </w:rPr>
        <w:t>We will seek to acquire one or more businesses that already have, or have the potential to generate, consistent, stable and recurring free cash flow when their product or products have achieved an appropriate level of market penetration.</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Strong Competitive Position</w:t>
      </w:r>
    </w:p>
    <w:p>
      <w:pPr>
        <w:spacing w:after="0" w:line="158" w:lineRule="exact"/>
        <w:rPr>
          <w:sz w:val="20"/>
          <w:szCs w:val="20"/>
          <w:color w:val="auto"/>
        </w:rPr>
      </w:pPr>
    </w:p>
    <w:p>
      <w:pPr>
        <w:ind w:left="1280" w:right="679" w:firstLine="360"/>
        <w:spacing w:after="0" w:line="243" w:lineRule="auto"/>
        <w:rPr>
          <w:sz w:val="20"/>
          <w:szCs w:val="20"/>
          <w:color w:val="auto"/>
        </w:rPr>
      </w:pPr>
      <w:r>
        <w:rPr>
          <w:rFonts w:ascii="Arial" w:cs="Arial" w:eastAsia="Arial" w:hAnsi="Arial"/>
          <w:sz w:val="18"/>
          <w:szCs w:val="18"/>
          <w:color w:val="auto"/>
        </w:rPr>
        <w:t>We intend to focus on acquisition targets that have a leading, growing or niche market position in their respective industries. We will analyze the strengths and weaknesses of target businesses relative to their competitors. We will seek to acquire one or more businesses that demonstrate advantages when compared to their competitors, which may help to protect their market position and profitability.</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Experienced Management Team</w:t>
      </w:r>
    </w:p>
    <w:p>
      <w:pPr>
        <w:spacing w:after="0" w:line="158" w:lineRule="exact"/>
        <w:rPr>
          <w:sz w:val="20"/>
          <w:szCs w:val="20"/>
          <w:color w:val="auto"/>
        </w:rPr>
      </w:pPr>
    </w:p>
    <w:p>
      <w:pPr>
        <w:ind w:left="1280" w:right="719" w:firstLine="360"/>
        <w:spacing w:after="0" w:line="243" w:lineRule="auto"/>
        <w:rPr>
          <w:sz w:val="20"/>
          <w:szCs w:val="20"/>
          <w:color w:val="auto"/>
        </w:rPr>
      </w:pPr>
      <w:r>
        <w:rPr>
          <w:rFonts w:ascii="Arial" w:cs="Arial" w:eastAsia="Arial" w:hAnsi="Arial"/>
          <w:sz w:val="18"/>
          <w:szCs w:val="18"/>
          <w:color w:val="auto"/>
        </w:rPr>
        <w:t>We will seek to acquire one or more businesses with a complete, experienced management team that provides a platform for us to further develop the acquired business’s management capabilities. We will seek to partner with a potential target’s management team and expect that the operating and financial abilities of our executive team and board will complement their own capabilities.</w:t>
      </w:r>
    </w:p>
    <w:p>
      <w:pPr>
        <w:sectPr>
          <w:pgSz w:w="11900" w:h="16838" w:orient="portrait"/>
          <w:cols w:equalWidth="0" w:num="1">
            <w:col w:w="10139"/>
          </w:cols>
          <w:pgMar w:left="320" w:top="131" w:right="1440" w:bottom="1440" w:gutter="0" w:footer="0" w:header="0"/>
        </w:sectPr>
      </w:pPr>
    </w:p>
    <w:p>
      <w:pPr>
        <w:spacing w:after="0" w:line="37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Benefit from Being a Public Company</w:t>
      </w:r>
    </w:p>
    <w:p>
      <w:pPr>
        <w:spacing w:after="0" w:line="158" w:lineRule="exact"/>
        <w:rPr>
          <w:sz w:val="20"/>
          <w:szCs w:val="20"/>
          <w:color w:val="auto"/>
        </w:rPr>
      </w:pPr>
    </w:p>
    <w:p>
      <w:pPr>
        <w:ind w:left="1280" w:right="739" w:firstLine="360"/>
        <w:spacing w:after="0" w:line="241" w:lineRule="auto"/>
        <w:rPr>
          <w:sz w:val="20"/>
          <w:szCs w:val="20"/>
          <w:color w:val="auto"/>
        </w:rPr>
      </w:pPr>
      <w:r>
        <w:rPr>
          <w:rFonts w:ascii="Arial" w:cs="Arial" w:eastAsia="Arial" w:hAnsi="Arial"/>
          <w:sz w:val="18"/>
          <w:szCs w:val="18"/>
          <w:color w:val="auto"/>
        </w:rPr>
        <w:t>We intend to acquire one or more businesses that will benefit from being publicly traded and can effectively utilize the broader access to capital and the public profile that are associated with being a publicly traded company. We will focus on companies that have proven technology or products, with strong supporting data, near and long term milestones and strong fundamentals. We do not intend to acquire start-up companies or companies without a path to long-term profitability.</w:t>
      </w:r>
    </w:p>
    <w:p>
      <w:pPr>
        <w:spacing w:after="0" w:line="122" w:lineRule="exact"/>
        <w:rPr>
          <w:sz w:val="20"/>
          <w:szCs w:val="20"/>
          <w:color w:val="auto"/>
        </w:rPr>
      </w:pPr>
    </w:p>
    <w:p>
      <w:pPr>
        <w:ind w:left="1280" w:right="699" w:firstLine="360"/>
        <w:spacing w:after="0" w:line="252" w:lineRule="auto"/>
        <w:rPr>
          <w:sz w:val="20"/>
          <w:szCs w:val="20"/>
          <w:color w:val="auto"/>
        </w:rPr>
      </w:pPr>
      <w:r>
        <w:rPr>
          <w:rFonts w:ascii="Arial" w:cs="Arial" w:eastAsia="Arial" w:hAnsi="Arial"/>
          <w:sz w:val="17"/>
          <w:szCs w:val="17"/>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a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or tender offer materials, as applicable, that we would file with the SEC. In evaluating a prospective target business, we expect to conduct a due diligence review which may encompass, among other things, meetings with incumbent management and employees, document reviews, interviews of customers and suppliers, inspections of facilities, as well as reviewing financial and other information which will be made available to us.</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Initial Business Combination</w:t>
      </w:r>
    </w:p>
    <w:p>
      <w:pPr>
        <w:spacing w:after="0" w:line="148" w:lineRule="exact"/>
        <w:rPr>
          <w:sz w:val="20"/>
          <w:szCs w:val="20"/>
          <w:color w:val="auto"/>
        </w:rPr>
      </w:pPr>
    </w:p>
    <w:p>
      <w:pPr>
        <w:ind w:left="1280" w:right="739" w:firstLine="360"/>
        <w:spacing w:after="0" w:line="238"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We refer to this as 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124" w:lineRule="exact"/>
        <w:rPr>
          <w:sz w:val="20"/>
          <w:szCs w:val="20"/>
          <w:color w:val="auto"/>
        </w:rPr>
      </w:pPr>
    </w:p>
    <w:p>
      <w:pPr>
        <w:ind w:left="1280" w:right="679" w:firstLine="360"/>
        <w:spacing w:after="0" w:line="250"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 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 -transaction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the target businesses.</w:t>
      </w:r>
    </w:p>
    <w:p>
      <w:pPr>
        <w:spacing w:after="0" w:line="125" w:lineRule="exact"/>
        <w:rPr>
          <w:sz w:val="20"/>
          <w:szCs w:val="20"/>
          <w:color w:val="auto"/>
        </w:rPr>
      </w:pPr>
    </w:p>
    <w:p>
      <w:pPr>
        <w:ind w:left="1280" w:right="759" w:firstLine="360"/>
        <w:spacing w:after="0" w:line="241" w:lineRule="auto"/>
        <w:rPr>
          <w:sz w:val="20"/>
          <w:szCs w:val="20"/>
          <w:color w:val="auto"/>
        </w:rPr>
      </w:pPr>
      <w:r>
        <w:rPr>
          <w:rFonts w:ascii="Arial" w:cs="Arial" w:eastAsia="Arial" w:hAnsi="Arial"/>
          <w:sz w:val="18"/>
          <w:szCs w:val="18"/>
          <w:color w:val="auto"/>
        </w:rPr>
        <w:t>Prior to the date of this prospectus, we will file a Registration Statement on Form 8 -A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280" w:right="759" w:firstLine="360"/>
        <w:spacing w:after="0" w:line="25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4" w:lineRule="exact"/>
        <w:rPr>
          <w:sz w:val="20"/>
          <w:szCs w:val="20"/>
          <w:color w:val="auto"/>
        </w:rPr>
      </w:pPr>
    </w:p>
    <w:p>
      <w:pPr>
        <w:ind w:left="1280" w:right="87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9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80" w:right="659"/>
        <w:spacing w:after="0" w:line="265" w:lineRule="auto"/>
        <w:tabs>
          <w:tab w:leader="none" w:pos="1539" w:val="left"/>
        </w:tabs>
        <w:numPr>
          <w:ilvl w:val="0"/>
          <w:numId w:val="8"/>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280" w:right="1019"/>
        <w:spacing w:after="0" w:line="260" w:lineRule="auto"/>
        <w:rPr>
          <w:rFonts w:ascii="Arial" w:cs="Arial" w:eastAsia="Arial" w:hAnsi="Arial"/>
          <w:sz w:val="17"/>
          <w:szCs w:val="17"/>
          <w:color w:val="auto"/>
        </w:rPr>
      </w:pPr>
      <w:r>
        <w:rPr>
          <w:rFonts w:ascii="Arial" w:cs="Arial" w:eastAsia="Arial" w:hAnsi="Arial"/>
          <w:sz w:val="18"/>
          <w:szCs w:val="18"/>
          <w:color w:val="auto"/>
        </w:rPr>
        <w:t>$1.00 billion in non-convertible debt during the prior three-year period. References herein to “emerging growth company” shall have the meaning associated with it in the JOBS Act.</w:t>
      </w:r>
    </w:p>
    <w:p>
      <w:pPr>
        <w:spacing w:after="0" w:line="118" w:lineRule="exact"/>
        <w:rPr>
          <w:sz w:val="20"/>
          <w:szCs w:val="20"/>
          <w:color w:val="auto"/>
        </w:rPr>
      </w:pPr>
    </w:p>
    <w:p>
      <w:pPr>
        <w:ind w:left="1280" w:right="879" w:firstLine="360"/>
        <w:spacing w:after="0" w:line="254"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30th, or (2) our annual revenues exceeded $100 million during such completed fiscal year and the market value of our common stock held by non-affiliates exceeds $700 million as of the prior June 30th.</w:t>
      </w:r>
    </w:p>
    <w:p>
      <w:pPr>
        <w:spacing w:after="0" w:line="90" w:lineRule="exact"/>
        <w:rPr>
          <w:sz w:val="20"/>
          <w:szCs w:val="20"/>
          <w:color w:val="auto"/>
        </w:rPr>
      </w:pPr>
    </w:p>
    <w:p>
      <w:pPr>
        <w:ind w:left="1280" w:right="759" w:firstLine="360"/>
        <w:spacing w:after="0" w:line="235" w:lineRule="auto"/>
        <w:rPr>
          <w:sz w:val="20"/>
          <w:szCs w:val="20"/>
          <w:color w:val="auto"/>
        </w:rPr>
      </w:pPr>
      <w:r>
        <w:rPr>
          <w:rFonts w:ascii="Arial" w:cs="Arial" w:eastAsia="Arial" w:hAnsi="Arial"/>
          <w:sz w:val="18"/>
          <w:szCs w:val="18"/>
          <w:color w:val="auto"/>
        </w:rPr>
        <w:t>Our executive offices are located at 452 Fifth Avenue, 21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New York, NY 10018 and our phone number is 646-793-3510.</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759" w:firstLine="3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w:t>
      </w:r>
      <w:hyperlink w:anchor="page34">
        <w:r>
          <w:rPr>
            <w:rFonts w:ascii="Arial" w:cs="Arial" w:eastAsia="Arial" w:hAnsi="Arial"/>
            <w:sz w:val="18"/>
            <w:szCs w:val="18"/>
            <w:u w:val="single" w:color="auto"/>
            <w:color w:val="0000EE"/>
          </w:rPr>
          <w:t>33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w:t>
      </w:r>
    </w:p>
    <w:p>
      <w:pPr>
        <w:sectPr>
          <w:pgSz w:w="11900" w:h="16838" w:orient="portrait"/>
          <w:cols w:equalWidth="0" w:num="1">
            <w:col w:w="10139"/>
          </w:cols>
          <w:pgMar w:left="320" w:top="132" w:right="1440" w:bottom="1440" w:gutter="0" w:footer="0" w:header="0"/>
        </w:sectPr>
      </w:pPr>
    </w:p>
    <w:p>
      <w:pPr>
        <w:spacing w:after="0" w:line="8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60" w:right="320" w:hanging="179"/>
        <w:spacing w:after="0" w:line="263" w:lineRule="auto"/>
        <w:rPr>
          <w:sz w:val="20"/>
          <w:szCs w:val="20"/>
          <w:color w:val="auto"/>
        </w:rPr>
      </w:pPr>
      <w:r>
        <w:rPr>
          <w:rFonts w:ascii="Arial" w:cs="Arial" w:eastAsia="Arial" w:hAnsi="Arial"/>
          <w:sz w:val="18"/>
          <w:szCs w:val="18"/>
          <w:color w:val="auto"/>
        </w:rPr>
        <w:t>Trading commencement and separation of shares of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60" w:hanging="179"/>
        <w:spacing w:after="0" w:line="258" w:lineRule="auto"/>
        <w:rPr>
          <w:sz w:val="20"/>
          <w:szCs w:val="20"/>
          <w:color w:val="auto"/>
        </w:rPr>
      </w:pPr>
      <w:r>
        <w:rPr>
          <w:rFonts w:ascii="Arial" w:cs="Arial" w:eastAsia="Arial" w:hAnsi="Arial"/>
          <w:sz w:val="18"/>
          <w:szCs w:val="18"/>
          <w:color w:val="auto"/>
        </w:rPr>
        <w:t>Separate trading of the Class A common stock and warrants is prohibited until</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we have filed a Current Report on</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Form 8-K</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399"/>
        <w:spacing w:after="0" w:line="277" w:lineRule="auto"/>
        <w:rPr>
          <w:sz w:val="20"/>
          <w:szCs w:val="20"/>
          <w:color w:val="auto"/>
        </w:rPr>
      </w:pPr>
      <w:r>
        <w:rPr>
          <w:rFonts w:ascii="Arial" w:cs="Arial" w:eastAsia="Arial" w:hAnsi="Arial"/>
          <w:sz w:val="18"/>
          <w:szCs w:val="18"/>
          <w:color w:val="auto"/>
        </w:rPr>
        <w:t>10,000,000 units, at $10.00 per unit, each unit consisting of:</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one share of Class A common stock; and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one-half of one redeemable warrant.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Units: “CAPAU”</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“CAPA”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Warrants: “CAPAW”</w:t>
      </w:r>
    </w:p>
    <w:p>
      <w:pPr>
        <w:spacing w:after="0" w:line="200" w:lineRule="exact"/>
        <w:rPr>
          <w:sz w:val="20"/>
          <w:szCs w:val="20"/>
          <w:color w:val="auto"/>
        </w:rPr>
      </w:pPr>
    </w:p>
    <w:p>
      <w:pPr>
        <w:spacing w:after="0" w:line="349" w:lineRule="exact"/>
        <w:rPr>
          <w:sz w:val="20"/>
          <w:szCs w:val="20"/>
          <w:color w:val="auto"/>
        </w:rPr>
      </w:pPr>
    </w:p>
    <w:p>
      <w:pPr>
        <w:ind w:right="679"/>
        <w:spacing w:after="0" w:line="266" w:lineRule="auto"/>
        <w:rPr>
          <w:sz w:val="20"/>
          <w:szCs w:val="20"/>
          <w:color w:val="auto"/>
        </w:rPr>
      </w:pPr>
      <w:r>
        <w:rPr>
          <w:rFonts w:ascii="Arial" w:cs="Arial" w:eastAsia="Arial" w:hAnsi="Arial"/>
          <w:sz w:val="17"/>
          <w:szCs w:val="17"/>
          <w:color w:val="auto"/>
        </w:rPr>
        <w:t>The units are expected to begin trading on or promptly after the date of this prospectus. The shares of Class A common stock and warrants comprising the units will begin separate trading on the 52nd day following the date of this prospectus unless Cantor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 Accordingly, unless you purchase at least</w:t>
      </w:r>
    </w:p>
    <w:p>
      <w:pPr>
        <w:spacing w:after="0" w:line="3" w:lineRule="exact"/>
        <w:rPr>
          <w:sz w:val="20"/>
          <w:szCs w:val="20"/>
          <w:color w:val="auto"/>
        </w:rPr>
      </w:pPr>
    </w:p>
    <w:p>
      <w:pPr>
        <w:ind w:right="1039"/>
        <w:spacing w:after="0" w:line="260" w:lineRule="auto"/>
        <w:rPr>
          <w:sz w:val="20"/>
          <w:szCs w:val="20"/>
          <w:color w:val="auto"/>
        </w:rPr>
      </w:pPr>
      <w:r>
        <w:rPr>
          <w:rFonts w:ascii="Arial" w:cs="Arial" w:eastAsia="Arial" w:hAnsi="Arial"/>
          <w:sz w:val="18"/>
          <w:szCs w:val="18"/>
          <w:color w:val="auto"/>
        </w:rPr>
        <w:t>two units, you will not be able to receive or trade a whole warrant.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719"/>
        <w:spacing w:after="0" w:line="269" w:lineRule="auto"/>
        <w:rPr>
          <w:sz w:val="20"/>
          <w:szCs w:val="20"/>
          <w:color w:val="auto"/>
        </w:rPr>
      </w:pPr>
      <w:r>
        <w:rPr>
          <w:rFonts w:ascii="Arial" w:cs="Arial" w:eastAsia="Arial" w:hAnsi="Arial"/>
          <w:sz w:val="17"/>
          <w:szCs w:val="17"/>
          <w:color w:val="auto"/>
        </w:rPr>
        <w:t>In no event will the Class A common stock and warrants be traded separately until we have filed with the SEC a Current Report on Form 8-K which includes an audited balance sheet reflecting our receipt of the gross proceeds at the closing of this offering. We will file the Current Report on Form 8-K promptly after the closing of this offering, which closing is anticipated to take place three business days from the date of this prospectus. If the underwriters’ over-allotment option is exercised following the initial filing of such Current Report on Form 8-K, a second or amended Current</w:t>
      </w:r>
    </w:p>
    <w:p>
      <w:pPr>
        <w:spacing w:after="0" w:line="200" w:lineRule="exact"/>
        <w:rPr>
          <w:sz w:val="20"/>
          <w:szCs w:val="20"/>
          <w:color w:val="auto"/>
        </w:rPr>
      </w:pPr>
    </w:p>
    <w:p>
      <w:pPr>
        <w:sectPr>
          <w:pgSz w:w="11900" w:h="16838" w:orient="portrait"/>
          <w:cols w:equalWidth="0" w:num="2">
            <w:col w:w="4760" w:space="500"/>
            <w:col w:w="4879"/>
          </w:cols>
          <w:pgMar w:left="320" w:top="132" w:right="1440" w:bottom="1440" w:gutter="0" w:footer="0" w:header="0"/>
          <w:type w:val="continuous"/>
        </w:sectPr>
      </w:pPr>
    </w:p>
    <w:p>
      <w:pPr>
        <w:spacing w:after="0" w:line="198"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w w:val="96"/>
              </w:rPr>
              <w:t>Report on Form 8-K will be filed to provide updated</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financial information to reflect the exercise of the</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underwriters’ over-allotment option.</w:t>
            </w:r>
          </w:p>
        </w:tc>
        <w:tc>
          <w:tcPr>
            <w:tcW w:w="0" w:type="dxa"/>
            <w:vAlign w:val="bottom"/>
          </w:tcPr>
          <w:p>
            <w:pPr>
              <w:spacing w:after="0"/>
              <w:rPr>
                <w:sz w:val="1"/>
                <w:szCs w:val="1"/>
                <w:color w:val="auto"/>
              </w:rPr>
            </w:pPr>
          </w:p>
        </w:tc>
      </w:tr>
      <w:tr>
        <w:trPr>
          <w:trHeight w:val="324"/>
        </w:trPr>
        <w:tc>
          <w:tcPr>
            <w:tcW w:w="3680" w:type="dxa"/>
            <w:vAlign w:val="bottom"/>
          </w:tcPr>
          <w:p>
            <w:pPr>
              <w:spacing w:after="0"/>
              <w:rPr>
                <w:sz w:val="20"/>
                <w:szCs w:val="20"/>
                <w:color w:val="auto"/>
              </w:rPr>
            </w:pPr>
            <w:r>
              <w:rPr>
                <w:rFonts w:ascii="Arial" w:cs="Arial" w:eastAsia="Arial" w:hAnsi="Arial"/>
                <w:sz w:val="18"/>
                <w:szCs w:val="18"/>
                <w:color w:val="auto"/>
              </w:rPr>
              <w:t>Units:</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80" w:type="dxa"/>
            <w:vAlign w:val="bottom"/>
          </w:tcPr>
          <w:p>
            <w:pPr>
              <w:spacing w:after="0"/>
              <w:rPr>
                <w:sz w:val="20"/>
                <w:szCs w:val="20"/>
                <w:color w:val="auto"/>
              </w:rPr>
            </w:pPr>
            <w:r>
              <w:rPr>
                <w:rFonts w:ascii="Arial" w:cs="Arial" w:eastAsia="Arial" w:hAnsi="Arial"/>
                <w:sz w:val="18"/>
                <w:szCs w:val="18"/>
                <w:color w:val="auto"/>
              </w:rPr>
              <w:t>Number outstanding before this offering</w:t>
            </w:r>
          </w:p>
        </w:tc>
        <w:tc>
          <w:tcPr>
            <w:tcW w:w="426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9"/>
        </w:trPr>
        <w:tc>
          <w:tcPr>
            <w:tcW w:w="368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4260" w:type="dxa"/>
            <w:vAlign w:val="bottom"/>
          </w:tcPr>
          <w:p>
            <w:pPr>
              <w:ind w:left="300"/>
              <w:spacing w:after="0"/>
              <w:rPr>
                <w:sz w:val="20"/>
                <w:szCs w:val="20"/>
                <w:color w:val="auto"/>
              </w:rPr>
            </w:pPr>
            <w:r>
              <w:rPr>
                <w:rFonts w:ascii="Arial" w:cs="Arial" w:eastAsia="Arial" w:hAnsi="Arial"/>
                <w:sz w:val="18"/>
                <w:szCs w:val="18"/>
                <w:color w:val="auto"/>
              </w:rPr>
              <w:t>10,375,000</w:t>
            </w:r>
            <w:r>
              <w:rPr>
                <w:rFonts w:ascii="Arial" w:cs="Arial" w:eastAsia="Arial" w:hAnsi="Arial"/>
                <w:sz w:val="26"/>
                <w:szCs w:val="26"/>
                <w:color w:val="auto"/>
                <w:vertAlign w:val="superscript"/>
              </w:rPr>
              <w:t>(1)(2)</w:t>
            </w:r>
          </w:p>
        </w:tc>
        <w:tc>
          <w:tcPr>
            <w:tcW w:w="0" w:type="dxa"/>
            <w:vAlign w:val="bottom"/>
          </w:tcPr>
          <w:p>
            <w:pPr>
              <w:spacing w:after="0"/>
              <w:rPr>
                <w:sz w:val="1"/>
                <w:szCs w:val="1"/>
                <w:color w:val="auto"/>
              </w:rPr>
            </w:pPr>
          </w:p>
        </w:tc>
      </w:tr>
      <w:tr>
        <w:trPr>
          <w:trHeight w:val="252"/>
        </w:trPr>
        <w:tc>
          <w:tcPr>
            <w:tcW w:w="3680" w:type="dxa"/>
            <w:vAlign w:val="bottom"/>
          </w:tcPr>
          <w:p>
            <w:pPr>
              <w:spacing w:after="0"/>
              <w:rPr>
                <w:sz w:val="20"/>
                <w:szCs w:val="20"/>
                <w:color w:val="auto"/>
              </w:rPr>
            </w:pPr>
            <w:r>
              <w:rPr>
                <w:rFonts w:ascii="Arial" w:cs="Arial" w:eastAsia="Arial" w:hAnsi="Arial"/>
                <w:sz w:val="18"/>
                <w:szCs w:val="18"/>
                <w:color w:val="auto"/>
              </w:rPr>
              <w:t>Common Stock:</w:t>
            </w: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3680" w:type="dxa"/>
            <w:vAlign w:val="bottom"/>
          </w:tcPr>
          <w:p>
            <w:pPr>
              <w:spacing w:after="0"/>
              <w:rPr>
                <w:sz w:val="20"/>
                <w:szCs w:val="20"/>
                <w:color w:val="auto"/>
              </w:rPr>
            </w:pPr>
            <w:r>
              <w:rPr>
                <w:rFonts w:ascii="Arial" w:cs="Arial" w:eastAsia="Arial" w:hAnsi="Arial"/>
                <w:sz w:val="18"/>
                <w:szCs w:val="18"/>
                <w:color w:val="auto"/>
              </w:rPr>
              <w:t>Number outstanding before this offering</w:t>
            </w:r>
          </w:p>
        </w:tc>
        <w:tc>
          <w:tcPr>
            <w:tcW w:w="4260" w:type="dxa"/>
            <w:vAlign w:val="bottom"/>
          </w:tcPr>
          <w:p>
            <w:pPr>
              <w:ind w:left="300"/>
              <w:spacing w:after="0"/>
              <w:rPr>
                <w:sz w:val="20"/>
                <w:szCs w:val="20"/>
                <w:color w:val="auto"/>
              </w:rPr>
            </w:pPr>
            <w:r>
              <w:rPr>
                <w:rFonts w:ascii="Arial" w:cs="Arial" w:eastAsia="Arial" w:hAnsi="Arial"/>
                <w:sz w:val="18"/>
                <w:szCs w:val="18"/>
                <w:color w:val="auto"/>
              </w:rPr>
              <w:t>2,875,000</w:t>
            </w:r>
            <w:r>
              <w:rPr>
                <w:rFonts w:ascii="Arial" w:cs="Arial" w:eastAsia="Arial" w:hAnsi="Arial"/>
                <w:sz w:val="26"/>
                <w:szCs w:val="26"/>
                <w:color w:val="auto"/>
                <w:vertAlign w:val="superscript"/>
              </w:rPr>
              <w:t>(3)(4)</w:t>
            </w:r>
          </w:p>
        </w:tc>
        <w:tc>
          <w:tcPr>
            <w:tcW w:w="0" w:type="dxa"/>
            <w:vAlign w:val="bottom"/>
          </w:tcPr>
          <w:p>
            <w:pPr>
              <w:spacing w:after="0"/>
              <w:rPr>
                <w:sz w:val="1"/>
                <w:szCs w:val="1"/>
                <w:color w:val="auto"/>
              </w:rPr>
            </w:pPr>
          </w:p>
        </w:tc>
      </w:tr>
      <w:tr>
        <w:trPr>
          <w:trHeight w:val="353"/>
        </w:trPr>
        <w:tc>
          <w:tcPr>
            <w:tcW w:w="368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4260" w:type="dxa"/>
            <w:vAlign w:val="bottom"/>
          </w:tcPr>
          <w:p>
            <w:pPr>
              <w:ind w:left="300"/>
              <w:spacing w:after="0"/>
              <w:rPr>
                <w:sz w:val="20"/>
                <w:szCs w:val="20"/>
                <w:color w:val="auto"/>
              </w:rPr>
            </w:pPr>
            <w:r>
              <w:rPr>
                <w:rFonts w:ascii="Arial" w:cs="Arial" w:eastAsia="Arial" w:hAnsi="Arial"/>
                <w:sz w:val="18"/>
                <w:szCs w:val="18"/>
                <w:color w:val="auto"/>
              </w:rPr>
              <w:t>12,875,000</w:t>
            </w:r>
            <w:r>
              <w:rPr>
                <w:rFonts w:ascii="Arial" w:cs="Arial" w:eastAsia="Arial" w:hAnsi="Arial"/>
                <w:sz w:val="26"/>
                <w:szCs w:val="26"/>
                <w:color w:val="auto"/>
                <w:vertAlign w:val="superscript"/>
              </w:rPr>
              <w:t>(1)(4)</w:t>
            </w:r>
          </w:p>
        </w:tc>
        <w:tc>
          <w:tcPr>
            <w:tcW w:w="0" w:type="dxa"/>
            <w:vAlign w:val="bottom"/>
          </w:tcPr>
          <w:p>
            <w:pPr>
              <w:spacing w:after="0"/>
              <w:rPr>
                <w:sz w:val="1"/>
                <w:szCs w:val="1"/>
                <w:color w:val="auto"/>
              </w:rPr>
            </w:pPr>
          </w:p>
        </w:tc>
      </w:tr>
      <w:tr>
        <w:trPr>
          <w:trHeight w:val="252"/>
        </w:trPr>
        <w:tc>
          <w:tcPr>
            <w:tcW w:w="3680" w:type="dxa"/>
            <w:vAlign w:val="bottom"/>
          </w:tcPr>
          <w:p>
            <w:pPr>
              <w:spacing w:after="0"/>
              <w:rPr>
                <w:sz w:val="20"/>
                <w:szCs w:val="20"/>
                <w:color w:val="auto"/>
              </w:rPr>
            </w:pPr>
            <w:r>
              <w:rPr>
                <w:rFonts w:ascii="Arial" w:cs="Arial" w:eastAsia="Arial" w:hAnsi="Arial"/>
                <w:sz w:val="18"/>
                <w:szCs w:val="18"/>
                <w:color w:val="auto"/>
              </w:rPr>
              <w:t>Warrants:</w:t>
            </w: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680" w:type="dxa"/>
            <w:vAlign w:val="bottom"/>
          </w:tcPr>
          <w:p>
            <w:pPr>
              <w:spacing w:after="0"/>
              <w:rPr>
                <w:sz w:val="20"/>
                <w:szCs w:val="20"/>
                <w:color w:val="auto"/>
              </w:rPr>
            </w:pPr>
            <w:r>
              <w:rPr>
                <w:rFonts w:ascii="Arial" w:cs="Arial" w:eastAsia="Arial" w:hAnsi="Arial"/>
                <w:sz w:val="18"/>
                <w:szCs w:val="18"/>
                <w:color w:val="auto"/>
              </w:rPr>
              <w:t>Number of private placement warrants to be</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sold in a private placement simultaneously</w:t>
            </w: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with this offering</w:t>
            </w:r>
          </w:p>
        </w:tc>
        <w:tc>
          <w:tcPr>
            <w:tcW w:w="4260" w:type="dxa"/>
            <w:vAlign w:val="bottom"/>
          </w:tcPr>
          <w:p>
            <w:pPr>
              <w:ind w:left="300"/>
              <w:spacing w:after="0"/>
              <w:rPr>
                <w:sz w:val="20"/>
                <w:szCs w:val="20"/>
                <w:color w:val="auto"/>
              </w:rPr>
            </w:pPr>
            <w:r>
              <w:rPr>
                <w:rFonts w:ascii="Arial" w:cs="Arial" w:eastAsia="Arial" w:hAnsi="Arial"/>
                <w:sz w:val="18"/>
                <w:szCs w:val="18"/>
                <w:color w:val="auto"/>
              </w:rPr>
              <w:t>187,500</w:t>
            </w:r>
          </w:p>
        </w:tc>
        <w:tc>
          <w:tcPr>
            <w:tcW w:w="0" w:type="dxa"/>
            <w:vAlign w:val="bottom"/>
          </w:tcPr>
          <w:p>
            <w:pPr>
              <w:spacing w:after="0"/>
              <w:rPr>
                <w:sz w:val="1"/>
                <w:szCs w:val="1"/>
                <w:color w:val="auto"/>
              </w:rPr>
            </w:pPr>
          </w:p>
        </w:tc>
      </w:tr>
      <w:tr>
        <w:trPr>
          <w:trHeight w:val="310"/>
        </w:trPr>
        <w:tc>
          <w:tcPr>
            <w:tcW w:w="3680" w:type="dxa"/>
            <w:vAlign w:val="bottom"/>
          </w:tcPr>
          <w:p>
            <w:pPr>
              <w:spacing w:after="0"/>
              <w:rPr>
                <w:sz w:val="20"/>
                <w:szCs w:val="20"/>
                <w:color w:val="auto"/>
              </w:rPr>
            </w:pPr>
            <w:r>
              <w:rPr>
                <w:rFonts w:ascii="Arial" w:cs="Arial" w:eastAsia="Arial" w:hAnsi="Arial"/>
                <w:sz w:val="18"/>
                <w:szCs w:val="18"/>
                <w:color w:val="auto"/>
              </w:rPr>
              <w:t>Number of warrants to be outstanding after</w:t>
            </w:r>
          </w:p>
        </w:tc>
        <w:tc>
          <w:tcPr>
            <w:tcW w:w="4260" w:type="dxa"/>
            <w:vAlign w:val="bottom"/>
            <w:vMerge w:val="restart"/>
          </w:tcPr>
          <w:p>
            <w:pPr>
              <w:ind w:left="300"/>
              <w:spacing w:after="0"/>
              <w:rPr>
                <w:sz w:val="20"/>
                <w:szCs w:val="20"/>
                <w:color w:val="auto"/>
              </w:rPr>
            </w:pPr>
            <w:r>
              <w:rPr>
                <w:rFonts w:ascii="Arial" w:cs="Arial" w:eastAsia="Arial" w:hAnsi="Arial"/>
                <w:sz w:val="18"/>
                <w:szCs w:val="18"/>
                <w:color w:val="auto"/>
              </w:rPr>
              <w:t>5,187,500</w:t>
            </w:r>
            <w:r>
              <w:rPr>
                <w:rFonts w:ascii="Arial" w:cs="Arial" w:eastAsia="Arial" w:hAnsi="Arial"/>
                <w:sz w:val="26"/>
                <w:szCs w:val="26"/>
                <w:color w:val="auto"/>
                <w:vertAlign w:val="superscript"/>
              </w:rPr>
              <w:t>(1)(5)</w:t>
            </w:r>
          </w:p>
        </w:tc>
        <w:tc>
          <w:tcPr>
            <w:tcW w:w="0" w:type="dxa"/>
            <w:vAlign w:val="bottom"/>
          </w:tcPr>
          <w:p>
            <w:pPr>
              <w:spacing w:after="0"/>
              <w:rPr>
                <w:sz w:val="1"/>
                <w:szCs w:val="1"/>
                <w:color w:val="auto"/>
              </w:rPr>
            </w:pPr>
          </w:p>
        </w:tc>
      </w:tr>
      <w:tr>
        <w:trPr>
          <w:trHeight w:val="316"/>
        </w:trPr>
        <w:tc>
          <w:tcPr>
            <w:tcW w:w="3680" w:type="dxa"/>
            <w:vAlign w:val="bottom"/>
          </w:tcPr>
          <w:p>
            <w:pPr>
              <w:ind w:left="180"/>
              <w:spacing w:after="0"/>
              <w:rPr>
                <w:sz w:val="20"/>
                <w:szCs w:val="20"/>
                <w:color w:val="auto"/>
              </w:rPr>
            </w:pPr>
            <w:r>
              <w:rPr>
                <w:rFonts w:ascii="Arial" w:cs="Arial" w:eastAsia="Arial" w:hAnsi="Arial"/>
                <w:sz w:val="18"/>
                <w:szCs w:val="18"/>
                <w:color w:val="auto"/>
              </w:rPr>
              <w:t>this offering and the private placement</w:t>
            </w:r>
          </w:p>
        </w:tc>
        <w:tc>
          <w:tcPr>
            <w:tcW w:w="4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1640" w:right="839" w:hanging="360"/>
        <w:spacing w:after="0" w:line="277" w:lineRule="auto"/>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 and the forfeiture of 375,000 founder shares by our initial stockholders for no consideration.</w:t>
      </w:r>
    </w:p>
    <w:p>
      <w:pPr>
        <w:spacing w:after="0" w:line="102" w:lineRule="exact"/>
        <w:rPr>
          <w:rFonts w:ascii="Arial" w:cs="Arial" w:eastAsia="Arial" w:hAnsi="Arial"/>
          <w:sz w:val="18"/>
          <w:szCs w:val="18"/>
          <w:color w:val="auto"/>
        </w:rPr>
      </w:pPr>
    </w:p>
    <w:p>
      <w:pPr>
        <w:ind w:left="1640" w:hanging="360"/>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Comprised of 10,000,000 units sold in this offering and 375,000 private placement units.</w:t>
      </w:r>
    </w:p>
    <w:p>
      <w:pPr>
        <w:spacing w:after="0" w:line="144" w:lineRule="exact"/>
        <w:rPr>
          <w:rFonts w:ascii="Arial" w:cs="Arial" w:eastAsia="Arial" w:hAnsi="Arial"/>
          <w:sz w:val="18"/>
          <w:szCs w:val="18"/>
          <w:color w:val="auto"/>
        </w:rPr>
      </w:pPr>
    </w:p>
    <w:p>
      <w:pPr>
        <w:ind w:left="1640" w:right="919" w:hanging="360"/>
        <w:spacing w:after="0" w:line="277" w:lineRule="auto"/>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up to 375,000 founder shares that will be forfeited by our initial stockholders depending on the extent to which the underwriters’ over-allotment option is exercised.</w:t>
      </w:r>
    </w:p>
    <w:p>
      <w:pPr>
        <w:spacing w:after="0" w:line="102" w:lineRule="exact"/>
        <w:rPr>
          <w:rFonts w:ascii="Arial" w:cs="Arial" w:eastAsia="Arial" w:hAnsi="Arial"/>
          <w:sz w:val="18"/>
          <w:szCs w:val="18"/>
          <w:color w:val="auto"/>
        </w:rPr>
      </w:pPr>
    </w:p>
    <w:p>
      <w:pPr>
        <w:ind w:left="1640" w:right="719" w:hanging="360"/>
        <w:spacing w:after="0" w:line="254" w:lineRule="auto"/>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Comprised of 10,000,000 shares of Class A common stock included in the units sold in this offering, 375,000 shares of Class A common stock included in the private placement units to be sold in the private placement and 2,500,000 founder shares. Founder shares are currently classified as shares of Class B common stock, which shares will automatically convert into shares of Class A common stock concurrently with or immediately following the consummation of our initial business combination on a one-for-one basis, subject to adjustment as described below adjacent to the caption “Founder shares conversion and anti-dilution rights.”</w:t>
      </w:r>
    </w:p>
    <w:p>
      <w:pPr>
        <w:spacing w:after="0" w:line="127" w:lineRule="exact"/>
        <w:rPr>
          <w:rFonts w:ascii="Arial" w:cs="Arial" w:eastAsia="Arial" w:hAnsi="Arial"/>
          <w:sz w:val="18"/>
          <w:szCs w:val="18"/>
          <w:color w:val="auto"/>
        </w:rPr>
      </w:pPr>
    </w:p>
    <w:p>
      <w:pPr>
        <w:ind w:left="1640" w:right="1019" w:hanging="360"/>
        <w:spacing w:after="0" w:line="308" w:lineRule="auto"/>
        <w:tabs>
          <w:tab w:leader="none" w:pos="1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Comprised of 5,000,000 public warrants sold in the units to be sold in this offering 187,500 private placement warrants included in the private placement units to be sold in the private placement.</w:t>
      </w:r>
    </w:p>
    <w:p>
      <w:pPr>
        <w:spacing w:after="0" w:line="38" w:lineRule="exact"/>
        <w:rPr>
          <w:sz w:val="20"/>
          <w:szCs w:val="20"/>
          <w:color w:val="auto"/>
        </w:rPr>
      </w:pPr>
    </w:p>
    <w:p>
      <w:pPr>
        <w:ind w:left="1280"/>
        <w:spacing w:after="0"/>
        <w:tabs>
          <w:tab w:leader="none" w:pos="5240" w:val="left"/>
        </w:tabs>
        <w:rPr>
          <w:sz w:val="20"/>
          <w:szCs w:val="20"/>
          <w:color w:val="auto"/>
        </w:rPr>
      </w:pPr>
      <w:r>
        <w:rPr>
          <w:rFonts w:ascii="Arial" w:cs="Arial" w:eastAsia="Arial" w:hAnsi="Arial"/>
          <w:sz w:val="18"/>
          <w:szCs w:val="18"/>
          <w:color w:val="auto"/>
        </w:rPr>
        <w:t>Exercisability</w:t>
      </w:r>
      <w:r>
        <w:rPr>
          <w:sz w:val="20"/>
          <w:szCs w:val="20"/>
          <w:color w:val="auto"/>
        </w:rPr>
        <w:tab/>
      </w:r>
      <w:r>
        <w:rPr>
          <w:rFonts w:ascii="Arial" w:cs="Arial" w:eastAsia="Arial" w:hAnsi="Arial"/>
          <w:sz w:val="18"/>
          <w:szCs w:val="18"/>
          <w:color w:val="auto"/>
        </w:rPr>
        <w:t>Each whole warrant offered in this offering is</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exercisable to purchase one share of Class A common</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stock. Only whole warrants are exercisable. No</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fractional warrants will be issued upon separation of</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units and only whole warrants will trade.</w:t>
      </w:r>
    </w:p>
    <w:p>
      <w:pPr>
        <w:spacing w:after="0" w:line="13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We structured each unit to contain one-half of one</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warrant, with each whole warrant exercisable for one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share of Class A common stock, as compared to units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issued by some other similar special purpose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acquisition companies which contain whole warrants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exercisable for one whole share, in order to reduce the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dilutive effect of the warrants upon completion of a</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business combination as compared to units that each</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contain a whole warrant to purchase one whole share,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thus making us, we believe, a more attractive business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combination partner for target businesses.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8044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804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Exercise price</w:t>
            </w: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7"/>
              </w:rPr>
              <w:t>$11.50 per share, subject to adjustments as described</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9"/>
              </w:rPr>
              <w:t>herein. In addition, if (x) we issue additional shares of</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rPr>
              <w:t>Class A common stock or equity-linked securities for</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8"/>
              </w:rPr>
              <w:t>capital raising purposes in connection with the closing</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8"/>
              </w:rPr>
              <w:t>of our initial business combination at an issue price or</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rPr>
              <w:t>effective issue price of less than $9.20 per share of</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rPr>
              <w:t>Class A common stock (with such issue price or</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8"/>
              </w:rPr>
              <w:t>effective issue price to be determined in good faith by</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rPr>
              <w:t>our board of directors and, in the case of any such</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rPr>
              <w:t>issuance to our initial stockholders or their affiliates,</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6"/>
              </w:rPr>
              <w:t>without taking into account any founder shares held by</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6"/>
              </w:rPr>
              <w:t>our initial stockholders or such affiliates, as applicable,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rPr>
              <w:t>prior to such issuance) (the “Newly Issued Price”),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6"/>
              </w:rPr>
              <w:t>(y) the aggregate gross proceeds from such issuances</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7"/>
              </w:rPr>
              <w:t>represent more than 60% of the total equity proceeds,</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rPr>
              <w:t>and interest thereon, available for the funding of our</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rPr>
              <w:t>initial business combination on the date of the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8"/>
              </w:rPr>
              <w:t>consummation of our initial business combination (net</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7"/>
              </w:rPr>
              <w:t>of redemptions), and (z) the volume weighted average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9"/>
              </w:rPr>
              <w:t>trading price of our Class A common stock during the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9"/>
              </w:rPr>
              <w:t>20 trading day period starting on the trading day after</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9"/>
              </w:rPr>
              <w:t>the day on which we consummate our initial business</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9"/>
              </w:rPr>
              <w:t>combination (such price, the “Market Value”) is below</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7"/>
              </w:rPr>
              <w:t>$9.20 per share, the exercise price of the warrants will</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4"/>
              </w:rPr>
              <w:t>be adjusted (to the nearest cent) to be equal to 115% of</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rPr>
              <w:t>the higher of the Market Value and the Newly Issued</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3"/>
              </w:rPr>
              <w:t>Price, and the $18.00 per share redemption trigger price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rPr>
              <w:t>described below under “Redemption of warrants for</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7"/>
              </w:rPr>
              <w:t>cash” will be adjusted (to the nearest cent) to be equal</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rPr>
              <w:t>to 180% of the higher of the Market Value and the</w:t>
            </w:r>
          </w:p>
        </w:tc>
      </w:tr>
      <w:tr>
        <w:trPr>
          <w:trHeight w:val="230"/>
        </w:trPr>
        <w:tc>
          <w:tcPr>
            <w:tcW w:w="2580" w:type="dxa"/>
            <w:vAlign w:val="bottom"/>
          </w:tcPr>
          <w:p>
            <w:pPr>
              <w:spacing w:after="0"/>
              <w:rPr>
                <w:sz w:val="20"/>
                <w:szCs w:val="20"/>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rPr>
              <w:t>Newly Issued Price.</w:t>
            </w:r>
          </w:p>
        </w:tc>
      </w:tr>
      <w:tr>
        <w:trPr>
          <w:trHeight w:val="324"/>
        </w:trPr>
        <w:tc>
          <w:tcPr>
            <w:tcW w:w="2580" w:type="dxa"/>
            <w:vAlign w:val="bottom"/>
          </w:tcPr>
          <w:p>
            <w:pPr>
              <w:spacing w:after="0"/>
              <w:rPr>
                <w:sz w:val="20"/>
                <w:szCs w:val="20"/>
                <w:color w:val="auto"/>
              </w:rPr>
            </w:pPr>
            <w:r>
              <w:rPr>
                <w:rFonts w:ascii="Arial" w:cs="Arial" w:eastAsia="Arial" w:hAnsi="Arial"/>
                <w:sz w:val="18"/>
                <w:szCs w:val="18"/>
                <w:color w:val="auto"/>
              </w:rPr>
              <w:t>Exercise period</w:t>
            </w: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9"/>
              </w:rPr>
              <w:t>The warrants will become exercisable on the later of:</w:t>
            </w:r>
          </w:p>
        </w:tc>
      </w:tr>
      <w:tr>
        <w:trPr>
          <w:trHeight w:val="350"/>
        </w:trPr>
        <w:tc>
          <w:tcPr>
            <w:tcW w:w="2580" w:type="dxa"/>
            <w:vAlign w:val="bottom"/>
          </w:tcPr>
          <w:p>
            <w:pPr>
              <w:spacing w:after="0"/>
              <w:rPr>
                <w:sz w:val="24"/>
                <w:szCs w:val="24"/>
                <w:color w:val="auto"/>
              </w:rPr>
            </w:pPr>
          </w:p>
        </w:tc>
        <w:tc>
          <w:tcPr>
            <w:tcW w:w="1600" w:type="dxa"/>
            <w:vAlign w:val="bottom"/>
          </w:tcPr>
          <w:p>
            <w:pPr>
              <w:ind w:left="1400"/>
              <w:spacing w:after="0"/>
              <w:rPr>
                <w:sz w:val="20"/>
                <w:szCs w:val="20"/>
                <w:color w:val="auto"/>
              </w:rPr>
            </w:pPr>
            <w:r>
              <w:rPr>
                <w:rFonts w:ascii="Arial" w:cs="Arial" w:eastAsia="Arial" w:hAnsi="Arial"/>
                <w:sz w:val="18"/>
                <w:szCs w:val="18"/>
                <w:color w:val="auto"/>
              </w:rPr>
              <w:t>•</w:t>
            </w:r>
          </w:p>
        </w:tc>
        <w:tc>
          <w:tcPr>
            <w:tcW w:w="4020" w:type="dxa"/>
            <w:vAlign w:val="bottom"/>
          </w:tcPr>
          <w:p>
            <w:pPr>
              <w:ind w:left="160"/>
              <w:spacing w:after="0"/>
              <w:rPr>
                <w:sz w:val="20"/>
                <w:szCs w:val="20"/>
                <w:color w:val="auto"/>
              </w:rPr>
            </w:pPr>
            <w:r>
              <w:rPr>
                <w:rFonts w:ascii="Arial" w:cs="Arial" w:eastAsia="Arial" w:hAnsi="Arial"/>
                <w:sz w:val="18"/>
                <w:szCs w:val="18"/>
                <w:color w:val="auto"/>
                <w:w w:val="96"/>
              </w:rPr>
              <w:t>30 days after the completion of our initial business</w:t>
            </w:r>
          </w:p>
        </w:tc>
      </w:tr>
      <w:tr>
        <w:trPr>
          <w:trHeight w:val="230"/>
        </w:trPr>
        <w:tc>
          <w:tcPr>
            <w:tcW w:w="2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combination, and</w:t>
            </w:r>
          </w:p>
        </w:tc>
      </w:tr>
      <w:tr>
        <w:trPr>
          <w:trHeight w:val="365"/>
        </w:trPr>
        <w:tc>
          <w:tcPr>
            <w:tcW w:w="2580" w:type="dxa"/>
            <w:vAlign w:val="bottom"/>
          </w:tcPr>
          <w:p>
            <w:pPr>
              <w:spacing w:after="0"/>
              <w:rPr>
                <w:sz w:val="24"/>
                <w:szCs w:val="24"/>
                <w:color w:val="auto"/>
              </w:rPr>
            </w:pPr>
          </w:p>
        </w:tc>
        <w:tc>
          <w:tcPr>
            <w:tcW w:w="1600" w:type="dxa"/>
            <w:vAlign w:val="bottom"/>
          </w:tcPr>
          <w:p>
            <w:pPr>
              <w:ind w:left="1400"/>
              <w:spacing w:after="0"/>
              <w:rPr>
                <w:sz w:val="20"/>
                <w:szCs w:val="20"/>
                <w:color w:val="auto"/>
              </w:rPr>
            </w:pPr>
            <w:r>
              <w:rPr>
                <w:rFonts w:ascii="Arial" w:cs="Arial" w:eastAsia="Arial" w:hAnsi="Arial"/>
                <w:sz w:val="18"/>
                <w:szCs w:val="18"/>
                <w:color w:val="auto"/>
              </w:rPr>
              <w:t>•</w:t>
            </w:r>
          </w:p>
        </w:tc>
        <w:tc>
          <w:tcPr>
            <w:tcW w:w="4020" w:type="dxa"/>
            <w:vAlign w:val="bottom"/>
          </w:tcPr>
          <w:p>
            <w:pPr>
              <w:ind w:left="160"/>
              <w:spacing w:after="0"/>
              <w:rPr>
                <w:sz w:val="20"/>
                <w:szCs w:val="20"/>
                <w:color w:val="auto"/>
              </w:rPr>
            </w:pPr>
            <w:r>
              <w:rPr>
                <w:rFonts w:ascii="Arial" w:cs="Arial" w:eastAsia="Arial" w:hAnsi="Arial"/>
                <w:sz w:val="18"/>
                <w:szCs w:val="18"/>
                <w:color w:val="auto"/>
              </w:rPr>
              <w:t>12 months from the closing of this offering;</w:t>
            </w:r>
          </w:p>
        </w:tc>
      </w:tr>
      <w:tr>
        <w:trPr>
          <w:trHeight w:val="337"/>
        </w:trPr>
        <w:tc>
          <w:tcPr>
            <w:tcW w:w="2580" w:type="dxa"/>
            <w:vAlign w:val="bottom"/>
          </w:tcPr>
          <w:p>
            <w:pPr>
              <w:spacing w:after="0"/>
              <w:rPr>
                <w:sz w:val="24"/>
                <w:szCs w:val="24"/>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rPr>
              <w:t>provided in each case that we have an effective</w:t>
            </w:r>
          </w:p>
        </w:tc>
      </w:tr>
      <w:tr>
        <w:trPr>
          <w:trHeight w:val="230"/>
        </w:trPr>
        <w:tc>
          <w:tcPr>
            <w:tcW w:w="2580" w:type="dxa"/>
            <w:vAlign w:val="bottom"/>
          </w:tcPr>
          <w:p>
            <w:pPr>
              <w:spacing w:after="0"/>
              <w:rPr>
                <w:sz w:val="20"/>
                <w:szCs w:val="20"/>
                <w:color w:val="auto"/>
              </w:rPr>
            </w:pPr>
          </w:p>
        </w:tc>
        <w:tc>
          <w:tcPr>
            <w:tcW w:w="5620" w:type="dxa"/>
            <w:vAlign w:val="bottom"/>
            <w:gridSpan w:val="2"/>
          </w:tcPr>
          <w:p>
            <w:pPr>
              <w:ind w:left="1400"/>
              <w:spacing w:after="0"/>
              <w:rPr>
                <w:sz w:val="20"/>
                <w:szCs w:val="20"/>
                <w:color w:val="auto"/>
              </w:rPr>
            </w:pPr>
            <w:r>
              <w:rPr>
                <w:rFonts w:ascii="Arial" w:cs="Arial" w:eastAsia="Arial" w:hAnsi="Arial"/>
                <w:sz w:val="18"/>
                <w:szCs w:val="18"/>
                <w:color w:val="auto"/>
                <w:w w:val="94"/>
              </w:rPr>
              <w:t>registration statement under the Securities Act covering</w:t>
            </w:r>
          </w:p>
        </w:tc>
      </w:tr>
    </w:tbl>
    <w:p>
      <w:pPr>
        <w:ind w:left="5260"/>
        <w:spacing w:after="0"/>
        <w:rPr>
          <w:sz w:val="20"/>
          <w:szCs w:val="20"/>
          <w:color w:val="auto"/>
        </w:rPr>
      </w:pPr>
      <w:r>
        <w:rPr>
          <w:rFonts w:ascii="Arial" w:cs="Arial" w:eastAsia="Arial" w:hAnsi="Arial"/>
          <w:sz w:val="18"/>
          <w:szCs w:val="18"/>
          <w:color w:val="auto"/>
        </w:rPr>
        <w:t>the shares of Class A common stock issuable upon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exercise of the warrants and a current prospectus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relating to them is available and such shares are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registered, qualified or exempt from registration under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 securities, or blue sky, laws of the state of residence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 the holder (or we permit holders to exercise their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warrants on a cashless basis under the circumstances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specified in the warrant agreement). If and when the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warrants become redeemable by us, we may exercise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our redemption right even if we do not register or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qualify the underlying securities for sale under all</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applicable state securities laws.</w:t>
      </w:r>
    </w:p>
    <w:p>
      <w:pPr>
        <w:spacing w:after="0" w:line="14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We are not registering the shares of Class A common</w:t>
      </w:r>
    </w:p>
    <w:p>
      <w:pPr>
        <w:spacing w:after="0" w:line="3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stock issuable upon exercise of the warrants at this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time. However, we have agreed that as soon as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practicable,</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but in no event later than 15 business days after the</w:t>
      </w:r>
    </w:p>
    <w:p>
      <w:pPr>
        <w:spacing w:after="0" w:line="1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closing of our initial business combination, we will use</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our best efforts to file with the SEC and have an</w:t>
      </w:r>
    </w:p>
    <w:p>
      <w:pPr>
        <w:ind w:left="5260"/>
        <w:spacing w:after="0"/>
        <w:rPr>
          <w:sz w:val="20"/>
          <w:szCs w:val="20"/>
          <w:color w:val="auto"/>
        </w:rPr>
      </w:pPr>
      <w:r>
        <w:rPr>
          <w:rFonts w:ascii="Arial" w:cs="Arial" w:eastAsia="Arial" w:hAnsi="Arial"/>
          <w:sz w:val="17"/>
          <w:szCs w:val="17"/>
          <w:color w:val="auto"/>
        </w:rPr>
        <w:t>effective registration statement covering the shares of</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Class A common stock issuable upon exercise of the</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warrants and to maintain a current prospectus relating</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to those shares of Class A common stock until the</w:t>
      </w:r>
    </w:p>
    <w:p>
      <w:pPr>
        <w:ind w:left="5260"/>
        <w:spacing w:after="0" w:line="234" w:lineRule="auto"/>
        <w:rPr>
          <w:sz w:val="20"/>
          <w:szCs w:val="20"/>
          <w:color w:val="auto"/>
        </w:rPr>
      </w:pPr>
      <w:r>
        <w:rPr>
          <w:rFonts w:ascii="Arial" w:cs="Arial" w:eastAsia="Arial" w:hAnsi="Arial"/>
          <w:sz w:val="18"/>
          <w:szCs w:val="18"/>
          <w:color w:val="auto"/>
        </w:rPr>
        <w:t>warrants expire or are redeemed, as specified in the</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warrant agreement. If a registration statement covering</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 Class A common stock issuable upon exercise of</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 warrants is not effective by the 60th business day</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after the closing of our initial business combination,</w:t>
      </w:r>
    </w:p>
    <w:p>
      <w:pPr>
        <w:ind w:left="5260"/>
        <w:spacing w:after="0" w:line="234" w:lineRule="auto"/>
        <w:rPr>
          <w:sz w:val="20"/>
          <w:szCs w:val="20"/>
          <w:color w:val="auto"/>
        </w:rPr>
      </w:pPr>
      <w:r>
        <w:rPr>
          <w:rFonts w:ascii="Arial" w:cs="Arial" w:eastAsia="Arial" w:hAnsi="Arial"/>
          <w:sz w:val="18"/>
          <w:szCs w:val="18"/>
          <w:color w:val="auto"/>
        </w:rPr>
        <w:t>warrant holders may, until such time as there is an</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effective registration statement and during any period</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when we will have failed to maintain an effective</w:t>
      </w:r>
    </w:p>
    <w:p>
      <w:pPr>
        <w:ind w:left="5260"/>
        <w:spacing w:after="0"/>
        <w:rPr>
          <w:sz w:val="20"/>
          <w:szCs w:val="20"/>
          <w:color w:val="auto"/>
        </w:rPr>
      </w:pPr>
      <w:r>
        <w:rPr>
          <w:rFonts w:ascii="Arial" w:cs="Arial" w:eastAsia="Arial" w:hAnsi="Arial"/>
          <w:sz w:val="16"/>
          <w:szCs w:val="16"/>
          <w:color w:val="auto"/>
        </w:rPr>
        <w:t>registration statement, exercise warrants on a “cashless</w:t>
      </w:r>
    </w:p>
    <w:p>
      <w:pPr>
        <w:spacing w:after="0" w:line="1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basis” in accordance with Section 3(a)(9) of the</w:t>
      </w:r>
    </w:p>
    <w:p>
      <w:pPr>
        <w:ind w:left="5260"/>
        <w:spacing w:after="0"/>
        <w:rPr>
          <w:sz w:val="20"/>
          <w:szCs w:val="20"/>
          <w:color w:val="auto"/>
        </w:rPr>
      </w:pPr>
      <w:r>
        <w:rPr>
          <w:rFonts w:ascii="Arial" w:cs="Arial" w:eastAsia="Arial" w:hAnsi="Arial"/>
          <w:sz w:val="17"/>
          <w:szCs w:val="17"/>
          <w:color w:val="auto"/>
        </w:rPr>
        <w:t>Securities Act or another exemption. Notwithstanding</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the above, if our shares of Class A common stock are at</w:t>
      </w:r>
    </w:p>
    <w:p>
      <w:pPr>
        <w:spacing w:after="0" w:line="1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time of any exercise of a warrant not listed on a</w:t>
      </w:r>
    </w:p>
    <w:p>
      <w:pPr>
        <w:ind w:left="5260"/>
        <w:spacing w:after="0"/>
        <w:rPr>
          <w:sz w:val="20"/>
          <w:szCs w:val="20"/>
          <w:color w:val="auto"/>
        </w:rPr>
      </w:pPr>
      <w:r>
        <w:rPr>
          <w:rFonts w:ascii="Arial" w:cs="Arial" w:eastAsia="Arial" w:hAnsi="Arial"/>
          <w:sz w:val="17"/>
          <w:szCs w:val="17"/>
          <w:color w:val="auto"/>
        </w:rPr>
        <w:t>national securities exchange such that they satisfy the</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definition of a “covered security” under Section 18(b)</w:t>
      </w:r>
    </w:p>
    <w:p>
      <w:pPr>
        <w:ind w:left="5260"/>
        <w:spacing w:after="0"/>
        <w:rPr>
          <w:sz w:val="20"/>
          <w:szCs w:val="20"/>
          <w:color w:val="auto"/>
        </w:rPr>
      </w:pPr>
      <w:r>
        <w:rPr>
          <w:rFonts w:ascii="Arial" w:cs="Arial" w:eastAsia="Arial" w:hAnsi="Arial"/>
          <w:sz w:val="17"/>
          <w:szCs w:val="17"/>
          <w:color w:val="auto"/>
        </w:rPr>
        <w:t>(1) of the Securities Act, we may, at our option, require</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holders of public warrants who exercise their warrants</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to do so on a “cashless basis” in accordance with</w:t>
      </w:r>
    </w:p>
    <w:p>
      <w:pPr>
        <w:ind w:left="5260"/>
        <w:spacing w:after="0"/>
        <w:rPr>
          <w:sz w:val="20"/>
          <w:szCs w:val="20"/>
          <w:color w:val="auto"/>
        </w:rPr>
      </w:pPr>
      <w:r>
        <w:rPr>
          <w:rFonts w:ascii="Arial" w:cs="Arial" w:eastAsia="Arial" w:hAnsi="Arial"/>
          <w:sz w:val="17"/>
          <w:szCs w:val="17"/>
          <w:color w:val="auto"/>
        </w:rPr>
        <w:t>Section 3(a)(9) of the Securities Act and, in the event</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we so elect, we will not be required to file or maintain</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in effect a registration statement, and in the event we</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do not so elect, we will use our best efforts to register</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or qualify the shares under applicable blue sky laws to</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extent an exemption is not available.</w:t>
      </w:r>
    </w:p>
    <w:p>
      <w:pPr>
        <w:spacing w:after="0" w:line="88" w:lineRule="exact"/>
        <w:rPr>
          <w:sz w:val="20"/>
          <w:szCs w:val="20"/>
          <w:color w:val="auto"/>
        </w:rPr>
      </w:pPr>
    </w:p>
    <w:p>
      <w:pPr>
        <w:jc w:val="both"/>
        <w:ind w:left="5260" w:right="699" w:hanging="3977"/>
        <w:spacing w:after="0" w:line="311" w:lineRule="auto"/>
        <w:tabs>
          <w:tab w:leader="none" w:pos="5240" w:val="left"/>
        </w:tabs>
        <w:rPr>
          <w:sz w:val="20"/>
          <w:szCs w:val="20"/>
          <w:color w:val="auto"/>
        </w:rPr>
      </w:pPr>
      <w:r>
        <w:rPr>
          <w:rFonts w:ascii="Arial" w:cs="Arial" w:eastAsia="Arial" w:hAnsi="Arial"/>
          <w:sz w:val="18"/>
          <w:szCs w:val="18"/>
          <w:color w:val="auto"/>
        </w:rPr>
        <w:t>Redemption of warrants for cash</w:t>
      </w:r>
      <w:r>
        <w:rPr>
          <w:sz w:val="20"/>
          <w:szCs w:val="20"/>
          <w:color w:val="auto"/>
        </w:rPr>
        <w:tab/>
      </w:r>
      <w:r>
        <w:rPr>
          <w:rFonts w:ascii="Arial" w:cs="Arial" w:eastAsia="Arial" w:hAnsi="Arial"/>
          <w:sz w:val="16"/>
          <w:szCs w:val="16"/>
          <w:color w:val="auto"/>
        </w:rPr>
        <w:t>Once the warrants become exercisable, we may redeem the outstanding warrants for cash (except as described herein with respect to the private placement warrants):</w:t>
      </w:r>
    </w:p>
    <w:p>
      <w:pPr>
        <w:spacing w:after="0" w:line="68"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 whole and not in part;</w:t>
      </w:r>
    </w:p>
    <w:p>
      <w:pPr>
        <w:spacing w:after="0" w:line="158"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at a price of $0.01 per warrant;</w:t>
      </w:r>
    </w:p>
    <w:p>
      <w:pPr>
        <w:spacing w:after="0" w:line="144"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upon a minimum of 30 days’ prior written notice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redemption, which we refer to as the 30-day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redemption period; and</w:t>
      </w:r>
    </w:p>
    <w:p>
      <w:pPr>
        <w:spacing w:after="0" w:line="143"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if, and only if, the closing price of our Class 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common stock equals or exceeds $18.00 per share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(as adjusted for stock splits, stock capitalizations,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reorganizations, recapitalizations and the like) for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any 20 trading days within a 30-trading day period</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ending on the third trading day prior to the date on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which we send the notice of redemption to the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warrant holders.</w:t>
      </w:r>
    </w:p>
    <w:p>
      <w:pPr>
        <w:spacing w:after="0" w:line="1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We will not redeem the warrants for cash unless an</w:t>
      </w:r>
    </w:p>
    <w:p>
      <w:pPr>
        <w:spacing w:after="0" w:line="1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effective registration statement under the Securities Act</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covering the Class A common stock issuable upon</w:t>
      </w:r>
    </w:p>
    <w:p>
      <w:pPr>
        <w:ind w:left="5260"/>
        <w:spacing w:after="0" w:line="234" w:lineRule="auto"/>
        <w:rPr>
          <w:sz w:val="20"/>
          <w:szCs w:val="20"/>
          <w:color w:val="auto"/>
        </w:rPr>
      </w:pPr>
      <w:r>
        <w:rPr>
          <w:rFonts w:ascii="Arial" w:cs="Arial" w:eastAsia="Arial" w:hAnsi="Arial"/>
          <w:sz w:val="18"/>
          <w:szCs w:val="18"/>
          <w:color w:val="auto"/>
        </w:rPr>
        <w:t>exercise of the warrants is effective and a current</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prospectus relating to those shares of Class A common</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stock is available throughout the 30-day redemption</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period, except if the warrants may be exercised on a</w:t>
      </w:r>
    </w:p>
    <w:p>
      <w:pPr>
        <w:ind w:left="5260"/>
        <w:spacing w:after="0"/>
        <w:rPr>
          <w:sz w:val="20"/>
          <w:szCs w:val="20"/>
          <w:color w:val="auto"/>
        </w:rPr>
      </w:pPr>
      <w:r>
        <w:rPr>
          <w:rFonts w:ascii="Arial" w:cs="Arial" w:eastAsia="Arial" w:hAnsi="Arial"/>
          <w:sz w:val="17"/>
          <w:szCs w:val="17"/>
          <w:color w:val="auto"/>
        </w:rPr>
        <w:t>cashless basis and such cashless exercise is exempt</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from registration under the Securities Act. If and when</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warrants become redeemable by us, we may</w:t>
      </w:r>
    </w:p>
    <w:p>
      <w:pPr>
        <w:ind w:left="5260"/>
        <w:spacing w:after="0"/>
        <w:rPr>
          <w:sz w:val="20"/>
          <w:szCs w:val="20"/>
          <w:color w:val="auto"/>
        </w:rPr>
      </w:pPr>
      <w:r>
        <w:rPr>
          <w:rFonts w:ascii="Arial" w:cs="Arial" w:eastAsia="Arial" w:hAnsi="Arial"/>
          <w:sz w:val="17"/>
          <w:szCs w:val="17"/>
          <w:color w:val="auto"/>
        </w:rPr>
        <w:t>exercise our redemption right even if we are unable to</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register or qualify the underlying securities for sale</w:t>
      </w:r>
    </w:p>
    <w:p>
      <w:pPr>
        <w:ind w:left="5260"/>
        <w:spacing w:after="0"/>
        <w:rPr>
          <w:sz w:val="20"/>
          <w:szCs w:val="20"/>
          <w:color w:val="auto"/>
        </w:rPr>
      </w:pPr>
      <w:r>
        <w:rPr>
          <w:rFonts w:ascii="Arial" w:cs="Arial" w:eastAsia="Arial" w:hAnsi="Arial"/>
          <w:sz w:val="18"/>
          <w:szCs w:val="18"/>
          <w:color w:val="auto"/>
        </w:rPr>
        <w:t>under all applicable state securities laws.</w:t>
      </w:r>
    </w:p>
    <w:p>
      <w:pPr>
        <w:spacing w:after="0" w:line="1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None of the private placement warrants will be</w:t>
      </w:r>
    </w:p>
    <w:p>
      <w:pPr>
        <w:spacing w:after="0" w:line="1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redeemable by us for cash so long as they are held by</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 initial purchasers of the private placement warrants</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 their permitted transferees.</w:t>
      </w:r>
    </w:p>
    <w:p>
      <w:pPr>
        <w:spacing w:after="0" w:line="88" w:lineRule="exact"/>
        <w:rPr>
          <w:sz w:val="20"/>
          <w:szCs w:val="20"/>
          <w:color w:val="auto"/>
        </w:rPr>
      </w:pPr>
    </w:p>
    <w:p>
      <w:pPr>
        <w:ind w:left="1280"/>
        <w:spacing w:after="0"/>
        <w:tabs>
          <w:tab w:leader="none" w:pos="5240" w:val="left"/>
        </w:tabs>
        <w:rPr>
          <w:sz w:val="20"/>
          <w:szCs w:val="20"/>
          <w:color w:val="auto"/>
        </w:rPr>
      </w:pPr>
      <w:r>
        <w:rPr>
          <w:rFonts w:ascii="Arial" w:cs="Arial" w:eastAsia="Arial" w:hAnsi="Arial"/>
          <w:sz w:val="18"/>
          <w:szCs w:val="18"/>
          <w:color w:val="auto"/>
        </w:rPr>
        <w:t>Cashless exercise</w:t>
      </w:r>
      <w:r>
        <w:rPr>
          <w:sz w:val="20"/>
          <w:szCs w:val="20"/>
          <w:color w:val="auto"/>
        </w:rPr>
        <w:tab/>
      </w:r>
      <w:r>
        <w:rPr>
          <w:rFonts w:ascii="Arial" w:cs="Arial" w:eastAsia="Arial" w:hAnsi="Arial"/>
          <w:sz w:val="17"/>
          <w:szCs w:val="17"/>
          <w:color w:val="auto"/>
        </w:rPr>
        <w:t>If we call the warrants for redemption as described</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above, our management will have the option to require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all holders that wish to exercise warrants to do so on a</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“cashless basis.” In determining whether to require all</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holders to exercise their warrants on a “cashless basis,”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our management will consider, among other factors, our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cash position, the number of warrants that are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outstanding and the dilutive effect on our stockholders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 issuing the maximum number of shares of Class A</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common stock issuable upon the exercise of our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warrants. In such event, each holder would pay the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exercise price by surrendering the warrants for that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number of shares of Class A common stock equal to the</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quotient obtained by dividing (x) the product of the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number of shares of Class A common stock underlying</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warrants, multiplied by the excess of the “fair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market value” of our Class A common stock (defined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below) over the exercise price of the warrants by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(y) the fair market value. The “fair market value” will</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mean the average reported closing price of the Class A</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common stock for the 10 trading days ending on the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third trading day prior to the date on which the notice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of redemption is sent to the holders of warrants. Please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see “Description of Securities — Warrants — Public</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Stockholders’ Warrants” for additional information.</w:t>
      </w:r>
    </w:p>
    <w:p>
      <w:pPr>
        <w:spacing w:after="0" w:line="103" w:lineRule="exact"/>
        <w:rPr>
          <w:sz w:val="20"/>
          <w:szCs w:val="20"/>
          <w:color w:val="auto"/>
        </w:rPr>
      </w:pPr>
    </w:p>
    <w:p>
      <w:pPr>
        <w:ind w:left="1280"/>
        <w:spacing w:after="0"/>
        <w:tabs>
          <w:tab w:leader="none" w:pos="5240" w:val="left"/>
        </w:tabs>
        <w:rPr>
          <w:sz w:val="20"/>
          <w:szCs w:val="20"/>
          <w:color w:val="auto"/>
        </w:rPr>
      </w:pPr>
      <w:r>
        <w:rPr>
          <w:rFonts w:ascii="Arial" w:cs="Arial" w:eastAsia="Arial" w:hAnsi="Arial"/>
          <w:sz w:val="18"/>
          <w:szCs w:val="18"/>
          <w:color w:val="auto"/>
        </w:rPr>
        <w:t>Founder shares</w:t>
      </w:r>
      <w:r>
        <w:rPr>
          <w:sz w:val="20"/>
          <w:szCs w:val="20"/>
          <w:color w:val="auto"/>
        </w:rPr>
        <w:tab/>
      </w:r>
      <w:r>
        <w:rPr>
          <w:rFonts w:ascii="Arial" w:cs="Arial" w:eastAsia="Arial" w:hAnsi="Arial"/>
          <w:sz w:val="16"/>
          <w:szCs w:val="16"/>
          <w:color w:val="auto"/>
        </w:rPr>
        <w:t>On June 10, 2020, our sponsor purchased an aggregate</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of 2,875,000 founder shares in exchange for a capital</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contribution of $25,000, or approximately $0.009 per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share. In June 2020, our sponsor transferred 30,000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founder shares to each of David Colpman, Antony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Loebel and Robert Taub, resulting in our sponsor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holding 2,785,000 founder shares. Prior to the initial</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investment in the company of $25,000 by the sponsor,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 company had no assets, tangible or intangible. The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per share price of the founder shares was determined by</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dividing the amount of cash contributed to the company</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by the number of founder shares issued. The number of</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founder shares outstanding was determined based on</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 expectation that the total size of this offering would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be a maximum of 11,500,000 units if the underwriters’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over-allotment option is exercised in</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full, and therefore that such founder shares would</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represent 20% of the outstanding shares after this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offering, excluding the private placement shares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underlying the private placement units. Up to 375,000</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of the founder shares will be forfeited depending on the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extent to which the underwriters’ over-allotment option</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is not exercised. If we increase or decrease the size of</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offering pursuant to Rule 462(b) under the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Securities Act, we will effect a stock dividend or share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contribution back to capital or other appropriate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mechanism, as applicable, with respect to our Class B</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common stock immediately prior to the consummation</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 the offering in such amount as to maintain the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ownership of founder shares by our initial stockholders,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on an as-converted basis, at 20.0% of our issued and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outstanding common stock (not including the private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placement shares) upon the consummation of this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offering.</w:t>
      </w:r>
    </w:p>
    <w:p>
      <w:pPr>
        <w:spacing w:after="0" w:line="13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founder shares are identical to the shares of</w:t>
      </w:r>
    </w:p>
    <w:p>
      <w:pPr>
        <w:spacing w:after="0" w:line="1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Class A common stock included in the units being sold</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this offering, except that:</w:t>
      </w:r>
    </w:p>
    <w:p>
      <w:pPr>
        <w:spacing w:after="0" w:line="128"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founder shares are subject to certain transfer</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restrictions, as described in more detail below;</w:t>
      </w:r>
    </w:p>
    <w:p>
      <w:pPr>
        <w:spacing w:after="0" w:line="143"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our initial stockholders, sponsor, officers and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directors have entered into a letter agreement with</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us, pursuant to which they have agreed to (i) waive</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their redemption rights with respect to any founder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shares and public shares they hold in connection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with the completion of our initial business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combination, (ii) waive their redemption rights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with respect to any founder shares and public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shares they hold in connection with a stockholder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vote to approve an amendment to our amended and</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restated certificate of incorporation to modify the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substance or timing of our obligation to redeem</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100% of our public shares if we have not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consummated an initial business combination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within 18 months from the closing of this offering</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or with respect to any other material provisions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relating to stockholders’ rights or pre-initial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business combination activity and (iii) waive their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rights to liquidating distributions from the trust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account with respect to any founder shares they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hold if we fail to complete our initial business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combination within 18 months from the closing of</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this offering (although they will be entitled to</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liquidating distributions from the trust account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with respect to any public shares they hold if we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fail to complete our initial business combination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within the prescribed time frame).</w:t>
      </w:r>
    </w:p>
    <w:p>
      <w:pPr>
        <w:spacing w:after="0" w:line="130"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If we submit our initial business combination to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our public stockholders for a vote, our initial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stockholders have agreed to vote their founder</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shares and any public shares purchased during or</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after this offering in favor of our initial business</w:t>
      </w:r>
    </w:p>
    <w:p>
      <w:pPr>
        <w:ind w:left="5620"/>
        <w:spacing w:after="0" w:line="234" w:lineRule="auto"/>
        <w:rPr>
          <w:sz w:val="20"/>
          <w:szCs w:val="20"/>
          <w:color w:val="auto"/>
        </w:rPr>
      </w:pPr>
      <w:r>
        <w:rPr>
          <w:rFonts w:ascii="Arial" w:cs="Arial" w:eastAsia="Arial" w:hAnsi="Arial"/>
          <w:sz w:val="18"/>
          <w:szCs w:val="18"/>
          <w:color w:val="auto"/>
        </w:rPr>
        <w:t>combination. As a result, in addition to our initial</w:t>
      </w:r>
    </w:p>
    <w:p>
      <w:pPr>
        <w:ind w:left="5620"/>
        <w:spacing w:after="0" w:line="235" w:lineRule="auto"/>
        <w:rPr>
          <w:sz w:val="20"/>
          <w:szCs w:val="20"/>
          <w:color w:val="auto"/>
        </w:rPr>
      </w:pPr>
      <w:r>
        <w:rPr>
          <w:rFonts w:ascii="Arial" w:cs="Arial" w:eastAsia="Arial" w:hAnsi="Arial"/>
          <w:sz w:val="18"/>
          <w:szCs w:val="18"/>
          <w:color w:val="auto"/>
        </w:rPr>
        <w:t>stockholders’ founder shares and private</w:t>
      </w:r>
    </w:p>
    <w:p>
      <w:pPr>
        <w:ind w:left="5620"/>
        <w:spacing w:after="0" w:line="235" w:lineRule="auto"/>
        <w:rPr>
          <w:sz w:val="20"/>
          <w:szCs w:val="20"/>
          <w:color w:val="auto"/>
        </w:rPr>
      </w:pPr>
      <w:r>
        <w:rPr>
          <w:rFonts w:ascii="Arial" w:cs="Arial" w:eastAsia="Arial" w:hAnsi="Arial"/>
          <w:sz w:val="18"/>
          <w:szCs w:val="18"/>
          <w:color w:val="auto"/>
        </w:rPr>
        <w:t>placement shares, we would need 3,562,501, or</w:t>
      </w:r>
    </w:p>
    <w:p>
      <w:pPr>
        <w:ind w:left="5620"/>
        <w:spacing w:after="0"/>
        <w:rPr>
          <w:sz w:val="20"/>
          <w:szCs w:val="20"/>
          <w:color w:val="auto"/>
        </w:rPr>
      </w:pPr>
      <w:r>
        <w:rPr>
          <w:rFonts w:ascii="Arial" w:cs="Arial" w:eastAsia="Arial" w:hAnsi="Arial"/>
          <w:sz w:val="17"/>
          <w:szCs w:val="17"/>
          <w:color w:val="auto"/>
        </w:rPr>
        <w:t>35.6%, of the 10,000,000 public shares sold in this</w:t>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offering to be voted in favor of an initial business</w:t>
      </w:r>
    </w:p>
    <w:p>
      <w:pPr>
        <w:ind w:left="5620"/>
        <w:spacing w:after="0" w:line="234" w:lineRule="auto"/>
        <w:rPr>
          <w:sz w:val="20"/>
          <w:szCs w:val="20"/>
          <w:color w:val="auto"/>
        </w:rPr>
      </w:pPr>
      <w:r>
        <w:rPr>
          <w:rFonts w:ascii="Arial" w:cs="Arial" w:eastAsia="Arial" w:hAnsi="Arial"/>
          <w:sz w:val="18"/>
          <w:szCs w:val="18"/>
          <w:color w:val="auto"/>
        </w:rPr>
        <w:t>combination in order to have our initial business</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combination approved (assuming all outstanding</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shares are voted and the over-allotment option is</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not exercised); and</w:t>
      </w:r>
    </w:p>
    <w:p>
      <w:pPr>
        <w:spacing w:after="0" w:line="115"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founder shares are automatically convertible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into our Class A common stock concurrently with</w:t>
      </w:r>
    </w:p>
    <w:p>
      <w:pPr>
        <w:spacing w:after="0" w:line="21" w:lineRule="exact"/>
        <w:rPr>
          <w:sz w:val="20"/>
          <w:szCs w:val="20"/>
          <w:color w:val="auto"/>
        </w:rPr>
      </w:pPr>
    </w:p>
    <w:p>
      <w:pPr>
        <w:jc w:val="right"/>
        <w:ind w:right="659"/>
        <w:spacing w:after="0"/>
        <w:rPr>
          <w:sz w:val="20"/>
          <w:szCs w:val="20"/>
          <w:color w:val="auto"/>
        </w:rPr>
      </w:pPr>
      <w:r>
        <w:rPr>
          <w:rFonts w:ascii="Arial" w:cs="Arial" w:eastAsia="Arial" w:hAnsi="Arial"/>
          <w:sz w:val="18"/>
          <w:szCs w:val="18"/>
          <w:color w:val="auto"/>
        </w:rPr>
        <w:t>or immediately following the consummation of our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initial business combination on a one-for-one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basis, subject to adjustment pursuant to certain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anti-dilution rights, as described below adjacent to</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the caption “Founder shares conversion and anti-</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dilution rights.”</w:t>
      </w:r>
    </w:p>
    <w:p>
      <w:pPr>
        <w:spacing w:after="0" w:line="103" w:lineRule="exact"/>
        <w:rPr>
          <w:sz w:val="20"/>
          <w:szCs w:val="20"/>
          <w:color w:val="auto"/>
        </w:rPr>
      </w:pPr>
    </w:p>
    <w:p>
      <w:pPr>
        <w:ind w:left="1280"/>
        <w:spacing w:after="0"/>
        <w:tabs>
          <w:tab w:leader="none" w:pos="5240" w:val="left"/>
        </w:tabs>
        <w:rPr>
          <w:sz w:val="20"/>
          <w:szCs w:val="20"/>
          <w:color w:val="auto"/>
        </w:rPr>
      </w:pPr>
      <w:r>
        <w:rPr>
          <w:rFonts w:ascii="Arial" w:cs="Arial" w:eastAsia="Arial" w:hAnsi="Arial"/>
          <w:sz w:val="18"/>
          <w:szCs w:val="18"/>
          <w:color w:val="auto"/>
        </w:rPr>
        <w:t>Transfer restrictions on founder shares</w:t>
      </w:r>
      <w:r>
        <w:rPr>
          <w:sz w:val="20"/>
          <w:szCs w:val="20"/>
          <w:color w:val="auto"/>
        </w:rPr>
        <w:tab/>
      </w:r>
      <w:r>
        <w:rPr>
          <w:rFonts w:ascii="Arial" w:cs="Arial" w:eastAsia="Arial" w:hAnsi="Arial"/>
          <w:sz w:val="17"/>
          <w:szCs w:val="17"/>
          <w:color w:val="auto"/>
        </w:rPr>
        <w:t>Our initial stockholders have agreed not to transfer,</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assign or sell any of their founder shares until the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earlier to occur of: (i) one year after the completion of</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our initial business combination and (ii) the date on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which we complete a liquidation, merger, capital stock</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exchange or other similar transaction after our initial</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business combination that results in all of our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stockholders having the right to exchange their Class A</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common stock for cash, securities or other property;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except to certain permitted transferees and under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certain circumstances as described herein under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“Principal Stockholders — Transfers of Founder Shares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and Private Placement Units.” Any permitted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transferees will be subject to the same restrictions and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other agreements of our initial stockholders with</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respect to any founder shares. We refer to such transfer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restrictions throughout this prospectus as the lock-up.</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Notwithstanding the foregoing, if (1) the closing price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of our Class A common stock equals or exceeds $12.00</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per share (as adjusted for stock splits, stock</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capitalizations, reorganizations, recapitalizations and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 like) for any 20 trading days within any 30-trading</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day period commencing at least 150 days after our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initial business combination or (2) if we consummate a</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transaction after our initial business combination which</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results in our stockholders having the right to exchange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their shares for cash, securities or other property, the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founder shares will be released from the lock-up.</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Founder shares conversion and anti-dilution</w:t>
      </w:r>
    </w:p>
    <w:p>
      <w:pPr>
        <w:spacing w:after="0" w:line="23" w:lineRule="exact"/>
        <w:rPr>
          <w:sz w:val="20"/>
          <w:szCs w:val="20"/>
          <w:color w:val="auto"/>
        </w:rPr>
      </w:pPr>
    </w:p>
    <w:p>
      <w:pPr>
        <w:ind w:left="1460"/>
        <w:spacing w:after="0"/>
        <w:tabs>
          <w:tab w:leader="none" w:pos="5240" w:val="left"/>
        </w:tabs>
        <w:rPr>
          <w:sz w:val="20"/>
          <w:szCs w:val="20"/>
          <w:color w:val="auto"/>
        </w:rPr>
      </w:pPr>
      <w:r>
        <w:rPr>
          <w:rFonts w:ascii="Arial" w:cs="Arial" w:eastAsia="Arial" w:hAnsi="Arial"/>
          <w:sz w:val="18"/>
          <w:szCs w:val="18"/>
          <w:color w:val="auto"/>
        </w:rPr>
        <w:t>rights</w:t>
      </w:r>
      <w:r>
        <w:rPr>
          <w:sz w:val="20"/>
          <w:szCs w:val="20"/>
          <w:color w:val="auto"/>
        </w:rPr>
        <w:tab/>
      </w:r>
      <w:r>
        <w:rPr>
          <w:rFonts w:ascii="Arial" w:cs="Arial" w:eastAsia="Arial" w:hAnsi="Arial"/>
          <w:sz w:val="18"/>
          <w:szCs w:val="18"/>
          <w:color w:val="auto"/>
        </w:rPr>
        <w:t>The founder shares will automatically convert into</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shares of Class A common stock concurrently with or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immediately following the consummation of our initial</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business combination on a one-for-one basis, subject to</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adjustment for stock splits, stock dividends,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reorganizations, recapitalizations and the like, and</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8156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815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subject to further adjustment as provided herein. In the</w:t>
      </w:r>
    </w:p>
    <w:p>
      <w:pPr>
        <w:spacing w:after="0" w:line="35"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case that additional shares of Class A common stock or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equity-linked securities are issued or deemed issued in</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connection with our initial business combination, the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number of shares of Class A common stock issuable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upon conversion of all founder shares will equal, in the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aggregate, on an as-converted basis, 20% of the total</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number of shares of Class A common stock outstanding</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after such conversion (excluding the private placement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shares underlying the private placement units after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giving effect to any redemptions of shares of Class A</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common stock by public stockholders), including the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total number of shares of Class A common stock</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issued, or deemed issued or issuable upon conversion</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 exercise of any equity-linked securities or rights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issued or deemed issued, by the Company in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connection with or in relation to the consummation of</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 initial business combination, excluding any shares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of Class A common stock or equity-linked securities or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rights exercisable for or convertible into shares of</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Class A common stock issued, or to be issued, to any</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seller in the initial business combination and any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private placement-equivalent units issued to our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sponsor, officers or directors upon conversion of</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working capital loans, provided that such conversion of</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founder shares will never occur on a less than one-for-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one basis.</w:t>
      </w:r>
    </w:p>
    <w:p>
      <w:pPr>
        <w:spacing w:after="0" w:line="103" w:lineRule="exact"/>
        <w:rPr>
          <w:sz w:val="20"/>
          <w:szCs w:val="20"/>
          <w:color w:val="auto"/>
        </w:rPr>
      </w:pPr>
    </w:p>
    <w:p>
      <w:pPr>
        <w:ind w:left="1280"/>
        <w:spacing w:after="0"/>
        <w:tabs>
          <w:tab w:leader="none" w:pos="524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7"/>
          <w:szCs w:val="17"/>
          <w:color w:val="auto"/>
        </w:rPr>
        <w:t>Holders of record of our Class A common stock and</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holders of record of our Class B common stock will</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vote together as a single class on all matters submitted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to a vote of our stockholders, with each share of</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common stock entitling the holder to one vote except as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required by law.</w:t>
      </w:r>
    </w:p>
    <w:p>
      <w:pPr>
        <w:spacing w:after="0" w:line="103" w:lineRule="exact"/>
        <w:rPr>
          <w:sz w:val="20"/>
          <w:szCs w:val="20"/>
          <w:color w:val="auto"/>
        </w:rPr>
      </w:pPr>
    </w:p>
    <w:p>
      <w:pPr>
        <w:ind w:left="1280"/>
        <w:spacing w:after="0"/>
        <w:tabs>
          <w:tab w:leader="none" w:pos="5240" w:val="left"/>
        </w:tabs>
        <w:rPr>
          <w:sz w:val="20"/>
          <w:szCs w:val="20"/>
          <w:color w:val="auto"/>
        </w:rPr>
      </w:pPr>
      <w:r>
        <w:rPr>
          <w:rFonts w:ascii="Arial" w:cs="Arial" w:eastAsia="Arial" w:hAnsi="Arial"/>
          <w:sz w:val="18"/>
          <w:szCs w:val="18"/>
          <w:color w:val="auto"/>
        </w:rPr>
        <w:t>Private placement units</w:t>
      </w:r>
      <w:r>
        <w:rPr>
          <w:sz w:val="20"/>
          <w:szCs w:val="20"/>
          <w:color w:val="auto"/>
        </w:rPr>
        <w:tab/>
      </w:r>
      <w:r>
        <w:rPr>
          <w:rFonts w:ascii="Arial" w:cs="Arial" w:eastAsia="Arial" w:hAnsi="Arial"/>
          <w:sz w:val="16"/>
          <w:szCs w:val="16"/>
          <w:color w:val="auto"/>
        </w:rPr>
        <w:t>Our sponsor has committed, pursuant to a written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agreement, to purchase an aggregate of 375,000 private</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placement units (or 405,000 units if the underwriters’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over-allotment option is exercised in full), at a price of</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$10.00 per unit, or $3,750,000 in the aggregate (or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$4,050,000 if the underwriters’ over-allotment option is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exercised in full), in a private placement that will close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simultaneously with the closing of this offering.</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 portion of the purchase price of the private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placement units will be added to the proceeds from this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offering to be held in the trust account such that at the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time of closing of this offering $100 million (or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$115 million if the underwriters exercise their over-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allotment option in full) will be held in the trust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account. The private placement units will be identical</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to the units sold in this offering except that the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underlying private placement warrants, so long as they</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are held by our sponsor or its permitted transferees,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(i) will not be redeemable by us, (ii) may not (including</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Class A common stock issuable upon exercise of</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these warrants), subject to certain limited exceptions,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be transferred, assigned or sold by the holders until</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30 days</w:t>
      </w:r>
    </w:p>
    <w:p>
      <w:pPr>
        <w:sectPr>
          <w:pgSz w:w="11900" w:h="16838" w:orient="portrait"/>
          <w:cols w:equalWidth="0" w:num="1">
            <w:col w:w="10139"/>
          </w:cols>
          <w:pgMar w:left="320" w:top="131" w:right="1440" w:bottom="1440" w:gutter="0" w:footer="0" w:header="0"/>
        </w:sect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8147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after the completion of our initial business</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combination, (iii) may be exercised by the holders on a</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cashless basis and (iv) will be entitled to registration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rights. If the private placement warrants are held by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holders other than our sponsor or its permitted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transferees, the private placement warrants will be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redeemable by us and exercisable by the holders on the</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same basis as the warrants included in the units being</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sold in this offering. If we do not complete our initial</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business combination within 18 months from the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closing of this offering, the private placement units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(and the underlying securities) will expire worthless.</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Transfer restrictions on private</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placement units and underlying</w:t>
      </w:r>
    </w:p>
    <w:p>
      <w:pPr>
        <w:spacing w:after="0" w:line="9" w:lineRule="exact"/>
        <w:rPr>
          <w:sz w:val="20"/>
          <w:szCs w:val="20"/>
          <w:color w:val="auto"/>
        </w:rPr>
      </w:pPr>
    </w:p>
    <w:p>
      <w:pPr>
        <w:ind w:left="1460"/>
        <w:spacing w:after="0"/>
        <w:tabs>
          <w:tab w:leader="none" w:pos="5240" w:val="left"/>
        </w:tabs>
        <w:rPr>
          <w:sz w:val="20"/>
          <w:szCs w:val="20"/>
          <w:color w:val="auto"/>
        </w:rPr>
      </w:pPr>
      <w:r>
        <w:rPr>
          <w:rFonts w:ascii="Arial" w:cs="Arial" w:eastAsia="Arial" w:hAnsi="Arial"/>
          <w:sz w:val="17"/>
          <w:szCs w:val="17"/>
          <w:color w:val="auto"/>
        </w:rPr>
        <w:t>securities</w:t>
      </w:r>
      <w:r>
        <w:rPr>
          <w:sz w:val="20"/>
          <w:szCs w:val="20"/>
          <w:color w:val="auto"/>
        </w:rPr>
        <w:tab/>
      </w:r>
      <w:r>
        <w:rPr>
          <w:rFonts w:ascii="Arial" w:cs="Arial" w:eastAsia="Arial" w:hAnsi="Arial"/>
          <w:sz w:val="17"/>
          <w:szCs w:val="17"/>
          <w:color w:val="auto"/>
        </w:rPr>
        <w:t>The private placement units (including the underlying</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private placement shares, private placement warrants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and Class A common stock issuable upon exercise of</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private placement warrants) will not be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transferable, assignable or salable until 30 days after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completion of our initial business combination,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except as described herein under “Principal</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Stockholders — Transfers of Founder Shares and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Private Placement Units.”</w:t>
      </w:r>
    </w:p>
    <w:p>
      <w:pPr>
        <w:spacing w:after="0" w:line="103" w:lineRule="exact"/>
        <w:rPr>
          <w:sz w:val="20"/>
          <w:szCs w:val="20"/>
          <w:color w:val="auto"/>
        </w:rPr>
      </w:pPr>
    </w:p>
    <w:p>
      <w:pPr>
        <w:ind w:left="1280"/>
        <w:spacing w:after="0"/>
        <w:tabs>
          <w:tab w:leader="none" w:pos="5240" w:val="left"/>
        </w:tabs>
        <w:rPr>
          <w:sz w:val="20"/>
          <w:szCs w:val="20"/>
          <w:color w:val="auto"/>
        </w:rPr>
      </w:pPr>
      <w:r>
        <w:rPr>
          <w:rFonts w:ascii="Arial" w:cs="Arial" w:eastAsia="Arial" w:hAnsi="Arial"/>
          <w:sz w:val="18"/>
          <w:szCs w:val="18"/>
          <w:color w:val="auto"/>
        </w:rPr>
        <w:t>Proceeds to be held in trust account</w:t>
      </w:r>
      <w:r>
        <w:rPr>
          <w:sz w:val="20"/>
          <w:szCs w:val="20"/>
          <w:color w:val="auto"/>
        </w:rPr>
        <w:tab/>
      </w:r>
      <w:r>
        <w:rPr>
          <w:rFonts w:ascii="Arial" w:cs="Arial" w:eastAsia="Arial" w:hAnsi="Arial"/>
          <w:sz w:val="16"/>
          <w:szCs w:val="16"/>
          <w:color w:val="auto"/>
        </w:rPr>
        <w:t>Nasdaq rules provide that at least 90% of the gross</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proceeds from this offering and the sale of the private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placement units be deposited in a trust account. Of the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proceeds we will receive from this offering and the sale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 the private placement units described in this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prospectus, $100 million, or $115 million if the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underwriters’ over-allotment option is exercised in full</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($10.00 per unit in either case), will be deposited into a</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segregated trust account located in the United States at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JP Morgan Chase Bank, N.A. with Continental Stock</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Transfer &amp; Trust Company acting as trustee, after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deducting $2,000,000 in underwriting discounts and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commissions payable upon the closing of this offering</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 $2,300,000 if the underwriters’ over-allotment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option is exercised in full) and an aggregate of</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$1.75 million to pay expenses in connection with the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closing of this offering and for working capital</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following this offering. The proceeds to be placed in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trust account include $3,500,000 (or up to</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$4,025,000 if the underwriters’ over-allotment option is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exercised in full) in deferred underwriting</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commissions.</w:t>
      </w:r>
    </w:p>
    <w:p>
      <w:pPr>
        <w:spacing w:after="0" w:line="130"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Except with respect to interest earned on the funds held</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in the trust account that may be released to us to pay</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our taxes, the proceeds from this offering and the sale</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of the private placement units will not be released from</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 trust account until the earliest of (i) the completion</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of our initial business combination, (ii) the redemption</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 our public shares if we do not complete our initial</w:t>
      </w:r>
    </w:p>
    <w:p>
      <w:pPr>
        <w:ind w:left="5260"/>
        <w:spacing w:after="0" w:line="234" w:lineRule="auto"/>
        <w:rPr>
          <w:sz w:val="20"/>
          <w:szCs w:val="20"/>
          <w:color w:val="auto"/>
        </w:rPr>
      </w:pPr>
      <w:r>
        <w:rPr>
          <w:rFonts w:ascii="Arial" w:cs="Arial" w:eastAsia="Arial" w:hAnsi="Arial"/>
          <w:sz w:val="18"/>
          <w:szCs w:val="18"/>
          <w:color w:val="auto"/>
        </w:rPr>
        <w:t>business combination within 18 months from the</w:t>
      </w:r>
    </w:p>
    <w:p>
      <w:pPr>
        <w:ind w:left="5260"/>
        <w:spacing w:after="0" w:line="235" w:lineRule="auto"/>
        <w:rPr>
          <w:sz w:val="20"/>
          <w:szCs w:val="20"/>
          <w:color w:val="auto"/>
        </w:rPr>
      </w:pPr>
      <w:r>
        <w:rPr>
          <w:rFonts w:ascii="Arial" w:cs="Arial" w:eastAsia="Arial" w:hAnsi="Arial"/>
          <w:sz w:val="18"/>
          <w:szCs w:val="18"/>
          <w:color w:val="auto"/>
        </w:rPr>
        <w:t>closing of this offering, subject to applicable law, and</w:t>
      </w:r>
    </w:p>
    <w:p>
      <w:pPr>
        <w:ind w:left="5260"/>
        <w:spacing w:after="0" w:line="235" w:lineRule="auto"/>
        <w:rPr>
          <w:sz w:val="20"/>
          <w:szCs w:val="20"/>
          <w:color w:val="auto"/>
        </w:rPr>
      </w:pPr>
      <w:r>
        <w:rPr>
          <w:rFonts w:ascii="Arial" w:cs="Arial" w:eastAsia="Arial" w:hAnsi="Arial"/>
          <w:sz w:val="18"/>
          <w:szCs w:val="18"/>
          <w:color w:val="auto"/>
        </w:rPr>
        <w:t>(iii) the redemption of our public shares properly</w:t>
      </w:r>
    </w:p>
    <w:p>
      <w:pPr>
        <w:ind w:left="5260"/>
        <w:spacing w:after="0"/>
        <w:rPr>
          <w:sz w:val="20"/>
          <w:szCs w:val="20"/>
          <w:color w:val="auto"/>
        </w:rPr>
      </w:pPr>
      <w:r>
        <w:rPr>
          <w:rFonts w:ascii="Arial" w:cs="Arial" w:eastAsia="Arial" w:hAnsi="Arial"/>
          <w:sz w:val="18"/>
          <w:szCs w:val="18"/>
          <w:color w:val="auto"/>
        </w:rPr>
        <w:t>submitted in connection with a stockholder vote to</w:t>
      </w:r>
    </w:p>
    <w:p>
      <w:pPr>
        <w:sectPr>
          <w:pgSz w:w="11900" w:h="16838" w:orient="portrait"/>
          <w:cols w:equalWidth="0" w:num="1">
            <w:col w:w="10139"/>
          </w:cols>
          <w:pgMar w:left="320" w:top="131" w:right="1440" w:bottom="1440" w:gutter="0" w:footer="0" w:header="0"/>
        </w:sect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amend our amended and restated certificate of</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incorporation to modify the substance or timing of our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obligation to redeem 100% of our public shares if we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have not consummated an initial business combination</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within 18 months from the closing of this offering or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with respect to any other material provisions relating to</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stockholders’ rights or pre-initial business combination</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activity. The proceeds deposited in the trust account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could become subject to the claims of our creditors, if</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any, which could have priority over the claims of our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public stockholders.</w:t>
      </w:r>
    </w:p>
    <w:p>
      <w:pPr>
        <w:spacing w:after="0" w:line="103" w:lineRule="exact"/>
        <w:rPr>
          <w:sz w:val="20"/>
          <w:szCs w:val="20"/>
          <w:color w:val="auto"/>
        </w:rPr>
      </w:pPr>
    </w:p>
    <w:p>
      <w:pPr>
        <w:ind w:left="1280"/>
        <w:spacing w:after="0"/>
        <w:tabs>
          <w:tab w:leader="none" w:pos="5240" w:val="left"/>
        </w:tabs>
        <w:rPr>
          <w:sz w:val="20"/>
          <w:szCs w:val="20"/>
          <w:color w:val="auto"/>
        </w:rPr>
      </w:pPr>
      <w:r>
        <w:rPr>
          <w:rFonts w:ascii="Arial" w:cs="Arial" w:eastAsia="Arial" w:hAnsi="Arial"/>
          <w:sz w:val="18"/>
          <w:szCs w:val="18"/>
          <w:color w:val="auto"/>
        </w:rPr>
        <w:t>Anticipated expenses and funding sources</w:t>
      </w:r>
      <w:r>
        <w:rPr>
          <w:sz w:val="20"/>
          <w:szCs w:val="20"/>
          <w:color w:val="auto"/>
        </w:rPr>
        <w:tab/>
      </w:r>
      <w:r>
        <w:rPr>
          <w:rFonts w:ascii="Arial" w:cs="Arial" w:eastAsia="Arial" w:hAnsi="Arial"/>
          <w:sz w:val="17"/>
          <w:szCs w:val="17"/>
          <w:color w:val="auto"/>
        </w:rPr>
        <w:t>Unless and until we complete our initial business</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combination, no proceeds held in the trust account will</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be available for our use, except for permitted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withdrawals and/or to redeem our public shares in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connection with an amendment to our amended and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restated certificate of incorporation, as described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above. The proceeds held in the trust account will be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invested only in U.S. government treasury obligations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with a maturity of 185 days or less or in money market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funds meeting certain conditions under Rule 2a-7 under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Investment Company Act which invest only in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direct U.S. government treasury obligations. We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estimate the interest earned on the trust account will be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approximately $500,000 per year, assuming an interest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rate of 0.5% per year; however we can provide no</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assurances regarding this amount. Unless and until we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complete our initial business combination, we may pay</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our expenses only from such interest withdrawn from</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trust account and:</w:t>
      </w:r>
    </w:p>
    <w:p>
      <w:pPr>
        <w:spacing w:after="0" w:line="130"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net proceeds of this offering and the sale of the</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private placement units not held in the trust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account, which initially will be approximately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$750,000 in working capital after the payment of</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approximately $1,000,000 in expenses relating to</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this offering; and</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362" w:right="679" w:hanging="362"/>
        <w:spacing w:after="0" w:line="271" w:lineRule="auto"/>
        <w:tabs>
          <w:tab w:leader="none" w:pos="362"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loans or additional investments from our sponsor, members of our management team or their affiliates or other third parties, although they are under no obligation to advance funds or invest in us, and provided any such loans will not have any claim on the proceeds held in the trust account unless such proceeds are released to us upon completion of our initial business combination.</w:t>
      </w:r>
    </w:p>
    <w:p>
      <w:pPr>
        <w:spacing w:after="0" w:line="286" w:lineRule="exact"/>
        <w:rPr>
          <w:sz w:val="20"/>
          <w:szCs w:val="20"/>
          <w:color w:val="auto"/>
        </w:rPr>
      </w:pPr>
    </w:p>
    <w:p>
      <w:pPr>
        <w:ind w:left="2" w:right="819"/>
        <w:spacing w:after="0" w:line="291"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w:t>
      </w:r>
    </w:p>
    <w:p>
      <w:pPr>
        <w:spacing w:after="0" w:line="200" w:lineRule="exact"/>
        <w:rPr>
          <w:sz w:val="20"/>
          <w:szCs w:val="20"/>
          <w:color w:val="auto"/>
        </w:rPr>
      </w:pPr>
    </w:p>
    <w:p>
      <w:pPr>
        <w:sectPr>
          <w:pgSz w:w="11900" w:h="16838" w:orient="portrait"/>
          <w:cols w:equalWidth="0" w:num="2">
            <w:col w:w="4680" w:space="578"/>
            <w:col w:w="4882"/>
          </w:cols>
          <w:pgMar w:left="320" w:top="131" w:right="1440"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8036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6245" cy="803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initial business combination. Our board of directors</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will make the determination as to the fair market value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 our initial business combination. If our board of</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directors is not able to independently determine the fair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market value of our initial business combination, we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will obtain an opinion from an independent investment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banking firm which is a member of FINRA or a</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valuation or appraisal firm. While we consider it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unlikely that our board of directors will not be able to</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make an independent determination of the fair market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value of our initial business combination, it may be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unable to do so if it is less familiar or experienced with</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business of a particular target or if there is a</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significant amount of uncertainty as to the value of the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target’s assets or prospects. We anticipate structuring</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our initial business combination so that the post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transaction company in which our public stockholders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own shares will own or acquire 100% of the equity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interests or assets of the target business or businesses.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We may, however, structure our initial business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combination such that the post transaction company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owns or acquires less than 100% of such interests or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assets of the target business in order to meet certain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objectives of the target management team or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stockholders or for other reasons, including, but not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limited to, an affiliated joint acquisition with one or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more affiliates of HighCape and/or one or more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investors in HighCape or one of its affiliates. There is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no limitation on our ability to raise funds privately, or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through loans in connection with our initial business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combination including pursuant to forward purchase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agreements we may enter into following consummation</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 this offering.</w:t>
      </w:r>
    </w:p>
    <w:p>
      <w:pPr>
        <w:spacing w:after="0" w:line="130"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We will complete our initial business combination only</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if the post-transaction company in which our public</w:t>
      </w:r>
    </w:p>
    <w:p>
      <w:pPr>
        <w:ind w:left="5260"/>
        <w:spacing w:after="0" w:line="234" w:lineRule="auto"/>
        <w:rPr>
          <w:sz w:val="20"/>
          <w:szCs w:val="20"/>
          <w:color w:val="auto"/>
        </w:rPr>
      </w:pPr>
      <w:r>
        <w:rPr>
          <w:rFonts w:ascii="Arial" w:cs="Arial" w:eastAsia="Arial" w:hAnsi="Arial"/>
          <w:sz w:val="18"/>
          <w:szCs w:val="18"/>
          <w:color w:val="auto"/>
        </w:rPr>
        <w:t>stockholders own shares will own or acquire 50% or</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more of the outstanding voting securities of the target</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or is otherwise not required to register as an investment</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company under the Investment Company Act. Even if</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 post-transaction company owns or acquires 50% or</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more of the voting securities of the target, our</w:t>
      </w:r>
    </w:p>
    <w:p>
      <w:pPr>
        <w:ind w:left="5260"/>
        <w:spacing w:after="0" w:line="234" w:lineRule="auto"/>
        <w:rPr>
          <w:sz w:val="20"/>
          <w:szCs w:val="20"/>
          <w:color w:val="auto"/>
        </w:rPr>
      </w:pPr>
      <w:r>
        <w:rPr>
          <w:rFonts w:ascii="Arial" w:cs="Arial" w:eastAsia="Arial" w:hAnsi="Arial"/>
          <w:sz w:val="18"/>
          <w:szCs w:val="18"/>
          <w:color w:val="auto"/>
        </w:rPr>
        <w:t>stockholders prior to our initial business combination</w:t>
      </w:r>
    </w:p>
    <w:p>
      <w:pPr>
        <w:ind w:left="5260"/>
        <w:spacing w:after="0" w:line="235" w:lineRule="auto"/>
        <w:rPr>
          <w:sz w:val="20"/>
          <w:szCs w:val="20"/>
          <w:color w:val="auto"/>
        </w:rPr>
      </w:pPr>
      <w:r>
        <w:rPr>
          <w:rFonts w:ascii="Arial" w:cs="Arial" w:eastAsia="Arial" w:hAnsi="Arial"/>
          <w:sz w:val="18"/>
          <w:szCs w:val="18"/>
          <w:color w:val="auto"/>
        </w:rPr>
        <w:t>may collectively own a minority interest in the post</w:t>
      </w:r>
    </w:p>
    <w:p>
      <w:pPr>
        <w:ind w:left="5260"/>
        <w:spacing w:after="0" w:line="235" w:lineRule="auto"/>
        <w:rPr>
          <w:sz w:val="20"/>
          <w:szCs w:val="20"/>
          <w:color w:val="auto"/>
        </w:rPr>
      </w:pPr>
      <w:r>
        <w:rPr>
          <w:rFonts w:ascii="Arial" w:cs="Arial" w:eastAsia="Arial" w:hAnsi="Arial"/>
          <w:sz w:val="18"/>
          <w:szCs w:val="18"/>
          <w:color w:val="auto"/>
        </w:rPr>
        <w:t>business combination company, depending on</w:t>
      </w:r>
    </w:p>
    <w:p>
      <w:pPr>
        <w:ind w:left="5260"/>
        <w:spacing w:after="0"/>
        <w:rPr>
          <w:sz w:val="20"/>
          <w:szCs w:val="20"/>
          <w:color w:val="auto"/>
        </w:rPr>
      </w:pPr>
      <w:r>
        <w:rPr>
          <w:rFonts w:ascii="Arial" w:cs="Arial" w:eastAsia="Arial" w:hAnsi="Arial"/>
          <w:sz w:val="17"/>
          <w:szCs w:val="17"/>
          <w:color w:val="auto"/>
        </w:rPr>
        <w:t>valuations ascribed to the target and us in the business</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combination transaction. If less than 100% of the</w:t>
      </w:r>
    </w:p>
    <w:p>
      <w:pPr>
        <w:ind w:left="5260"/>
        <w:spacing w:after="0" w:line="234" w:lineRule="auto"/>
        <w:rPr>
          <w:sz w:val="20"/>
          <w:szCs w:val="20"/>
          <w:color w:val="auto"/>
        </w:rPr>
      </w:pPr>
      <w:r>
        <w:rPr>
          <w:rFonts w:ascii="Arial" w:cs="Arial" w:eastAsia="Arial" w:hAnsi="Arial"/>
          <w:sz w:val="18"/>
          <w:szCs w:val="18"/>
          <w:color w:val="auto"/>
        </w:rPr>
        <w:t>equity interests or assets of a target business or</w:t>
      </w:r>
    </w:p>
    <w:p>
      <w:pPr>
        <w:ind w:left="5260"/>
        <w:spacing w:after="0" w:line="235" w:lineRule="auto"/>
        <w:rPr>
          <w:sz w:val="20"/>
          <w:szCs w:val="20"/>
          <w:color w:val="auto"/>
        </w:rPr>
      </w:pPr>
      <w:r>
        <w:rPr>
          <w:rFonts w:ascii="Arial" w:cs="Arial" w:eastAsia="Arial" w:hAnsi="Arial"/>
          <w:sz w:val="18"/>
          <w:szCs w:val="18"/>
          <w:color w:val="auto"/>
        </w:rPr>
        <w:t>businesses are owned or acquired by the post-</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transaction company, the portion of such business or</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businesses that is owned or acquired is what will be</w:t>
      </w:r>
    </w:p>
    <w:p>
      <w:pPr>
        <w:ind w:left="5260"/>
        <w:spacing w:after="0"/>
        <w:rPr>
          <w:sz w:val="20"/>
          <w:szCs w:val="20"/>
          <w:color w:val="auto"/>
        </w:rPr>
      </w:pPr>
      <w:r>
        <w:rPr>
          <w:rFonts w:ascii="Arial" w:cs="Arial" w:eastAsia="Arial" w:hAnsi="Arial"/>
          <w:sz w:val="17"/>
          <w:szCs w:val="17"/>
          <w:color w:val="auto"/>
        </w:rPr>
        <w:t>taken into account for purposes of Nasdaq’s 80% fair</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market value test described above, provided that in the</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event that the business combination involves more than</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one target business, the 80% fair market value test will</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be based on the aggregate value of all of the</w:t>
      </w:r>
    </w:p>
    <w:p>
      <w:pPr>
        <w:ind w:left="5260"/>
        <w:spacing w:after="0" w:line="234" w:lineRule="auto"/>
        <w:rPr>
          <w:sz w:val="20"/>
          <w:szCs w:val="20"/>
          <w:color w:val="auto"/>
        </w:rPr>
      </w:pPr>
      <w:r>
        <w:rPr>
          <w:rFonts w:ascii="Arial" w:cs="Arial" w:eastAsia="Arial" w:hAnsi="Arial"/>
          <w:sz w:val="18"/>
          <w:szCs w:val="18"/>
          <w:color w:val="auto"/>
        </w:rPr>
        <w:t>transactions and we will treat the target businesses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together as our</w:t>
      </w:r>
    </w:p>
    <w:p>
      <w:pPr>
        <w:sectPr>
          <w:pgSz w:w="11900" w:h="16838" w:orient="portrait"/>
          <w:cols w:equalWidth="0" w:num="1">
            <w:col w:w="10139"/>
          </w:cols>
          <w:pgMar w:left="320" w:top="131" w:right="1440" w:bottom="1440" w:gutter="0" w:footer="0" w:header="0"/>
        </w:sect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8036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16245" cy="803656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60" w:right="180" w:hanging="179"/>
        <w:spacing w:after="0" w:line="277" w:lineRule="auto"/>
        <w:rPr>
          <w:sz w:val="20"/>
          <w:szCs w:val="20"/>
          <w:color w:val="auto"/>
        </w:rPr>
      </w:pPr>
      <w:r>
        <w:rPr>
          <w:rFonts w:ascii="Arial" w:cs="Arial" w:eastAsia="Arial" w:hAnsi="Arial"/>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819"/>
        <w:spacing w:after="0" w:line="263" w:lineRule="auto"/>
        <w:rPr>
          <w:sz w:val="20"/>
          <w:szCs w:val="20"/>
          <w:color w:val="auto"/>
        </w:rPr>
      </w:pPr>
      <w:r>
        <w:rPr>
          <w:rFonts w:ascii="Arial" w:cs="Arial" w:eastAsia="Arial" w:hAnsi="Arial"/>
          <w:sz w:val="18"/>
          <w:szCs w:val="18"/>
          <w:color w:val="auto"/>
        </w:rPr>
        <w:t>initial business combination for purposes of a seeking stockholder approval or conducting a tender offer, as applicable.</w:t>
      </w:r>
    </w:p>
    <w:p>
      <w:pPr>
        <w:spacing w:after="0" w:line="292" w:lineRule="exact"/>
        <w:rPr>
          <w:sz w:val="20"/>
          <w:szCs w:val="20"/>
          <w:color w:val="auto"/>
        </w:rPr>
      </w:pPr>
    </w:p>
    <w:p>
      <w:pPr>
        <w:ind w:right="659"/>
        <w:spacing w:after="0" w:line="266"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affiliates may purchase shares or public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held in the trust account will be used to purchase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We expect any such purchases will be reported pursuant to Section 13 and Section 16 of the Exchange Act to the extent such purchasers are subject to such reporting requirements. See “Proposed Business — Permitted purchases of our securities” for a description of how our sponsor, initial stockholders, directors, executive officers, advisors or any of their affiliates will select which stockholders to purchase securities from in any private transaction.</w:t>
      </w:r>
    </w:p>
    <w:p>
      <w:pPr>
        <w:spacing w:after="0" w:line="112" w:lineRule="exact"/>
        <w:rPr>
          <w:sz w:val="20"/>
          <w:szCs w:val="20"/>
          <w:color w:val="auto"/>
        </w:rPr>
      </w:pPr>
    </w:p>
    <w:p>
      <w:pPr>
        <w:ind w:right="719"/>
        <w:spacing w:after="0" w:line="268" w:lineRule="auto"/>
        <w:rPr>
          <w:sz w:val="20"/>
          <w:szCs w:val="20"/>
          <w:color w:val="auto"/>
        </w:rPr>
      </w:pPr>
      <w:r>
        <w:rPr>
          <w:rFonts w:ascii="Arial" w:cs="Arial" w:eastAsia="Arial" w:hAnsi="Arial"/>
          <w:sz w:val="17"/>
          <w:szCs w:val="17"/>
          <w:color w:val="auto"/>
        </w:rPr>
        <w:t>The purpose of any such purchases of shares could be to vote such shares in favor of the business combination and thereby increase the likelihood of obtaining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w:t>
      </w:r>
    </w:p>
    <w:p>
      <w:pPr>
        <w:spacing w:after="0" w:line="200" w:lineRule="exact"/>
        <w:rPr>
          <w:sz w:val="20"/>
          <w:szCs w:val="20"/>
          <w:color w:val="auto"/>
        </w:rPr>
      </w:pPr>
    </w:p>
    <w:p>
      <w:pPr>
        <w:sectPr>
          <w:pgSz w:w="11900" w:h="16838" w:orient="portrait"/>
          <w:cols w:equalWidth="0" w:num="2">
            <w:col w:w="4540" w:space="720"/>
            <w:col w:w="4879"/>
          </w:cols>
          <w:pgMar w:left="320" w:top="131" w:right="1440" w:bottom="1440" w:gutter="0" w:footer="0" w:header="0"/>
          <w:type w:val="continuous"/>
        </w:sectPr>
      </w:pPr>
    </w:p>
    <w:p>
      <w:pPr>
        <w:spacing w:after="0" w:line="1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1460" w:right="80" w:hanging="179"/>
        <w:spacing w:after="0" w:line="263" w:lineRule="auto"/>
        <w:rPr>
          <w:sz w:val="20"/>
          <w:szCs w:val="20"/>
          <w:color w:val="auto"/>
        </w:rPr>
      </w:pPr>
      <w:r>
        <w:rPr>
          <w:rFonts w:ascii="Arial" w:cs="Arial" w:eastAsia="Arial" w:hAnsi="Arial"/>
          <w:sz w:val="18"/>
          <w:szCs w:val="18"/>
          <w:color w:val="auto"/>
        </w:rPr>
        <w:t>Redemption rights for public stockholders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59"/>
        <w:spacing w:after="0" w:line="254" w:lineRule="auto"/>
        <w:rPr>
          <w:sz w:val="20"/>
          <w:szCs w:val="20"/>
          <w:color w:val="auto"/>
        </w:rPr>
      </w:pPr>
      <w:r>
        <w:rPr>
          <w:rFonts w:ascii="Arial" w:cs="Arial" w:eastAsia="Arial" w:hAnsi="Arial"/>
          <w:sz w:val="18"/>
          <w:szCs w:val="18"/>
          <w:color w:val="auto"/>
        </w:rPr>
        <w:t>business combination that may not otherwise have been possible. In addition, if such purchases are made, the public “float” of our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pacing w:after="0" w:line="316" w:lineRule="exact"/>
        <w:rPr>
          <w:sz w:val="20"/>
          <w:szCs w:val="20"/>
          <w:color w:val="auto"/>
        </w:rPr>
      </w:pPr>
    </w:p>
    <w:p>
      <w:pPr>
        <w:ind w:right="659"/>
        <w:spacing w:after="0" w:line="266"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initial stockholders, sponsor, officers and directors have entered into a letter agreement with us, pursuant to which they have agreed to waive their redemption rights with respect to any founder shares they hold and any public shares they may acquire during or after this offering in connection with the completion of our initial business combination.</w:t>
      </w:r>
    </w:p>
    <w:p>
      <w:pPr>
        <w:spacing w:after="0" w:line="92" w:lineRule="exact"/>
        <w:rPr>
          <w:sz w:val="20"/>
          <w:szCs w:val="20"/>
          <w:color w:val="auto"/>
        </w:rPr>
      </w:pPr>
    </w:p>
    <w:p>
      <w:pPr>
        <w:sectPr>
          <w:pgSz w:w="11900" w:h="16838" w:orient="portrait"/>
          <w:cols w:equalWidth="0" w:num="2">
            <w:col w:w="4540" w:space="720"/>
            <w:col w:w="4879"/>
          </w:cols>
          <w:pgMar w:left="320" w:top="131" w:right="1440" w:bottom="1440" w:gutter="0" w:footer="0" w:header="0"/>
          <w:type w:val="continuous"/>
        </w:sectPr>
      </w:pPr>
    </w:p>
    <w:p>
      <w:pPr>
        <w:ind w:left="1280"/>
        <w:spacing w:after="0"/>
        <w:tabs>
          <w:tab w:leader="none" w:pos="5240" w:val="left"/>
        </w:tabs>
        <w:rPr>
          <w:sz w:val="20"/>
          <w:szCs w:val="20"/>
          <w:color w:val="auto"/>
        </w:rPr>
      </w:pPr>
      <w:r>
        <w:rPr>
          <w:rFonts w:ascii="Arial" w:cs="Arial" w:eastAsia="Arial" w:hAnsi="Arial"/>
          <w:sz w:val="18"/>
          <w:szCs w:val="18"/>
          <w:color w:val="auto"/>
        </w:rPr>
        <w:t>Manner of conducting redemptions</w:t>
      </w:r>
      <w:r>
        <w:rPr>
          <w:sz w:val="20"/>
          <w:szCs w:val="20"/>
          <w:color w:val="auto"/>
        </w:rPr>
        <w:tab/>
      </w:r>
      <w:r>
        <w:rPr>
          <w:rFonts w:ascii="Arial" w:cs="Arial" w:eastAsia="Arial" w:hAnsi="Arial"/>
          <w:sz w:val="17"/>
          <w:szCs w:val="17"/>
          <w:color w:val="auto"/>
        </w:rPr>
        <w:t>We will provide our public stockholders with the</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opportunity to redeem all or a portion of their public</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shares upon the completion of our initial business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combination either (i) in connection with a stockholder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meeting called to approve the business combination or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 without a stockholder vote by means of a tender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offer. The decision as to whether we will seek</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stockholder approval of a proposed business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combination or conduct a tender offer will be made by</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us, solely in our discretion, and will be based on a</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variety of factors such as the timing of the transaction</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and whether the terms of the transaction would require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us to seek stockholder approval under applicable law or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stock exchange listing requirements. Asset acquisitions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and share purchases would not typically require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stockholder approval while direct mergers with our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company where we do not survive and any transactions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where we issue more than 20% of our outstanding</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Class A common stock or seek to amend</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our amended and restated certificate of incorporation</w:t>
      </w:r>
    </w:p>
    <w:p>
      <w:pPr>
        <w:spacing w:after="0" w:line="3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would require stockholder approval. So long as we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obtain and maintain a listing for our securities on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Nasdaq, we will be required to comply with the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Nasdaq’s stockholder approval rules.</w:t>
      </w:r>
    </w:p>
    <w:p>
      <w:pPr>
        <w:spacing w:after="0" w:line="13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requirement that we provide our public</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stockholders with the opportunity to redeem their</w:t>
      </w:r>
    </w:p>
    <w:p>
      <w:pPr>
        <w:ind w:left="5260"/>
        <w:spacing w:after="0"/>
        <w:rPr>
          <w:sz w:val="20"/>
          <w:szCs w:val="20"/>
          <w:color w:val="auto"/>
        </w:rPr>
      </w:pPr>
      <w:r>
        <w:rPr>
          <w:rFonts w:ascii="Arial" w:cs="Arial" w:eastAsia="Arial" w:hAnsi="Arial"/>
          <w:sz w:val="17"/>
          <w:szCs w:val="17"/>
          <w:color w:val="auto"/>
        </w:rPr>
        <w:t>public shares by one of the two methods listed above</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will be contained in provisions of our amended and</w:t>
      </w:r>
    </w:p>
    <w:p>
      <w:pPr>
        <w:ind w:left="5260"/>
        <w:spacing w:after="0" w:line="234" w:lineRule="auto"/>
        <w:rPr>
          <w:sz w:val="20"/>
          <w:szCs w:val="20"/>
          <w:color w:val="auto"/>
        </w:rPr>
      </w:pPr>
      <w:r>
        <w:rPr>
          <w:rFonts w:ascii="Arial" w:cs="Arial" w:eastAsia="Arial" w:hAnsi="Arial"/>
          <w:sz w:val="18"/>
          <w:szCs w:val="18"/>
          <w:color w:val="auto"/>
        </w:rPr>
        <w:t>restated certificate of incorporation and will apply</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whether or not we maintain our registration under the</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Exchange Act or our listing on Nasdaq. Such</w:t>
      </w:r>
    </w:p>
    <w:p>
      <w:pPr>
        <w:ind w:left="5260"/>
        <w:spacing w:after="0"/>
        <w:rPr>
          <w:sz w:val="20"/>
          <w:szCs w:val="20"/>
          <w:color w:val="auto"/>
        </w:rPr>
      </w:pPr>
      <w:r>
        <w:rPr>
          <w:rFonts w:ascii="Arial" w:cs="Arial" w:eastAsia="Arial" w:hAnsi="Arial"/>
          <w:sz w:val="17"/>
          <w:szCs w:val="17"/>
          <w:color w:val="auto"/>
        </w:rPr>
        <w:t>provisions may be amended if approved by holders of</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65% of our common stock entitled to vote thereon</w:t>
      </w:r>
    </w:p>
    <w:p>
      <w:pPr>
        <w:spacing w:after="0" w:line="12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If we provide our public stockholders with the</w:t>
      </w:r>
    </w:p>
    <w:p>
      <w:pPr>
        <w:spacing w:after="0" w:line="1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opportunity to redeem their public shares in connection</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with a stockholder meeting, we will:</w:t>
      </w:r>
    </w:p>
    <w:p>
      <w:pPr>
        <w:spacing w:after="0" w:line="115"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conduct the redemptions in conjunction with 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proxy solicitation pursuant to Regulation 14A of</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the Exchange Act, which regulates the solicitation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proxies, and not pursuant to the tender offer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rules, and</w:t>
      </w:r>
    </w:p>
    <w:p>
      <w:pPr>
        <w:spacing w:after="0" w:line="143"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file proxy materials with the SEC.</w:t>
      </w:r>
    </w:p>
    <w:p>
      <w:pPr>
        <w:spacing w:after="0" w:line="144"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If we seek stockholder approval, we will complete our</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initial business combination only if a majority of the</w:t>
      </w:r>
    </w:p>
    <w:p>
      <w:pPr>
        <w:ind w:left="5260"/>
        <w:spacing w:after="0"/>
        <w:rPr>
          <w:sz w:val="20"/>
          <w:szCs w:val="20"/>
          <w:color w:val="auto"/>
        </w:rPr>
      </w:pPr>
      <w:r>
        <w:rPr>
          <w:rFonts w:ascii="Arial" w:cs="Arial" w:eastAsia="Arial" w:hAnsi="Arial"/>
          <w:sz w:val="17"/>
          <w:szCs w:val="17"/>
          <w:color w:val="auto"/>
        </w:rPr>
        <w:t>outstanding shares of common stock voted are voted in</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favor of the initial business combination. A quorum for</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such meeting will consist of the holders present in</w:t>
      </w:r>
    </w:p>
    <w:p>
      <w:pPr>
        <w:ind w:left="5260"/>
        <w:spacing w:after="0" w:line="234" w:lineRule="auto"/>
        <w:rPr>
          <w:sz w:val="20"/>
          <w:szCs w:val="20"/>
          <w:color w:val="auto"/>
        </w:rPr>
      </w:pPr>
      <w:r>
        <w:rPr>
          <w:rFonts w:ascii="Arial" w:cs="Arial" w:eastAsia="Arial" w:hAnsi="Arial"/>
          <w:sz w:val="18"/>
          <w:szCs w:val="18"/>
          <w:color w:val="auto"/>
        </w:rPr>
        <w:t>person or by proxy of shares of outstanding capital</w:t>
      </w:r>
    </w:p>
    <w:p>
      <w:pPr>
        <w:ind w:left="5260"/>
        <w:spacing w:after="0" w:line="235" w:lineRule="auto"/>
        <w:rPr>
          <w:sz w:val="20"/>
          <w:szCs w:val="20"/>
          <w:color w:val="auto"/>
        </w:rPr>
      </w:pPr>
      <w:r>
        <w:rPr>
          <w:rFonts w:ascii="Arial" w:cs="Arial" w:eastAsia="Arial" w:hAnsi="Arial"/>
          <w:sz w:val="18"/>
          <w:szCs w:val="18"/>
          <w:color w:val="auto"/>
        </w:rPr>
        <w:t>stock of the Company representing a majority of the</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voting power of all outstanding shares of capital stock</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 the Company entitled to vote at such meeting. Our</w:t>
      </w:r>
    </w:p>
    <w:p>
      <w:pPr>
        <w:ind w:left="5260"/>
        <w:spacing w:after="0"/>
        <w:rPr>
          <w:sz w:val="20"/>
          <w:szCs w:val="20"/>
          <w:color w:val="auto"/>
        </w:rPr>
      </w:pPr>
      <w:r>
        <w:rPr>
          <w:rFonts w:ascii="Arial" w:cs="Arial" w:eastAsia="Arial" w:hAnsi="Arial"/>
          <w:sz w:val="17"/>
          <w:szCs w:val="17"/>
          <w:color w:val="auto"/>
        </w:rPr>
        <w:t>initial stockholders will count towards this quorum and,</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pursuant to the letter agreement, our sponsor, officers</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and directors have agreed to vote any founder shares</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they hold and any public shares purchased during or</w:t>
      </w:r>
    </w:p>
    <w:p>
      <w:pPr>
        <w:ind w:left="5260"/>
        <w:spacing w:after="0" w:line="234" w:lineRule="auto"/>
        <w:rPr>
          <w:sz w:val="20"/>
          <w:szCs w:val="20"/>
          <w:color w:val="auto"/>
        </w:rPr>
      </w:pPr>
      <w:r>
        <w:rPr>
          <w:rFonts w:ascii="Arial" w:cs="Arial" w:eastAsia="Arial" w:hAnsi="Arial"/>
          <w:sz w:val="18"/>
          <w:szCs w:val="18"/>
          <w:color w:val="auto"/>
        </w:rPr>
        <w:t>after this offering (including in open market and</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privately-negotiated transactions) in favor of our initial</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business combination. For purposes of seeking</w:t>
      </w:r>
    </w:p>
    <w:p>
      <w:pPr>
        <w:ind w:left="5260"/>
        <w:spacing w:after="0" w:line="234" w:lineRule="auto"/>
        <w:rPr>
          <w:sz w:val="20"/>
          <w:szCs w:val="20"/>
          <w:color w:val="auto"/>
        </w:rPr>
      </w:pPr>
      <w:r>
        <w:rPr>
          <w:rFonts w:ascii="Arial" w:cs="Arial" w:eastAsia="Arial" w:hAnsi="Arial"/>
          <w:sz w:val="18"/>
          <w:szCs w:val="18"/>
          <w:color w:val="auto"/>
        </w:rPr>
        <w:t>approval of the majority of our outstanding shares of</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common stock voted, non-votes will have no effect on</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 approval of our initial business combination once a</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quorum is obtained. As a result, in addition to our</w:t>
      </w:r>
    </w:p>
    <w:p>
      <w:pPr>
        <w:ind w:left="5260"/>
        <w:spacing w:after="0" w:line="234" w:lineRule="auto"/>
        <w:rPr>
          <w:sz w:val="20"/>
          <w:szCs w:val="20"/>
          <w:color w:val="auto"/>
        </w:rPr>
      </w:pPr>
      <w:r>
        <w:rPr>
          <w:rFonts w:ascii="Arial" w:cs="Arial" w:eastAsia="Arial" w:hAnsi="Arial"/>
          <w:sz w:val="18"/>
          <w:szCs w:val="18"/>
          <w:color w:val="auto"/>
        </w:rPr>
        <w:t>initial stockholders’ founder shares and private</w:t>
      </w:r>
    </w:p>
    <w:p>
      <w:pPr>
        <w:ind w:left="5260"/>
        <w:spacing w:after="0" w:line="235" w:lineRule="auto"/>
        <w:rPr>
          <w:sz w:val="20"/>
          <w:szCs w:val="20"/>
          <w:color w:val="auto"/>
        </w:rPr>
      </w:pPr>
      <w:r>
        <w:rPr>
          <w:rFonts w:ascii="Arial" w:cs="Arial" w:eastAsia="Arial" w:hAnsi="Arial"/>
          <w:sz w:val="18"/>
          <w:szCs w:val="18"/>
          <w:color w:val="auto"/>
        </w:rPr>
        <w:t>placement shares, we would need only 3,562,501, or</w:t>
      </w:r>
    </w:p>
    <w:p>
      <w:pPr>
        <w:ind w:left="5260"/>
        <w:spacing w:after="0" w:line="235" w:lineRule="auto"/>
        <w:rPr>
          <w:sz w:val="20"/>
          <w:szCs w:val="20"/>
          <w:color w:val="auto"/>
        </w:rPr>
      </w:pPr>
      <w:r>
        <w:rPr>
          <w:rFonts w:ascii="Arial" w:cs="Arial" w:eastAsia="Arial" w:hAnsi="Arial"/>
          <w:sz w:val="18"/>
          <w:szCs w:val="18"/>
          <w:color w:val="auto"/>
        </w:rPr>
        <w:t>35.6%, of the 10,000,000 public shares sold in this</w:t>
      </w:r>
    </w:p>
    <w:p>
      <w:pPr>
        <w:ind w:left="5260"/>
        <w:spacing w:after="0" w:line="235" w:lineRule="auto"/>
        <w:rPr>
          <w:sz w:val="20"/>
          <w:szCs w:val="20"/>
          <w:color w:val="auto"/>
        </w:rPr>
      </w:pPr>
      <w:r>
        <w:rPr>
          <w:rFonts w:ascii="Arial" w:cs="Arial" w:eastAsia="Arial" w:hAnsi="Arial"/>
          <w:sz w:val="18"/>
          <w:szCs w:val="18"/>
          <w:color w:val="auto"/>
        </w:rPr>
        <w:t>offering to be voted in favor of an initial business</w:t>
      </w:r>
    </w:p>
    <w:p>
      <w:pPr>
        <w:ind w:left="5260"/>
        <w:spacing w:after="0" w:line="235" w:lineRule="auto"/>
        <w:rPr>
          <w:sz w:val="20"/>
          <w:szCs w:val="20"/>
          <w:color w:val="auto"/>
        </w:rPr>
      </w:pPr>
      <w:r>
        <w:rPr>
          <w:rFonts w:ascii="Arial" w:cs="Arial" w:eastAsia="Arial" w:hAnsi="Arial"/>
          <w:sz w:val="18"/>
          <w:szCs w:val="18"/>
          <w:color w:val="auto"/>
        </w:rPr>
        <w:t>combination (assuming all outstanding shares are</w:t>
      </w:r>
    </w:p>
    <w:p>
      <w:pPr>
        <w:ind w:left="5260"/>
        <w:spacing w:after="0"/>
        <w:rPr>
          <w:sz w:val="20"/>
          <w:szCs w:val="20"/>
          <w:color w:val="auto"/>
        </w:rPr>
      </w:pPr>
      <w:r>
        <w:rPr>
          <w:rFonts w:ascii="Arial" w:cs="Arial" w:eastAsia="Arial" w:hAnsi="Arial"/>
          <w:sz w:val="17"/>
          <w:szCs w:val="17"/>
          <w:color w:val="auto"/>
        </w:rPr>
        <w:t>voted) in order to have our initial business combination</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approved (assuming the over-allotment option is not</w:t>
      </w:r>
    </w:p>
    <w:p>
      <w:pPr>
        <w:ind w:left="5260"/>
        <w:spacing w:after="0"/>
        <w:rPr>
          <w:sz w:val="20"/>
          <w:szCs w:val="20"/>
          <w:color w:val="auto"/>
        </w:rPr>
      </w:pPr>
      <w:r>
        <w:rPr>
          <w:rFonts w:ascii="Arial" w:cs="Arial" w:eastAsia="Arial" w:hAnsi="Arial"/>
          <w:sz w:val="17"/>
          <w:szCs w:val="17"/>
          <w:color w:val="auto"/>
        </w:rPr>
        <w:t>exercised). These quorum and voting thresholds, and</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 voting agreements of our initial stockholders, may</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make it more likely that we will consummate our initial</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business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combination. Each public stockholder may elect to</w:t>
      </w:r>
    </w:p>
    <w:p>
      <w:pPr>
        <w:spacing w:after="0" w:line="1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redeem its public shares irrespective of whether they</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vote for or against the proposed transaction or whether</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they were a stockholder on the record date for the</w:t>
      </w:r>
    </w:p>
    <w:p>
      <w:pPr>
        <w:ind w:left="5260"/>
        <w:spacing w:after="0" w:line="234" w:lineRule="auto"/>
        <w:rPr>
          <w:sz w:val="20"/>
          <w:szCs w:val="20"/>
          <w:color w:val="auto"/>
        </w:rPr>
      </w:pPr>
      <w:r>
        <w:rPr>
          <w:rFonts w:ascii="Arial" w:cs="Arial" w:eastAsia="Arial" w:hAnsi="Arial"/>
          <w:sz w:val="18"/>
          <w:szCs w:val="18"/>
          <w:color w:val="auto"/>
        </w:rPr>
        <w:t>stockholder meeting held to approve the proposed</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transaction.</w:t>
      </w:r>
    </w:p>
    <w:p>
      <w:pPr>
        <w:spacing w:after="0" w:line="1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If a stockholder vote is not required and we do not</w:t>
      </w:r>
    </w:p>
    <w:p>
      <w:pPr>
        <w:spacing w:after="0" w:line="1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decide to hold a stockholder vote for business or other</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legal reasons, we will:</w:t>
      </w:r>
    </w:p>
    <w:p>
      <w:pPr>
        <w:spacing w:after="0" w:line="128"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conduct the redemptions pursuant to Rule 13e-4</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Regulation 14E of the Exchange Act, which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regulate issuer tender offers, and</w:t>
      </w:r>
    </w:p>
    <w:p>
      <w:pPr>
        <w:spacing w:after="0" w:line="130"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file tender offer documents with the SEC prior to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completing our initial business combination which</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contain substantially the same financial and other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information about our initial business combination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the redemption rights as is required under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Regulation 14A of the Exchange Act, which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regulates the solicitation of proxies.</w:t>
      </w:r>
    </w:p>
    <w:p>
      <w:pPr>
        <w:spacing w:after="0" w:line="1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the event we conduct redemptions pursuant to the</w:t>
      </w:r>
    </w:p>
    <w:p>
      <w:pPr>
        <w:spacing w:after="0" w:line="1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tender offer rules, our offer to redeem will remain open</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for at least 20 business days, in accordance with</w:t>
      </w:r>
    </w:p>
    <w:p>
      <w:pPr>
        <w:ind w:left="5260"/>
        <w:spacing w:after="0"/>
        <w:rPr>
          <w:sz w:val="20"/>
          <w:szCs w:val="20"/>
          <w:color w:val="auto"/>
        </w:rPr>
      </w:pPr>
      <w:r>
        <w:rPr>
          <w:rFonts w:ascii="Arial" w:cs="Arial" w:eastAsia="Arial" w:hAnsi="Arial"/>
          <w:sz w:val="17"/>
          <w:szCs w:val="17"/>
          <w:color w:val="auto"/>
        </w:rPr>
        <w:t>Rule 14e-1(a) under the Exchange Act, and we will not</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be permitted to complete our initial business</w:t>
      </w:r>
    </w:p>
    <w:p>
      <w:pPr>
        <w:ind w:left="5260"/>
        <w:spacing w:after="0" w:line="234" w:lineRule="auto"/>
        <w:rPr>
          <w:sz w:val="20"/>
          <w:szCs w:val="20"/>
          <w:color w:val="auto"/>
        </w:rPr>
      </w:pPr>
      <w:r>
        <w:rPr>
          <w:rFonts w:ascii="Arial" w:cs="Arial" w:eastAsia="Arial" w:hAnsi="Arial"/>
          <w:sz w:val="18"/>
          <w:szCs w:val="18"/>
          <w:color w:val="auto"/>
        </w:rPr>
        <w:t>combination until the expiration of the tender offer</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period. In addition, the tender offer will be conditioned</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on public stockholders not tendering more than the</w:t>
      </w:r>
    </w:p>
    <w:p>
      <w:pPr>
        <w:ind w:left="5260"/>
        <w:spacing w:after="0"/>
        <w:rPr>
          <w:sz w:val="20"/>
          <w:szCs w:val="20"/>
          <w:color w:val="auto"/>
        </w:rPr>
      </w:pPr>
      <w:r>
        <w:rPr>
          <w:rFonts w:ascii="Arial" w:cs="Arial" w:eastAsia="Arial" w:hAnsi="Arial"/>
          <w:sz w:val="17"/>
          <w:szCs w:val="17"/>
          <w:color w:val="auto"/>
        </w:rPr>
        <w:t>number of public shares we are permitted to redeem. If</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public stockholders tender more shares than we have</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offered to purchase, we will withdraw the tender offer</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and not complete such initial business combination.</w:t>
      </w:r>
    </w:p>
    <w:p>
      <w:pPr>
        <w:spacing w:after="0" w:line="128"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Upon the public announcement of our initial business</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combination, if we elect to conduct redemptions</w:t>
      </w:r>
    </w:p>
    <w:p>
      <w:pPr>
        <w:ind w:left="5260"/>
        <w:spacing w:after="0" w:line="234" w:lineRule="auto"/>
        <w:rPr>
          <w:sz w:val="20"/>
          <w:szCs w:val="20"/>
          <w:color w:val="auto"/>
        </w:rPr>
      </w:pPr>
      <w:r>
        <w:rPr>
          <w:rFonts w:ascii="Arial" w:cs="Arial" w:eastAsia="Arial" w:hAnsi="Arial"/>
          <w:sz w:val="18"/>
          <w:szCs w:val="18"/>
          <w:color w:val="auto"/>
        </w:rPr>
        <w:t>pursuant to the tender offer rules, we or our sponsor</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will terminate any plan established in accordance with</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Rule 10b5-1 to purchase shares of our Class A common</w:t>
      </w:r>
    </w:p>
    <w:p>
      <w:pPr>
        <w:spacing w:after="0" w:line="1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stock in the open market, in order to comply with</w:t>
      </w:r>
    </w:p>
    <w:p>
      <w:pPr>
        <w:ind w:left="5260"/>
        <w:spacing w:after="0"/>
        <w:rPr>
          <w:sz w:val="20"/>
          <w:szCs w:val="20"/>
          <w:color w:val="auto"/>
        </w:rPr>
      </w:pPr>
      <w:r>
        <w:rPr>
          <w:rFonts w:ascii="Arial" w:cs="Arial" w:eastAsia="Arial" w:hAnsi="Arial"/>
          <w:sz w:val="18"/>
          <w:szCs w:val="18"/>
          <w:color w:val="auto"/>
        </w:rPr>
        <w:t>Rule 14e-5 under the Exchange Act.</w:t>
      </w:r>
    </w:p>
    <w:p>
      <w:pPr>
        <w:spacing w:after="0" w:line="115"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We intend to require our public stockholders seeking to</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exercise their redemption rights, whether they are</w:t>
      </w:r>
    </w:p>
    <w:p>
      <w:pPr>
        <w:ind w:left="5260"/>
        <w:spacing w:after="0"/>
        <w:rPr>
          <w:sz w:val="20"/>
          <w:szCs w:val="20"/>
          <w:color w:val="auto"/>
        </w:rPr>
      </w:pPr>
      <w:r>
        <w:rPr>
          <w:rFonts w:ascii="Arial" w:cs="Arial" w:eastAsia="Arial" w:hAnsi="Arial"/>
          <w:sz w:val="17"/>
          <w:szCs w:val="17"/>
          <w:color w:val="auto"/>
        </w:rPr>
        <w:t>record holders or hold their shares in “street name,” to,</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at the holder’s option, either deliver their stock</w:t>
      </w:r>
    </w:p>
    <w:p>
      <w:pPr>
        <w:ind w:left="5260"/>
        <w:spacing w:after="0"/>
        <w:rPr>
          <w:sz w:val="20"/>
          <w:szCs w:val="20"/>
          <w:color w:val="auto"/>
        </w:rPr>
      </w:pPr>
      <w:r>
        <w:rPr>
          <w:rFonts w:ascii="Arial" w:cs="Arial" w:eastAsia="Arial" w:hAnsi="Arial"/>
          <w:sz w:val="17"/>
          <w:szCs w:val="17"/>
          <w:color w:val="auto"/>
        </w:rPr>
        <w:t>certificates to our transfer agent or deliver their shares</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to our transfer agent electronically using The</w:t>
      </w:r>
    </w:p>
    <w:p>
      <w:pPr>
        <w:ind w:left="5260"/>
        <w:spacing w:after="0" w:line="234" w:lineRule="auto"/>
        <w:rPr>
          <w:sz w:val="20"/>
          <w:szCs w:val="20"/>
          <w:color w:val="auto"/>
        </w:rPr>
      </w:pPr>
      <w:r>
        <w:rPr>
          <w:rFonts w:ascii="Arial" w:cs="Arial" w:eastAsia="Arial" w:hAnsi="Arial"/>
          <w:sz w:val="18"/>
          <w:szCs w:val="18"/>
          <w:color w:val="auto"/>
        </w:rPr>
        <w:t>Depository Trust Company’s DWAC</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(Deposit/Withdrawal At Custodian) system, prior to the</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date set forth in the proxy materials or tender offer</w:t>
      </w:r>
    </w:p>
    <w:p>
      <w:pPr>
        <w:ind w:left="5260"/>
        <w:spacing w:after="0" w:line="234" w:lineRule="auto"/>
        <w:rPr>
          <w:sz w:val="20"/>
          <w:szCs w:val="20"/>
          <w:color w:val="auto"/>
        </w:rPr>
      </w:pPr>
      <w:r>
        <w:rPr>
          <w:rFonts w:ascii="Arial" w:cs="Arial" w:eastAsia="Arial" w:hAnsi="Arial"/>
          <w:sz w:val="18"/>
          <w:szCs w:val="18"/>
          <w:color w:val="auto"/>
        </w:rPr>
        <w:t>documents, as applicable. In the case of proxy</w:t>
      </w:r>
    </w:p>
    <w:p>
      <w:pPr>
        <w:ind w:left="5260"/>
        <w:spacing w:after="0" w:line="235" w:lineRule="auto"/>
        <w:rPr>
          <w:sz w:val="20"/>
          <w:szCs w:val="20"/>
          <w:color w:val="auto"/>
        </w:rPr>
      </w:pPr>
      <w:r>
        <w:rPr>
          <w:rFonts w:ascii="Arial" w:cs="Arial" w:eastAsia="Arial" w:hAnsi="Arial"/>
          <w:sz w:val="18"/>
          <w:szCs w:val="18"/>
          <w:color w:val="auto"/>
        </w:rPr>
        <w:t>materials, this date may be up to two business days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prior to the date on which the vote on the proposal to</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approve the initial business combination is to be held.</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addition, if we conduct redemptions in connection</w:t>
      </w:r>
    </w:p>
    <w:p>
      <w:pPr>
        <w:ind w:left="5260"/>
        <w:spacing w:after="0"/>
        <w:rPr>
          <w:sz w:val="20"/>
          <w:szCs w:val="20"/>
          <w:color w:val="auto"/>
        </w:rPr>
      </w:pPr>
      <w:r>
        <w:rPr>
          <w:rFonts w:ascii="Arial" w:cs="Arial" w:eastAsia="Arial" w:hAnsi="Arial"/>
          <w:sz w:val="18"/>
          <w:szCs w:val="18"/>
          <w:color w:val="auto"/>
        </w:rPr>
        <w:t>with a stockholder vote, we intend to</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60" w:hanging="179"/>
        <w:spacing w:after="0" w:line="243" w:lineRule="auto"/>
        <w:rPr>
          <w:sz w:val="20"/>
          <w:szCs w:val="20"/>
          <w:color w:val="auto"/>
        </w:rPr>
      </w:pPr>
      <w:r>
        <w:rPr>
          <w:rFonts w:ascii="Arial" w:cs="Arial" w:eastAsia="Arial" w:hAnsi="Arial"/>
          <w:sz w:val="18"/>
          <w:szCs w:val="18"/>
          <w:color w:val="auto"/>
        </w:rPr>
        <w:t>Limitation on redemption rights of stockholders holding 20% or more of the shares sold in this offering if we hold stockholder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 w:right="679"/>
        <w:spacing w:after="0" w:line="251" w:lineRule="auto"/>
        <w:rPr>
          <w:sz w:val="20"/>
          <w:szCs w:val="20"/>
          <w:color w:val="auto"/>
        </w:rPr>
      </w:pPr>
      <w:r>
        <w:rPr>
          <w:rFonts w:ascii="Arial" w:cs="Arial" w:eastAsia="Arial" w:hAnsi="Arial"/>
          <w:sz w:val="17"/>
          <w:szCs w:val="17"/>
          <w:color w:val="auto"/>
        </w:rPr>
        <w:t>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98" w:lineRule="exact"/>
        <w:rPr>
          <w:sz w:val="20"/>
          <w:szCs w:val="20"/>
          <w:color w:val="auto"/>
        </w:rPr>
      </w:pPr>
    </w:p>
    <w:p>
      <w:pPr>
        <w:ind w:left="2" w:right="719"/>
        <w:spacing w:after="0" w:line="251" w:lineRule="auto"/>
        <w:rPr>
          <w:sz w:val="20"/>
          <w:szCs w:val="20"/>
          <w:color w:val="auto"/>
        </w:rPr>
      </w:pPr>
      <w:r>
        <w:rPr>
          <w:rFonts w:ascii="Arial" w:cs="Arial" w:eastAsia="Arial" w:hAnsi="Arial"/>
          <w:sz w:val="17"/>
          <w:szCs w:val="17"/>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spacing w:after="0" w:line="1" w:lineRule="exact"/>
        <w:rPr>
          <w:sz w:val="20"/>
          <w:szCs w:val="20"/>
          <w:color w:val="auto"/>
        </w:rPr>
      </w:pPr>
    </w:p>
    <w:p>
      <w:pPr>
        <w:ind w:left="2" w:right="679" w:hanging="2"/>
        <w:spacing w:after="0" w:line="250" w:lineRule="auto"/>
        <w:tabs>
          <w:tab w:leader="none" w:pos="33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 w:right="699"/>
        <w:spacing w:after="0" w:line="268" w:lineRule="auto"/>
        <w:rPr>
          <w:sz w:val="20"/>
          <w:szCs w:val="20"/>
          <w:color w:val="auto"/>
        </w:rPr>
      </w:pPr>
      <w:r>
        <w:rPr>
          <w:rFonts w:ascii="Arial" w:cs="Arial" w:eastAsia="Arial" w:hAnsi="Arial"/>
          <w:sz w:val="17"/>
          <w:szCs w:val="17"/>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20% of the shares sold in this offering, without our prior consent. We believe the</w:t>
      </w:r>
    </w:p>
    <w:p>
      <w:pPr>
        <w:spacing w:after="0" w:line="200" w:lineRule="exact"/>
        <w:rPr>
          <w:sz w:val="20"/>
          <w:szCs w:val="20"/>
          <w:color w:val="auto"/>
        </w:rPr>
      </w:pPr>
    </w:p>
    <w:p>
      <w:pPr>
        <w:sectPr>
          <w:pgSz w:w="11900" w:h="16838" w:orient="portrait"/>
          <w:cols w:equalWidth="0" w:num="2">
            <w:col w:w="4540" w:space="718"/>
            <w:col w:w="4882"/>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8019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Release of funds in trust account on closing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60" w:right="100" w:hanging="179"/>
        <w:spacing w:after="0" w:line="263" w:lineRule="auto"/>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59"/>
        <w:spacing w:after="0" w:line="266" w:lineRule="auto"/>
        <w:rPr>
          <w:sz w:val="20"/>
          <w:szCs w:val="20"/>
          <w:color w:val="auto"/>
        </w:rPr>
      </w:pPr>
      <w:r>
        <w:rPr>
          <w:rFonts w:ascii="Arial" w:cs="Arial" w:eastAsia="Arial" w:hAnsi="Arial"/>
          <w:sz w:val="17"/>
          <w:szCs w:val="17"/>
          <w:color w:val="auto"/>
        </w:rPr>
        <w:t>restriction described above will discourage stockholders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stockholders’ ability to redeem to no more than 20%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20% of the shares sold in this offering) for or against our initial business combination.</w:t>
      </w:r>
    </w:p>
    <w:p>
      <w:pPr>
        <w:spacing w:after="0" w:line="307" w:lineRule="exact"/>
        <w:rPr>
          <w:sz w:val="20"/>
          <w:szCs w:val="20"/>
          <w:color w:val="auto"/>
        </w:rPr>
      </w:pPr>
    </w:p>
    <w:p>
      <w:pPr>
        <w:ind w:right="659"/>
        <w:spacing w:after="0" w:line="267"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exercise their redemption rights as described above under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739"/>
        <w:spacing w:after="0" w:line="286" w:lineRule="auto"/>
        <w:rPr>
          <w:sz w:val="20"/>
          <w:szCs w:val="20"/>
          <w:color w:val="auto"/>
        </w:rPr>
      </w:pPr>
      <w:r>
        <w:rPr>
          <w:rFonts w:ascii="Arial" w:cs="Arial" w:eastAsia="Arial" w:hAnsi="Arial"/>
          <w:sz w:val="17"/>
          <w:szCs w:val="17"/>
          <w:color w:val="auto"/>
        </w:rPr>
        <w:t>Our amended and restated certificate of incorporation provides that we will have only 18 months from the closing of this offering to complete our initial business</w:t>
      </w:r>
    </w:p>
    <w:p>
      <w:pPr>
        <w:spacing w:after="0" w:line="200" w:lineRule="exact"/>
        <w:rPr>
          <w:sz w:val="20"/>
          <w:szCs w:val="20"/>
          <w:color w:val="auto"/>
        </w:rPr>
      </w:pPr>
    </w:p>
    <w:p>
      <w:pPr>
        <w:sectPr>
          <w:pgSz w:w="11900" w:h="16838" w:orient="portrait"/>
          <w:cols w:equalWidth="0" w:num="2">
            <w:col w:w="4780" w:space="480"/>
            <w:col w:w="4879"/>
          </w:cols>
          <w:pgMar w:left="320" w:top="131" w:right="1440" w:bottom="1440" w:gutter="0" w:footer="0" w:header="0"/>
          <w:type w:val="continuous"/>
        </w:sectPr>
      </w:pP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combination. If we do not complete our initial business</w:t>
      </w:r>
    </w:p>
    <w:p>
      <w:pPr>
        <w:spacing w:after="0" w:line="3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combination within such 18-month period, we will:</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 cease all operations except for the purpose of</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winding up, (ii) as promptly as reasonably possible but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not more than ten business days thereafter, redeem the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public shares, at a per-share price, payable in cash,</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equal to the aggregate amount then on deposit in the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trust account, including interest earned on the funds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held in the trust account (net of permitted withdrawals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and up to $100,000 of interest to pay dissolution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expenses), divided by the number of then outstanding</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public shares, which redemption will completely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extinguish public stockholders’ rights as stockholders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(including the right to receive further liquidating</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distributions, if any), and (iii) as promptly as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reasonably possible following such redemption, subject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to the approval of our remaining stockholders and our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board of directors, liquidate and dissolve, subject, in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each case, to our obligations under Delaware law to</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provide for claims of creditors and the requirements of</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other applicable law.</w:t>
      </w:r>
    </w:p>
    <w:p>
      <w:pPr>
        <w:spacing w:after="0" w:line="13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There will be no redemption rights or liquidating</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distributions with respect to our warrants, which will</w:t>
      </w:r>
    </w:p>
    <w:p>
      <w:pPr>
        <w:ind w:left="5260"/>
        <w:spacing w:after="0" w:line="234" w:lineRule="auto"/>
        <w:rPr>
          <w:sz w:val="20"/>
          <w:szCs w:val="20"/>
          <w:color w:val="auto"/>
        </w:rPr>
      </w:pPr>
      <w:r>
        <w:rPr>
          <w:rFonts w:ascii="Arial" w:cs="Arial" w:eastAsia="Arial" w:hAnsi="Arial"/>
          <w:sz w:val="18"/>
          <w:szCs w:val="18"/>
          <w:color w:val="auto"/>
        </w:rPr>
        <w:t>expire worthless if we fail to complete our initial</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business combination within the 18-month time period.</w:t>
      </w:r>
    </w:p>
    <w:p>
      <w:pPr>
        <w:spacing w:after="0" w:line="140"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Our initial stockholders have entered into agreements</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with us, pursuant to which they have waived their</w:t>
      </w:r>
    </w:p>
    <w:p>
      <w:pPr>
        <w:ind w:left="5260"/>
        <w:spacing w:after="0"/>
        <w:rPr>
          <w:sz w:val="20"/>
          <w:szCs w:val="20"/>
          <w:color w:val="auto"/>
        </w:rPr>
      </w:pPr>
      <w:r>
        <w:rPr>
          <w:rFonts w:ascii="Arial" w:cs="Arial" w:eastAsia="Arial" w:hAnsi="Arial"/>
          <w:sz w:val="17"/>
          <w:szCs w:val="17"/>
          <w:color w:val="auto"/>
        </w:rPr>
        <w:t>rights to liquidating distributions from the trust account</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with respect to their founder shares if we fail to</w:t>
      </w:r>
    </w:p>
    <w:p>
      <w:pPr>
        <w:ind w:left="5260"/>
        <w:spacing w:after="0" w:line="234" w:lineRule="auto"/>
        <w:rPr>
          <w:sz w:val="20"/>
          <w:szCs w:val="20"/>
          <w:color w:val="auto"/>
        </w:rPr>
      </w:pPr>
      <w:r>
        <w:rPr>
          <w:rFonts w:ascii="Arial" w:cs="Arial" w:eastAsia="Arial" w:hAnsi="Arial"/>
          <w:sz w:val="18"/>
          <w:szCs w:val="18"/>
          <w:color w:val="auto"/>
        </w:rPr>
        <w:t>complete our initial business combination within</w:t>
      </w:r>
    </w:p>
    <w:p>
      <w:pPr>
        <w:ind w:left="5260"/>
        <w:spacing w:after="0" w:line="235" w:lineRule="auto"/>
        <w:rPr>
          <w:sz w:val="20"/>
          <w:szCs w:val="20"/>
          <w:color w:val="auto"/>
        </w:rPr>
      </w:pPr>
      <w:r>
        <w:rPr>
          <w:rFonts w:ascii="Arial" w:cs="Arial" w:eastAsia="Arial" w:hAnsi="Arial"/>
          <w:sz w:val="18"/>
          <w:szCs w:val="18"/>
          <w:color w:val="auto"/>
        </w:rPr>
        <w:t>18 months from the closing of this offering. However,</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if our initial stockholders or management team acquire</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public shares in or after this offering, they will be</w:t>
      </w:r>
    </w:p>
    <w:p>
      <w:pPr>
        <w:ind w:left="5260"/>
        <w:spacing w:after="0" w:line="234" w:lineRule="auto"/>
        <w:rPr>
          <w:sz w:val="20"/>
          <w:szCs w:val="20"/>
          <w:color w:val="auto"/>
        </w:rPr>
      </w:pPr>
      <w:r>
        <w:rPr>
          <w:rFonts w:ascii="Arial" w:cs="Arial" w:eastAsia="Arial" w:hAnsi="Arial"/>
          <w:sz w:val="18"/>
          <w:szCs w:val="18"/>
          <w:color w:val="auto"/>
        </w:rPr>
        <w:t>entitled to liquidating distributions from the trust</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account with respect to such public shares if we fail to</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complete our initial business combination within the</w:t>
      </w:r>
    </w:p>
    <w:p>
      <w:pPr>
        <w:ind w:left="5260"/>
        <w:spacing w:after="0"/>
        <w:rPr>
          <w:sz w:val="20"/>
          <w:szCs w:val="20"/>
          <w:color w:val="auto"/>
        </w:rPr>
      </w:pPr>
      <w:r>
        <w:rPr>
          <w:rFonts w:ascii="Arial" w:cs="Arial" w:eastAsia="Arial" w:hAnsi="Arial"/>
          <w:sz w:val="18"/>
          <w:szCs w:val="18"/>
          <w:color w:val="auto"/>
        </w:rPr>
        <w:t>allotted 18-month time frame.</w:t>
      </w:r>
    </w:p>
    <w:p>
      <w:pPr>
        <w:spacing w:after="0" w:line="12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underwriters have agreed to waive their rights to</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their deferred underwriting commission held in the</w:t>
      </w:r>
    </w:p>
    <w:p>
      <w:pPr>
        <w:ind w:left="5260"/>
        <w:spacing w:after="0"/>
        <w:rPr>
          <w:sz w:val="20"/>
          <w:szCs w:val="20"/>
          <w:color w:val="auto"/>
        </w:rPr>
      </w:pPr>
      <w:r>
        <w:rPr>
          <w:rFonts w:ascii="Arial" w:cs="Arial" w:eastAsia="Arial" w:hAnsi="Arial"/>
          <w:sz w:val="17"/>
          <w:szCs w:val="17"/>
          <w:color w:val="auto"/>
        </w:rPr>
        <w:t>trust account in the event we do not complete our initial</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business combination within 18 months from the</w:t>
      </w:r>
    </w:p>
    <w:p>
      <w:pPr>
        <w:ind w:left="5260"/>
        <w:spacing w:after="0" w:line="234" w:lineRule="auto"/>
        <w:rPr>
          <w:sz w:val="20"/>
          <w:szCs w:val="20"/>
          <w:color w:val="auto"/>
        </w:rPr>
      </w:pPr>
      <w:r>
        <w:rPr>
          <w:rFonts w:ascii="Arial" w:cs="Arial" w:eastAsia="Arial" w:hAnsi="Arial"/>
          <w:sz w:val="18"/>
          <w:szCs w:val="18"/>
          <w:color w:val="auto"/>
        </w:rPr>
        <w:t>closing of this offering and, in such event, such</w:t>
      </w:r>
    </w:p>
    <w:p>
      <w:pPr>
        <w:ind w:left="5260"/>
        <w:spacing w:after="0" w:line="235" w:lineRule="auto"/>
        <w:rPr>
          <w:sz w:val="20"/>
          <w:szCs w:val="20"/>
          <w:color w:val="auto"/>
        </w:rPr>
      </w:pPr>
      <w:r>
        <w:rPr>
          <w:rFonts w:ascii="Arial" w:cs="Arial" w:eastAsia="Arial" w:hAnsi="Arial"/>
          <w:sz w:val="18"/>
          <w:szCs w:val="18"/>
          <w:color w:val="auto"/>
        </w:rPr>
        <w:t>amounts will be included with the funds held in the</w:t>
      </w:r>
    </w:p>
    <w:p>
      <w:pPr>
        <w:ind w:left="5260"/>
        <w:spacing w:after="0" w:line="235" w:lineRule="auto"/>
        <w:rPr>
          <w:sz w:val="20"/>
          <w:szCs w:val="20"/>
          <w:color w:val="auto"/>
        </w:rPr>
      </w:pPr>
      <w:r>
        <w:rPr>
          <w:rFonts w:ascii="Arial" w:cs="Arial" w:eastAsia="Arial" w:hAnsi="Arial"/>
          <w:sz w:val="18"/>
          <w:szCs w:val="18"/>
          <w:color w:val="auto"/>
        </w:rPr>
        <w:t>trust account that will be available to fund the</w:t>
      </w:r>
    </w:p>
    <w:p>
      <w:pPr>
        <w:ind w:left="5260"/>
        <w:spacing w:after="0"/>
        <w:rPr>
          <w:sz w:val="20"/>
          <w:szCs w:val="20"/>
          <w:color w:val="auto"/>
        </w:rPr>
      </w:pPr>
      <w:r>
        <w:rPr>
          <w:rFonts w:ascii="Arial" w:cs="Arial" w:eastAsia="Arial" w:hAnsi="Arial"/>
          <w:sz w:val="18"/>
          <w:szCs w:val="18"/>
          <w:color w:val="auto"/>
        </w:rPr>
        <w:t>redemption of our public shares.</w:t>
      </w:r>
    </w:p>
    <w:p>
      <w:pPr>
        <w:spacing w:after="0" w:line="115"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Our sponsor, executive officers, directors and director</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nominees have agreed, pursuant to a written agreement</w:t>
      </w:r>
    </w:p>
    <w:p>
      <w:pPr>
        <w:spacing w:after="0" w:line="1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with us, that they will not propose any amendment to</w:t>
      </w:r>
    </w:p>
    <w:p>
      <w:pPr>
        <w:ind w:left="5260"/>
        <w:spacing w:after="0"/>
        <w:rPr>
          <w:sz w:val="20"/>
          <w:szCs w:val="20"/>
          <w:color w:val="auto"/>
        </w:rPr>
      </w:pPr>
      <w:r>
        <w:rPr>
          <w:rFonts w:ascii="Arial" w:cs="Arial" w:eastAsia="Arial" w:hAnsi="Arial"/>
          <w:sz w:val="17"/>
          <w:szCs w:val="17"/>
          <w:color w:val="auto"/>
        </w:rPr>
        <w:t>our amended and restated certificate of incorporation to</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modify the substance or timing of our obligation to</w:t>
      </w:r>
    </w:p>
    <w:p>
      <w:pPr>
        <w:ind w:left="5260"/>
        <w:spacing w:after="0" w:line="234" w:lineRule="auto"/>
        <w:rPr>
          <w:sz w:val="20"/>
          <w:szCs w:val="20"/>
          <w:color w:val="auto"/>
        </w:rPr>
      </w:pPr>
      <w:r>
        <w:rPr>
          <w:rFonts w:ascii="Arial" w:cs="Arial" w:eastAsia="Arial" w:hAnsi="Arial"/>
          <w:sz w:val="18"/>
          <w:szCs w:val="18"/>
          <w:color w:val="auto"/>
        </w:rPr>
        <w:t>redeem 100% of our public shares if we do not</w:t>
      </w:r>
    </w:p>
    <w:p>
      <w:pPr>
        <w:ind w:left="5260"/>
        <w:spacing w:after="0" w:line="235" w:lineRule="auto"/>
        <w:rPr>
          <w:sz w:val="20"/>
          <w:szCs w:val="20"/>
          <w:color w:val="auto"/>
        </w:rPr>
      </w:pPr>
      <w:r>
        <w:rPr>
          <w:rFonts w:ascii="Arial" w:cs="Arial" w:eastAsia="Arial" w:hAnsi="Arial"/>
          <w:sz w:val="18"/>
          <w:szCs w:val="18"/>
          <w:color w:val="auto"/>
        </w:rPr>
        <w:t>complete our initial business combination within</w:t>
      </w:r>
    </w:p>
    <w:p>
      <w:pPr>
        <w:ind w:left="5260"/>
        <w:spacing w:after="0" w:line="235" w:lineRule="auto"/>
        <w:rPr>
          <w:sz w:val="20"/>
          <w:szCs w:val="20"/>
          <w:color w:val="auto"/>
        </w:rPr>
      </w:pPr>
      <w:r>
        <w:rPr>
          <w:rFonts w:ascii="Arial" w:cs="Arial" w:eastAsia="Arial" w:hAnsi="Arial"/>
          <w:sz w:val="18"/>
          <w:szCs w:val="18"/>
          <w:color w:val="auto"/>
        </w:rPr>
        <w:t>18 months from the closing of this offering or with</w:t>
      </w:r>
    </w:p>
    <w:p>
      <w:pPr>
        <w:ind w:left="5260"/>
        <w:spacing w:after="0"/>
        <w:rPr>
          <w:sz w:val="20"/>
          <w:szCs w:val="20"/>
          <w:color w:val="auto"/>
        </w:rPr>
      </w:pPr>
      <w:r>
        <w:rPr>
          <w:rFonts w:ascii="Arial" w:cs="Arial" w:eastAsia="Arial" w:hAnsi="Arial"/>
          <w:sz w:val="18"/>
          <w:szCs w:val="18"/>
          <w:color w:val="auto"/>
        </w:rPr>
        <w:t>respect to any</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82594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16245" cy="825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other material provisions relating to stockholders’</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rights or pre-initial business combination activity,</w:t>
      </w:r>
    </w:p>
    <w:p>
      <w:pPr>
        <w:ind w:left="5260"/>
        <w:spacing w:after="0" w:line="234" w:lineRule="auto"/>
        <w:rPr>
          <w:sz w:val="20"/>
          <w:szCs w:val="20"/>
          <w:color w:val="auto"/>
        </w:rPr>
      </w:pPr>
      <w:r>
        <w:rPr>
          <w:rFonts w:ascii="Arial" w:cs="Arial" w:eastAsia="Arial" w:hAnsi="Arial"/>
          <w:sz w:val="18"/>
          <w:szCs w:val="18"/>
          <w:color w:val="auto"/>
        </w:rPr>
        <w:t>unless we provide our public stockholders with the</w:t>
      </w:r>
    </w:p>
    <w:p>
      <w:pPr>
        <w:ind w:left="5260"/>
        <w:spacing w:after="0" w:line="235" w:lineRule="auto"/>
        <w:rPr>
          <w:sz w:val="20"/>
          <w:szCs w:val="20"/>
          <w:color w:val="auto"/>
        </w:rPr>
      </w:pPr>
      <w:r>
        <w:rPr>
          <w:rFonts w:ascii="Arial" w:cs="Arial" w:eastAsia="Arial" w:hAnsi="Arial"/>
          <w:sz w:val="18"/>
          <w:szCs w:val="18"/>
          <w:color w:val="auto"/>
        </w:rPr>
        <w:t>opportunity to redeem their Class A common stock</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upon approval of any such amendment at a per-share</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price, payable in cash, equal to the aggregate amount</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then on deposit in the trust account, including interest</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earned on the funds held in the trust account (net of</w:t>
      </w:r>
    </w:p>
    <w:p>
      <w:pPr>
        <w:ind w:left="5260"/>
        <w:spacing w:after="0"/>
        <w:rPr>
          <w:sz w:val="20"/>
          <w:szCs w:val="20"/>
          <w:color w:val="auto"/>
        </w:rPr>
      </w:pPr>
      <w:r>
        <w:rPr>
          <w:rFonts w:ascii="Arial" w:cs="Arial" w:eastAsia="Arial" w:hAnsi="Arial"/>
          <w:sz w:val="17"/>
          <w:szCs w:val="17"/>
          <w:color w:val="auto"/>
        </w:rPr>
        <w:t>permitted withdrawals), divided by the number of then</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outstanding public shares, subject to the limitations</w:t>
      </w:r>
    </w:p>
    <w:p>
      <w:pPr>
        <w:ind w:left="5260"/>
        <w:spacing w:after="0"/>
        <w:rPr>
          <w:sz w:val="20"/>
          <w:szCs w:val="20"/>
          <w:color w:val="auto"/>
        </w:rPr>
      </w:pPr>
      <w:r>
        <w:rPr>
          <w:rFonts w:ascii="Arial" w:cs="Arial" w:eastAsia="Arial" w:hAnsi="Arial"/>
          <w:sz w:val="17"/>
          <w:szCs w:val="17"/>
          <w:color w:val="auto"/>
        </w:rPr>
        <w:t>described above under “Limitations on redemptions.”</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For example, our board of directors may propose such</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an amendment if it determines that additional time is</w:t>
      </w:r>
    </w:p>
    <w:p>
      <w:pPr>
        <w:ind w:left="5260"/>
        <w:spacing w:after="0"/>
        <w:rPr>
          <w:sz w:val="20"/>
          <w:szCs w:val="20"/>
          <w:color w:val="auto"/>
        </w:rPr>
      </w:pPr>
      <w:r>
        <w:rPr>
          <w:rFonts w:ascii="Arial" w:cs="Arial" w:eastAsia="Arial" w:hAnsi="Arial"/>
          <w:sz w:val="17"/>
          <w:szCs w:val="17"/>
          <w:color w:val="auto"/>
        </w:rPr>
        <w:t>necessary to complete our initial business combination.</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In such event, we will conduct a proxy solicitation and</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distribute proxy materials pursuant to Regulation 14A</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 the Exchange Act seeking stockholder approval of</w:t>
      </w:r>
    </w:p>
    <w:p>
      <w:pPr>
        <w:ind w:left="5260"/>
        <w:spacing w:after="0"/>
        <w:rPr>
          <w:sz w:val="20"/>
          <w:szCs w:val="20"/>
          <w:color w:val="auto"/>
        </w:rPr>
      </w:pPr>
      <w:r>
        <w:rPr>
          <w:rFonts w:ascii="Arial" w:cs="Arial" w:eastAsia="Arial" w:hAnsi="Arial"/>
          <w:sz w:val="17"/>
          <w:szCs w:val="17"/>
          <w:color w:val="auto"/>
        </w:rPr>
        <w:t>such proposal, and in connection therewith, provide our</w:t>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public stockholders with the redemption rights</w:t>
      </w:r>
    </w:p>
    <w:p>
      <w:pPr>
        <w:ind w:left="5260"/>
        <w:spacing w:after="0" w:line="234" w:lineRule="auto"/>
        <w:rPr>
          <w:sz w:val="20"/>
          <w:szCs w:val="20"/>
          <w:color w:val="auto"/>
        </w:rPr>
      </w:pPr>
      <w:r>
        <w:rPr>
          <w:rFonts w:ascii="Arial" w:cs="Arial" w:eastAsia="Arial" w:hAnsi="Arial"/>
          <w:sz w:val="18"/>
          <w:szCs w:val="18"/>
          <w:color w:val="auto"/>
        </w:rPr>
        <w:t>described above upon stockholder approval of such</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amendment.</w:t>
      </w:r>
    </w:p>
    <w:p>
      <w:pPr>
        <w:spacing w:after="0" w:line="88" w:lineRule="exact"/>
        <w:rPr>
          <w:sz w:val="20"/>
          <w:szCs w:val="20"/>
          <w:color w:val="auto"/>
        </w:rPr>
      </w:pPr>
    </w:p>
    <w:p>
      <w:pPr>
        <w:ind w:left="1280"/>
        <w:spacing w:after="0"/>
        <w:tabs>
          <w:tab w:leader="none" w:pos="5240" w:val="left"/>
        </w:tabs>
        <w:rPr>
          <w:sz w:val="20"/>
          <w:szCs w:val="20"/>
          <w:color w:val="auto"/>
        </w:rPr>
      </w:pPr>
      <w:r>
        <w:rPr>
          <w:rFonts w:ascii="Arial" w:cs="Arial" w:eastAsia="Arial" w:hAnsi="Arial"/>
          <w:sz w:val="18"/>
          <w:szCs w:val="18"/>
          <w:color w:val="auto"/>
        </w:rPr>
        <w:t>Limited payments to insiders</w:t>
      </w:r>
      <w:r>
        <w:rPr>
          <w:sz w:val="20"/>
          <w:szCs w:val="20"/>
          <w:color w:val="auto"/>
        </w:rPr>
        <w:tab/>
      </w:r>
      <w:r>
        <w:rPr>
          <w:rFonts w:ascii="Arial" w:cs="Arial" w:eastAsia="Arial" w:hAnsi="Arial"/>
          <w:sz w:val="17"/>
          <w:szCs w:val="17"/>
          <w:color w:val="auto"/>
        </w:rPr>
        <w:t>There will be no finder’s fees, reimbursement,</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consulting fee, monies in respect of any payment of a</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loan or other compensation paid by us to our sponsor,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officers or directors, or any affiliate of our sponsor or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officers prior to, or in connection with any services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rendered in order to effectuate, the consummation of</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our initial business combination (regardless of the type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 transaction that it is). However, the following</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payments will be made to our sponsor, officers or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directors, or our or their affiliates, and, if made prior to</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our initial business combination will be made from</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 funds held outside the trust account or (ii) interest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earned on the trust account and released to us to pay</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our taxes:</w:t>
      </w:r>
    </w:p>
    <w:p>
      <w:pPr>
        <w:spacing w:after="0" w:line="130"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repayment of up to an aggregate of $300,000 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loans made to us by our sponsor to cover offering-</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related and organizational expenses;</w:t>
      </w:r>
    </w:p>
    <w:p>
      <w:pPr>
        <w:spacing w:after="0" w:line="143"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reimbursement for office space, secretarial and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administrative services provided to members of</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our management team by an affiliate of our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sponsor, in an amount not to exceed $10,000 per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month;</w:t>
      </w:r>
    </w:p>
    <w:p>
      <w:pPr>
        <w:spacing w:after="0" w:line="130"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reimbursement for any out-of-pocket expenses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related to identifying, investigating, negotiating</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completing an initial business combination;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w:t>
      </w:r>
    </w:p>
    <w:p>
      <w:pPr>
        <w:spacing w:after="0" w:line="130" w:lineRule="exact"/>
        <w:rPr>
          <w:sz w:val="20"/>
          <w:szCs w:val="20"/>
          <w:color w:val="auto"/>
        </w:rPr>
      </w:pPr>
    </w:p>
    <w:p>
      <w:pPr>
        <w:ind w:left="5260"/>
        <w:spacing w:after="0"/>
        <w:tabs>
          <w:tab w:leader="none" w:pos="5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repayment of loans which may be made by our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sponsor or an affiliate of our sponsor or certain of</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our officers and directors to finance transaction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costs in connection with an intended initial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business combination. Up to $1,500,000 of such</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loans may be convertible into private placement-</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equivalent units of the post-business combination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entity at a price of $10.00 per unit at the option of</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lender. The units would be identical to the</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private placement units. Except for the foregoing,</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terms of such loans, if any, have not been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determined and no written agreements exist with</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respect to such loans.</w:t>
      </w:r>
    </w:p>
    <w:p>
      <w:pPr>
        <w:spacing w:after="0" w:line="103" w:lineRule="exact"/>
        <w:rPr>
          <w:sz w:val="20"/>
          <w:szCs w:val="20"/>
          <w:color w:val="auto"/>
        </w:rPr>
      </w:pPr>
    </w:p>
    <w:p>
      <w:pPr>
        <w:ind w:left="1280"/>
        <w:spacing w:after="0"/>
        <w:tabs>
          <w:tab w:leader="none" w:pos="5240" w:val="left"/>
        </w:tabs>
        <w:rPr>
          <w:sz w:val="20"/>
          <w:szCs w:val="20"/>
          <w:color w:val="auto"/>
        </w:rPr>
      </w:pPr>
      <w:r>
        <w:rPr>
          <w:rFonts w:ascii="Arial" w:cs="Arial" w:eastAsia="Arial" w:hAnsi="Arial"/>
          <w:sz w:val="18"/>
          <w:szCs w:val="18"/>
          <w:color w:val="auto"/>
        </w:rPr>
        <w:t>Audit Committee</w:t>
      </w:r>
      <w:r>
        <w:rPr>
          <w:sz w:val="20"/>
          <w:szCs w:val="20"/>
          <w:color w:val="auto"/>
        </w:rPr>
        <w:tab/>
      </w:r>
      <w:r>
        <w:rPr>
          <w:rFonts w:ascii="Arial" w:cs="Arial" w:eastAsia="Arial" w:hAnsi="Arial"/>
          <w:sz w:val="17"/>
          <w:szCs w:val="17"/>
          <w:color w:val="auto"/>
        </w:rPr>
        <w:t>We will establish and maintain an audit committee,</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which will be composed entirely of independent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directors as and when required by the Nasdaq rules and</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Rule 10A of the Exchange Act, to, among other things,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monitor compliance with the terms described above and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 other terms relating to this offering. If any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noncompliance is identified, then the audit committee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will be charged with the responsibility to promptly take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all action necessary to rectify such noncompliance or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otherwise to cause compliance with the terms of this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offering. For more information, see the section entitled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“Management — Committees of the Board of Directors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Audit Committee.”</w:t>
      </w:r>
    </w:p>
    <w:p>
      <w:pPr>
        <w:spacing w:after="0" w:line="103" w:lineRule="exact"/>
        <w:rPr>
          <w:sz w:val="20"/>
          <w:szCs w:val="20"/>
          <w:color w:val="auto"/>
        </w:rPr>
      </w:pPr>
    </w:p>
    <w:p>
      <w:pPr>
        <w:ind w:left="1280"/>
        <w:spacing w:after="0"/>
        <w:tabs>
          <w:tab w:leader="none" w:pos="5240" w:val="left"/>
        </w:tabs>
        <w:rPr>
          <w:sz w:val="20"/>
          <w:szCs w:val="20"/>
          <w:color w:val="auto"/>
        </w:rPr>
      </w:pPr>
      <w:r>
        <w:rPr>
          <w:rFonts w:ascii="Arial" w:cs="Arial" w:eastAsia="Arial" w:hAnsi="Arial"/>
          <w:sz w:val="18"/>
          <w:szCs w:val="18"/>
          <w:color w:val="auto"/>
        </w:rPr>
        <w:t>Conflicts of Interest</w:t>
      </w:r>
      <w:r>
        <w:rPr>
          <w:sz w:val="20"/>
          <w:szCs w:val="20"/>
          <w:color w:val="auto"/>
        </w:rPr>
        <w:tab/>
      </w:r>
      <w:r>
        <w:rPr>
          <w:rFonts w:ascii="Arial" w:cs="Arial" w:eastAsia="Arial" w:hAnsi="Arial"/>
          <w:sz w:val="16"/>
          <w:szCs w:val="16"/>
          <w:color w:val="auto"/>
        </w:rPr>
        <w:t>HighCape manages several investment vehicles. Each</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of our officers and directors presently has, and any of</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them in the future may have additional, fiduciary or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contractual obligations to another entity, including</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public and private funds under the management of</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HighCape and their respective portfolio companies,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pursuant to which such officer or director is or will be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required to present a business combination opportunity</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to such entity. In addition, existing and future funds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managed by HighCape and their respective portfolio</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companies may compete with us for business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combination opportunities and, if such opportunities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are pursued by such entities, we may be precluded from</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pursuing such opportunities. Accordingly, if any of our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officers or directors becomes aware of a business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combination opportunity which is suitable for an entity</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to which he or she has then current fiduciary or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contractual obligations, he or she will honor his or her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fiduciary or contractual obligations to present such</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business combination opportunity to such entity, and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may only decide to present it to us if such entity rejects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the opportunity and consummating the same would not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violate any restrictive covenants to which such officers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and directors are subject.</w:t>
      </w:r>
    </w:p>
    <w:p>
      <w:pPr>
        <w:spacing w:after="0" w:line="13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Notwithstanding the foregoing, we may pursue an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affiliated joint acquisition with one or more affiliates of</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HighCape and/or one or more investors in HighCape or</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one of its affiliates. Such entities may co invest with us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in the target business at the time of our initial business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combination, or we could raise additional proceeds to</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complete the acquisition by issuing to such entity a</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class of equity or equity linked securities.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Risks</w:t>
      </w:r>
    </w:p>
    <w:p>
      <w:pPr>
        <w:spacing w:after="0" w:line="162" w:lineRule="exact"/>
        <w:rPr>
          <w:sz w:val="20"/>
          <w:szCs w:val="20"/>
          <w:color w:val="auto"/>
        </w:rPr>
      </w:pPr>
    </w:p>
    <w:p>
      <w:pPr>
        <w:ind w:left="1280" w:right="679" w:firstLine="360"/>
        <w:spacing w:after="0" w:line="268" w:lineRule="auto"/>
        <w:rPr>
          <w:sz w:val="20"/>
          <w:szCs w:val="20"/>
          <w:color w:val="auto"/>
        </w:rPr>
      </w:pPr>
      <w:r>
        <w:rPr>
          <w:rFonts w:ascii="Arial" w:cs="Arial" w:eastAsia="Arial" w:hAnsi="Arial"/>
          <w:sz w:val="17"/>
          <w:szCs w:val="17"/>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w:t>
      </w:r>
    </w:p>
    <w:p>
      <w:pPr>
        <w:spacing w:after="0" w:line="1" w:lineRule="exact"/>
        <w:rPr>
          <w:sz w:val="20"/>
          <w:szCs w:val="20"/>
          <w:color w:val="auto"/>
        </w:rPr>
      </w:pPr>
    </w:p>
    <w:p>
      <w:pPr>
        <w:jc w:val="both"/>
        <w:ind w:left="1280" w:right="739"/>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Rule 419 blank check offerings. For additional information concerning how Rule 419 blank check offerings differ from this offering, please see “Proposed Business — Comparison of This Offering to Those of Blank Check Companies Subject to Rule 419.” You should carefully consider these and the other risks set forth in the section entitled “Risk Factors” beginning on page </w:t>
      </w:r>
      <w:hyperlink w:anchor="page34">
        <w:r>
          <w:rPr>
            <w:rFonts w:ascii="Arial" w:cs="Arial" w:eastAsia="Arial" w:hAnsi="Arial"/>
            <w:sz w:val="18"/>
            <w:szCs w:val="18"/>
            <w:u w:val="single" w:color="auto"/>
            <w:color w:val="0000EE"/>
          </w:rPr>
          <w:t>33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SUMMARY FINANCIAL DATA</w:t>
      </w:r>
    </w:p>
    <w:p>
      <w:pPr>
        <w:spacing w:after="0" w:line="162" w:lineRule="exact"/>
        <w:rPr>
          <w:sz w:val="20"/>
          <w:szCs w:val="20"/>
          <w:color w:val="auto"/>
        </w:rPr>
      </w:pPr>
    </w:p>
    <w:p>
      <w:pPr>
        <w:ind w:left="1280" w:right="659" w:firstLine="360"/>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35" w:lineRule="exact"/>
        <w:rPr>
          <w:sz w:val="20"/>
          <w:szCs w:val="20"/>
          <w:color w:val="auto"/>
        </w:rPr>
      </w:pPr>
    </w:p>
    <w:tbl>
      <w:tblPr>
        <w:tblLayout w:type="fixed"/>
        <w:tblInd w:w="164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62"/>
        </w:trPr>
        <w:tc>
          <w:tcPr>
            <w:tcW w:w="6800" w:type="dxa"/>
            <w:vAlign w:val="bottom"/>
          </w:tcPr>
          <w:p>
            <w:pPr>
              <w:spacing w:after="0"/>
              <w:rPr>
                <w:sz w:val="14"/>
                <w:szCs w:val="1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r>
      <w:tr>
        <w:trPr>
          <w:trHeight w:val="186"/>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r>
      <w:tr>
        <w:trPr>
          <w:trHeight w:val="26"/>
        </w:trPr>
        <w:tc>
          <w:tcPr>
            <w:tcW w:w="6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(66,000)</w:t>
            </w:r>
          </w:p>
        </w:tc>
      </w:tr>
      <w:tr>
        <w:trPr>
          <w:trHeight w:val="25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115,000</w:t>
            </w:r>
          </w:p>
        </w:tc>
        <w:tc>
          <w:tcPr>
            <w:tcW w:w="60" w:type="dxa"/>
            <w:vAlign w:val="bottom"/>
          </w:tcPr>
          <w:p>
            <w:pPr>
              <w:spacing w:after="0"/>
              <w:rPr>
                <w:sz w:val="22"/>
                <w:szCs w:val="22"/>
                <w:color w:val="auto"/>
              </w:rPr>
            </w:pP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91,000</w:t>
            </w:r>
          </w:p>
        </w:tc>
        <w:tc>
          <w:tcPr>
            <w:tcW w:w="60" w:type="dxa"/>
            <w:vAlign w:val="bottom"/>
          </w:tcPr>
          <w:p>
            <w:pPr>
              <w:spacing w:after="0"/>
              <w:rPr>
                <w:sz w:val="22"/>
                <w:szCs w:val="22"/>
                <w:color w:val="auto"/>
              </w:rPr>
            </w:pPr>
          </w:p>
        </w:tc>
      </w:tr>
      <w:tr>
        <w:trPr>
          <w:trHeight w:val="27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6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5" w:lineRule="exact"/>
        <w:rPr>
          <w:sz w:val="20"/>
          <w:szCs w:val="20"/>
          <w:color w:val="auto"/>
        </w:rPr>
      </w:pPr>
    </w:p>
    <w:p>
      <w:pPr>
        <w:ind w:left="1260" w:right="879"/>
        <w:spacing w:after="0" w:line="266" w:lineRule="auto"/>
        <w:rPr>
          <w:sz w:val="20"/>
          <w:szCs w:val="20"/>
          <w:color w:val="auto"/>
        </w:rPr>
      </w:pPr>
      <w:r>
        <w:rPr>
          <w:rFonts w:ascii="Arial" w:cs="Arial" w:eastAsia="Arial" w:hAnsi="Arial"/>
          <w:sz w:val="18"/>
          <w:szCs w:val="18"/>
          <w:b w:val="1"/>
          <w:bCs w:val="1"/>
          <w:color w:val="auto"/>
        </w:rPr>
        <w:t>We are a blank check company with no operating history and no revenues, and you have no basis on which to evaluate our ability to achieve our business objective.</w:t>
      </w:r>
    </w:p>
    <w:p>
      <w:pPr>
        <w:spacing w:after="0" w:line="99"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We are a blank check company established under the laws of the State of Delaware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87" w:lineRule="exact"/>
        <w:rPr>
          <w:sz w:val="20"/>
          <w:szCs w:val="20"/>
          <w:color w:val="auto"/>
        </w:rPr>
      </w:pPr>
    </w:p>
    <w:p>
      <w:pPr>
        <w:ind w:left="1260" w:right="799"/>
        <w:spacing w:after="0" w:line="250" w:lineRule="auto"/>
        <w:rPr>
          <w:sz w:val="20"/>
          <w:szCs w:val="20"/>
          <w:color w:val="auto"/>
        </w:rPr>
      </w:pPr>
      <w:r>
        <w:rPr>
          <w:rFonts w:ascii="Arial" w:cs="Arial" w:eastAsia="Arial" w:hAnsi="Arial"/>
          <w:sz w:val="18"/>
          <w:szCs w:val="18"/>
          <w:b w:val="1"/>
          <w:bCs w:val="1"/>
          <w:color w:val="auto"/>
        </w:rPr>
        <w:t>Our stockholders may not be afforded an opportunity to vote on our proposed initial business combination, which means we may complete our initial business combination even though a majority of our stockholders do not support such a combination.</w:t>
      </w:r>
    </w:p>
    <w:p>
      <w:pPr>
        <w:spacing w:after="0" w:line="113"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We may choose not to hold a stockholder vote to approve our initial business combination if the business combination would not require stockholder approval under applicable law or stock exchange listing requirements. Except for as required by applicable law or stock exchange requirements,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Accordingly, we may complete our initial business combination even if holders of a majority of our common stock do not approve of the business combination we complete. Please see the section entitled “Proposed Business — Stockholders May Not Have the Ability to Approve Our Initial Business Combination” for additional information.</w:t>
      </w:r>
    </w:p>
    <w:p>
      <w:pPr>
        <w:spacing w:after="0" w:line="176" w:lineRule="exact"/>
        <w:rPr>
          <w:sz w:val="20"/>
          <w:szCs w:val="20"/>
          <w:color w:val="auto"/>
        </w:rPr>
      </w:pPr>
    </w:p>
    <w:p>
      <w:pPr>
        <w:ind w:left="1260" w:right="1079"/>
        <w:spacing w:after="0" w:line="329" w:lineRule="auto"/>
        <w:rPr>
          <w:sz w:val="20"/>
          <w:szCs w:val="20"/>
          <w:color w:val="auto"/>
        </w:rPr>
      </w:pPr>
      <w:r>
        <w:rPr>
          <w:rFonts w:ascii="Arial" w:cs="Arial" w:eastAsia="Arial" w:hAnsi="Arial"/>
          <w:sz w:val="16"/>
          <w:szCs w:val="16"/>
          <w:b w:val="1"/>
          <w:bCs w:val="1"/>
          <w:color w:val="auto"/>
        </w:rPr>
        <w:t>Your only opportunity to affect the investment decision regarding a potential business combination may be limited to the exercise of your right to redeem your shares from us for cash.</w:t>
      </w:r>
    </w:p>
    <w:p>
      <w:pPr>
        <w:spacing w:after="0" w:line="40"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 business combination without seeking stockholder approval, public stockholders may not have the right or opportunity to vote on the business combination, unless we seek such stockholder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90" w:lineRule="exact"/>
        <w:rPr>
          <w:sz w:val="20"/>
          <w:szCs w:val="20"/>
          <w:color w:val="auto"/>
        </w:rPr>
      </w:pPr>
    </w:p>
    <w:p>
      <w:pPr>
        <w:ind w:left="1260" w:right="899"/>
        <w:spacing w:after="0" w:line="250" w:lineRule="auto"/>
        <w:rPr>
          <w:sz w:val="20"/>
          <w:szCs w:val="20"/>
          <w:color w:val="auto"/>
        </w:rPr>
      </w:pPr>
      <w:r>
        <w:rPr>
          <w:rFonts w:ascii="Arial" w:cs="Arial" w:eastAsia="Arial" w:hAnsi="Arial"/>
          <w:sz w:val="18"/>
          <w:szCs w:val="18"/>
          <w:b w:val="1"/>
          <w:bCs w:val="1"/>
          <w:color w:val="auto"/>
        </w:rPr>
        <w:t>If we seek stockholder approval of our initial business combination, our initial stockholders and management team have agreed to vote in favor of such initial business combination, regardless of how our public stockholders vote.</w:t>
      </w:r>
    </w:p>
    <w:p>
      <w:pPr>
        <w:spacing w:after="0" w:line="113"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Our initial stockholders will own 20% of our outstanding common stock immediately following the completion of this offering, excluding the private placement shares underlying the private placement units. Our initial stockholders and management team also may from time to time purchase Class A common stock prior to our initial business combination. Our amended and restated certificate of incorporation provides that, if we seek stockholder approval of an initial business combination, such initial business combination will be approved if we receive the affirmative vote of a majority of the shares voted at such meeting, including the founder shares. As a result, in addition to our initial stockholders’ founder shares and private placement shares, we would need 3,562,501, or 35.6%, of the 10,000,000 public shares sold in this offering to be</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75" w:lineRule="auto"/>
        <w:rPr>
          <w:sz w:val="20"/>
          <w:szCs w:val="20"/>
          <w:color w:val="auto"/>
        </w:rPr>
      </w:pPr>
      <w:r>
        <w:rPr>
          <w:rFonts w:ascii="Arial" w:cs="Arial" w:eastAsia="Arial" w:hAnsi="Arial"/>
          <w:sz w:val="17"/>
          <w:szCs w:val="17"/>
          <w:color w:val="auto"/>
        </w:rPr>
        <w:t>voted in favor of an initial business combination in order to have our initial business combination approved (assuming all outstanding shares are voted and the over-allotment option is not exercised). Accordingly, if we seek stockholder approval of our initial business combination, the agreement by our initial stockholders and management team to vote in favor of our initial business combination will increase the likelihood that we will receive the requisite stockholder approval for such initial business combination.</w:t>
      </w:r>
    </w:p>
    <w:p>
      <w:pPr>
        <w:spacing w:after="0" w:line="172" w:lineRule="exact"/>
        <w:rPr>
          <w:sz w:val="20"/>
          <w:szCs w:val="20"/>
          <w:color w:val="auto"/>
        </w:rPr>
      </w:pPr>
    </w:p>
    <w:p>
      <w:pPr>
        <w:ind w:left="1260" w:right="679"/>
        <w:spacing w:after="0" w:line="266"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99"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may seek to enter into a business combination transaction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make us unable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81" w:lineRule="exact"/>
        <w:rPr>
          <w:sz w:val="20"/>
          <w:szCs w:val="20"/>
          <w:color w:val="auto"/>
        </w:rPr>
      </w:pPr>
    </w:p>
    <w:p>
      <w:pPr>
        <w:ind w:left="1260" w:right="679"/>
        <w:spacing w:after="0" w:line="386" w:lineRule="auto"/>
        <w:rPr>
          <w:sz w:val="20"/>
          <w:szCs w:val="20"/>
          <w:color w:val="auto"/>
        </w:rPr>
      </w:pPr>
      <w:r>
        <w:rPr>
          <w:rFonts w:ascii="Arial" w:cs="Arial" w:eastAsia="Arial" w:hAnsi="Arial"/>
          <w:sz w:val="15"/>
          <w:szCs w:val="15"/>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30"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In addition, the amount of the deferred underwriting commissions payable to the underwriters will not be adjusted for any shares that are redeemed in connection with an initial business combination. The per share amount we will distribute to stockholders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176" w:lineRule="exact"/>
        <w:rPr>
          <w:sz w:val="20"/>
          <w:szCs w:val="20"/>
          <w:color w:val="auto"/>
        </w:rPr>
      </w:pPr>
    </w:p>
    <w:p>
      <w:pPr>
        <w:ind w:left="1260" w:right="679"/>
        <w:spacing w:after="0" w:line="289" w:lineRule="auto"/>
        <w:rPr>
          <w:sz w:val="20"/>
          <w:szCs w:val="20"/>
          <w:color w:val="auto"/>
        </w:rPr>
      </w:pPr>
      <w:r>
        <w:rPr>
          <w:rFonts w:ascii="Arial" w:cs="Arial" w:eastAsia="Arial" w:hAnsi="Arial"/>
          <w:sz w:val="17"/>
          <w:szCs w:val="17"/>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94"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funds in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699"/>
        <w:spacing w:after="0" w:line="280" w:lineRule="auto"/>
        <w:rPr>
          <w:sz w:val="20"/>
          <w:szCs w:val="20"/>
          <w:color w:val="auto"/>
        </w:rPr>
      </w:pPr>
      <w:r>
        <w:rPr>
          <w:rFonts w:ascii="Arial" w:cs="Arial" w:eastAsia="Arial" w:hAnsi="Arial"/>
          <w:sz w:val="16"/>
          <w:szCs w:val="16"/>
          <w:b w:val="1"/>
          <w:bCs w:val="1"/>
          <w:color w:val="auto"/>
        </w:rPr>
        <w:t>The requirement that we complete our initial business combination within 18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7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complete our initial business combination within 18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77" w:lineRule="exact"/>
        <w:rPr>
          <w:sz w:val="20"/>
          <w:szCs w:val="20"/>
          <w:color w:val="auto"/>
        </w:rPr>
      </w:pPr>
    </w:p>
    <w:p>
      <w:pPr>
        <w:ind w:left="1260" w:right="939"/>
        <w:spacing w:after="0" w:line="250"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13"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330"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w:t>
      </w:r>
    </w:p>
    <w:p>
      <w:pPr>
        <w:spacing w:after="0" w:line="183" w:lineRule="exact"/>
        <w:rPr>
          <w:sz w:val="20"/>
          <w:szCs w:val="20"/>
          <w:color w:val="auto"/>
        </w:rPr>
      </w:pPr>
    </w:p>
    <w:p>
      <w:pPr>
        <w:ind w:left="1260" w:right="659"/>
        <w:spacing w:after="0" w:line="266" w:lineRule="auto"/>
        <w:rPr>
          <w:sz w:val="20"/>
          <w:szCs w:val="20"/>
          <w:color w:val="auto"/>
        </w:rPr>
      </w:pPr>
      <w:r>
        <w:rPr>
          <w:rFonts w:ascii="Arial" w:cs="Arial" w:eastAsia="Arial" w:hAnsi="Arial"/>
          <w:sz w:val="18"/>
          <w:szCs w:val="18"/>
          <w:b w:val="1"/>
          <w:bCs w:val="1"/>
          <w:color w:val="auto"/>
        </w:rPr>
        <w:t>We may not be able to complete our initial business combination within 18 months after the closing of this offering, in which case we would cease all operations except for the purpose of winding up and we would redeem our public shares and liquidate.</w:t>
      </w:r>
    </w:p>
    <w:p>
      <w:pPr>
        <w:spacing w:after="0" w:line="99"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We may not be able to find a suitable target business and complete our initial business combination within 18 months after the closing of this offering.Our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w:t>
      </w: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acquire. If we have not completed our initial business combination within such time period, we will:</w:t>
      </w:r>
    </w:p>
    <w:p>
      <w:pPr>
        <w:spacing w:after="0" w:line="12" w:lineRule="exact"/>
        <w:rPr>
          <w:sz w:val="20"/>
          <w:szCs w:val="20"/>
          <w:color w:val="auto"/>
        </w:rPr>
      </w:pPr>
    </w:p>
    <w:p>
      <w:pPr>
        <w:ind w:left="1260" w:right="719" w:firstLine="2"/>
        <w:spacing w:after="0" w:line="236" w:lineRule="auto"/>
        <w:tabs>
          <w:tab w:leader="none" w:pos="14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86" w:lineRule="exact"/>
        <w:rPr>
          <w:sz w:val="20"/>
          <w:szCs w:val="20"/>
          <w:color w:val="auto"/>
        </w:rPr>
      </w:pPr>
    </w:p>
    <w:p>
      <w:pPr>
        <w:ind w:left="1260" w:right="799"/>
        <w:spacing w:after="0" w:line="245"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initial stockholders, directors, executive officers, advisors and their affiliates may elect to purchase shares or public warrants from public stockholders, which may influence a vote on a proposed business combination and reduce the public “float” of our Class A common stock.</w:t>
      </w:r>
    </w:p>
    <w:p>
      <w:pPr>
        <w:spacing w:after="0" w:line="104"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affiliates may purchase shares or public warrants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26"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In the event that our sponsor, initial stockholders, directors, executive officers, advisors or their affiliates purchase shares in privately negotiated transactions from public stockholders who have already elected to exercise their redemption rights, such selling stockholders would be required to revoke their prior elections to redeem their shares. The purpose of any such purchases of shares could be to vote such shares in favor of the business combination and thereby increase the likelihood of obtaining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We expect any such purchases will be reported pursuant to Section 13 and Section 16 of the Exchange Act to the extent such purchasers are subject to such reporting requirements. See “Proposed Business — Permitted Purchases of our Securities” for a description of how our sponsor, directors, executive officers, advisors or any of their affiliates will select which stockholders to purchase securities from in any private transaction.</w:t>
      </w:r>
    </w:p>
    <w:p>
      <w:pPr>
        <w:spacing w:after="0" w:line="112"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161" w:lineRule="exact"/>
        <w:rPr>
          <w:sz w:val="20"/>
          <w:szCs w:val="20"/>
          <w:color w:val="auto"/>
        </w:rPr>
      </w:pPr>
    </w:p>
    <w:p>
      <w:pPr>
        <w:ind w:left="1260" w:right="939"/>
        <w:spacing w:after="0" w:line="266"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99"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We will comply with the proxy rules or tender offer rules, as applicable, when conducting redemptions in connection with our initial business combination. Despite our compliance with these rules, if a stockholder fails to receive our proxy materials or tender offer documents,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w:t>
      </w:r>
    </w:p>
    <w:p>
      <w:pPr>
        <w:sectPr>
          <w:pgSz w:w="11900" w:h="16838" w:orient="portrait"/>
          <w:cols w:equalWidth="0" w:num="1">
            <w:col w:w="10139"/>
          </w:cols>
          <w:pgMar w:left="320" w:top="131"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52" w:lineRule="auto"/>
        <w:rPr>
          <w:sz w:val="20"/>
          <w:szCs w:val="20"/>
          <w:color w:val="auto"/>
        </w:rPr>
      </w:pPr>
      <w:r>
        <w:rPr>
          <w:rFonts w:ascii="Arial" w:cs="Arial" w:eastAsia="Arial" w:hAnsi="Arial"/>
          <w:sz w:val="18"/>
          <w:szCs w:val="18"/>
          <w:color w:val="auto"/>
        </w:rPr>
        <w:t>submit public shares for redemption. For example, we intend to require our public stockholders seeking to exercise their redemption rights, whether they are record holders or hold their shares in “street name,” to, at the holder’s option, either deliver their stock certificates to our transfer agent, or to deliver their shares to our transfer agent electronically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In the event that a stockholder fails to comply with these or any other procedures disclosed in the proxy or tender offer materials, as applicable, its shares may not be redeemed. See the section of this prospectus entitled “Proposed Business — Delivering Stock Certificates in Connection with the Exercise of Redemption Rights.”</w:t>
      </w:r>
    </w:p>
    <w:p>
      <w:pPr>
        <w:spacing w:after="0" w:line="195" w:lineRule="exact"/>
        <w:rPr>
          <w:sz w:val="20"/>
          <w:szCs w:val="20"/>
          <w:color w:val="auto"/>
        </w:rPr>
      </w:pPr>
    </w:p>
    <w:p>
      <w:pPr>
        <w:ind w:left="1260" w:right="1379"/>
        <w:spacing w:after="0" w:line="266"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99"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earlier to occur of: (i) our completion of an initial business combination, and then only in connection with those shares of Class A common stock that such stockholder properly elected to redeem, subject to the limitations described herein, (ii) 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18 months from the closing of this offering or with respect to any other material provisions relating to stockholders’ rights or pre-initial business combination activity, and (iii) the redemption of our public shares if we do not complete an initial business combination within 18 months from the closing of this offering, subject to applicable law and as further described herein. In addition, if we do not complete an initial business combination within 18 months from the closing of this offering, Delaware law may require that we submit a plan of dissolution to our then-existing stockholders for approval prior to the distribution of the proceeds held in our trust account. In that case, public stockholders may be forced to wait beyond 18 months from the closing of this offering before they receive funds from our trust account.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200" w:lineRule="exact"/>
        <w:rPr>
          <w:sz w:val="20"/>
          <w:szCs w:val="20"/>
          <w:color w:val="auto"/>
        </w:rPr>
      </w:pPr>
    </w:p>
    <w:p>
      <w:pPr>
        <w:spacing w:after="0" w:line="203" w:lineRule="exact"/>
        <w:rPr>
          <w:sz w:val="20"/>
          <w:szCs w:val="20"/>
          <w:color w:val="auto"/>
        </w:rPr>
      </w:pPr>
    </w:p>
    <w:p>
      <w:pPr>
        <w:ind w:left="1260" w:right="1119"/>
        <w:spacing w:after="0" w:line="312" w:lineRule="auto"/>
        <w:rPr>
          <w:sz w:val="20"/>
          <w:szCs w:val="20"/>
          <w:color w:val="auto"/>
        </w:rPr>
      </w:pPr>
      <w:r>
        <w:rPr>
          <w:rFonts w:ascii="Arial" w:cs="Arial" w:eastAsia="Arial" w:hAnsi="Arial"/>
          <w:sz w:val="17"/>
          <w:szCs w:val="17"/>
          <w:b w:val="1"/>
          <w:bCs w:val="1"/>
          <w:color w:val="auto"/>
        </w:rPr>
        <w:t>Nasdaq may delist our securities from trading on its exchange, which could limit investors’ ability to make transactions in our securities and subject us to additional trading restrictions.</w:t>
      </w:r>
    </w:p>
    <w:p>
      <w:pPr>
        <w:spacing w:after="0" w:line="76"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have applied to have our units listed on Nasdaq on or promptly after the date of this prospectus and our Class A common stock and warrants on or promptly after their date of separation.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the Nasdaq in the future or prior to our initial business combination. In order to continue listing our securities on the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share price would generally be required to be at least $4.00 per share and our stockholders’ equity would generally be required to be at least $5.0 million and we would be required to have a minimum of 300 round lot holders of our securities, with at least 50% of such round lot holders holding securities with a market value of at least $2,500. We cannot assure you that we will be able to meet those initial listing requirements at that time.</w:t>
      </w:r>
    </w:p>
    <w:p>
      <w:pPr>
        <w:sectPr>
          <w:pgSz w:w="11900" w:h="16838" w:orient="portrait"/>
          <w:cols w:equalWidth="0" w:num="1">
            <w:col w:w="10139"/>
          </w:cols>
          <w:pgMar w:left="320" w:top="132"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56" w:lineRule="exact"/>
        <w:rPr>
          <w:sz w:val="20"/>
          <w:szCs w:val="20"/>
          <w:color w:val="auto"/>
        </w:rPr>
      </w:pPr>
    </w:p>
    <w:p>
      <w:pPr>
        <w:ind w:left="1800" w:hanging="178"/>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17" w:lineRule="exact"/>
        <w:rPr>
          <w:rFonts w:ascii="Arial" w:cs="Arial" w:eastAsia="Arial" w:hAnsi="Arial"/>
          <w:sz w:val="18"/>
          <w:szCs w:val="18"/>
          <w:color w:val="auto"/>
        </w:rPr>
      </w:pPr>
    </w:p>
    <w:p>
      <w:pPr>
        <w:ind w:left="1800" w:right="699" w:hanging="178"/>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58"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Nasdaq, our units, Class A common stock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You will not be entitled to protections normally afforded to investors of many other blank check companies.</w:t>
      </w:r>
    </w:p>
    <w:p>
      <w:pPr>
        <w:spacing w:after="0" w:line="171"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color w:val="auto"/>
        </w:rPr>
        <w:t>Since the net proceeds of this offering and the sale of the private placement units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units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180"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in excess of 20% of our Class A common stock, you will lose the ability to redeem all such shares in excess of 20% of our Class A common stock.</w:t>
      </w:r>
    </w:p>
    <w:p>
      <w:pPr>
        <w:spacing w:after="0" w:line="116"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without our prior consent, which we refer to as the “Excess Shares.” However, we would not be restricting our stockholders’ ability to vote all of</w:t>
      </w:r>
    </w:p>
    <w:p>
      <w:pPr>
        <w:sectPr>
          <w:pgSz w:w="11900" w:h="16838" w:orient="portrait"/>
          <w:cols w:equalWidth="0" w:num="1">
            <w:col w:w="10139"/>
          </w:cols>
          <w:pgMar w:left="32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39" w:lineRule="auto"/>
        <w:rPr>
          <w:sz w:val="20"/>
          <w:szCs w:val="20"/>
          <w:color w:val="auto"/>
        </w:rPr>
      </w:pPr>
      <w:r>
        <w:rPr>
          <w:rFonts w:ascii="Arial" w:cs="Arial" w:eastAsia="Arial" w:hAnsi="Arial"/>
          <w:sz w:val="18"/>
          <w:szCs w:val="18"/>
          <w:color w:val="auto"/>
        </w:rPr>
        <w:t>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20% and, in order to dispose of such shares, would be required to sell your shares in open market transactions, potentially at a loss.</w:t>
      </w:r>
    </w:p>
    <w:p>
      <w:pPr>
        <w:spacing w:after="0" w:line="187" w:lineRule="exact"/>
        <w:rPr>
          <w:sz w:val="20"/>
          <w:szCs w:val="20"/>
          <w:color w:val="auto"/>
        </w:rPr>
      </w:pPr>
    </w:p>
    <w:p>
      <w:pPr>
        <w:ind w:left="1260" w:right="759"/>
        <w:spacing w:after="0" w:line="310" w:lineRule="auto"/>
        <w:rPr>
          <w:sz w:val="20"/>
          <w:szCs w:val="20"/>
          <w:color w:val="auto"/>
        </w:rPr>
      </w:pPr>
      <w:r>
        <w:rPr>
          <w:rFonts w:ascii="Arial" w:cs="Arial" w:eastAsia="Arial" w:hAnsi="Arial"/>
          <w:sz w:val="15"/>
          <w:szCs w:val="15"/>
          <w:b w:val="1"/>
          <w:bCs w:val="1"/>
          <w:color w:val="auto"/>
        </w:rPr>
        <w:t>Because of our limited resources and the significant competition for business combination opportunities, it may be more difficult for us to complete our initial business combination. If we do not complete our initial business combination, our public stockholders may receive only their pro rata portion of the funds in the trust account that are available for distribution to public stockholders, and our warrants will expire worthless.</w:t>
      </w:r>
    </w:p>
    <w:p>
      <w:pPr>
        <w:spacing w:after="0" w:line="58" w:lineRule="exact"/>
        <w:rPr>
          <w:sz w:val="20"/>
          <w:szCs w:val="20"/>
          <w:color w:val="auto"/>
        </w:rPr>
      </w:pPr>
    </w:p>
    <w:p>
      <w:pPr>
        <w:ind w:left="1260" w:right="719" w:firstLine="360"/>
        <w:spacing w:after="0" w:line="251" w:lineRule="auto"/>
        <w:rPr>
          <w:sz w:val="20"/>
          <w:szCs w:val="20"/>
          <w:color w:val="auto"/>
        </w:rPr>
      </w:pPr>
      <w:r>
        <w:rPr>
          <w:rFonts w:ascii="Arial" w:cs="Arial" w:eastAsia="Arial" w:hAnsi="Arial"/>
          <w:sz w:val="17"/>
          <w:szCs w:val="17"/>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units,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stockholder vote or via a tender offer. Target companies will be aware that this may reduce the resources available to us for our initial business combination. Any of these obligations may place us at a competitive disadvantage in successfully negotiating a business combination. If we do not complete our initial business combination, our public stockholders may receive only their pro rata portion of the funds in the trust account that are available for distribution to public stockholders, and our warrants will expire worthless.</w:t>
      </w:r>
    </w:p>
    <w:p>
      <w:pPr>
        <w:spacing w:after="0" w:line="175" w:lineRule="exact"/>
        <w:rPr>
          <w:sz w:val="20"/>
          <w:szCs w:val="20"/>
          <w:color w:val="auto"/>
        </w:rPr>
      </w:pPr>
    </w:p>
    <w:p>
      <w:pPr>
        <w:ind w:left="1260" w:right="679"/>
        <w:spacing w:after="0" w:line="310" w:lineRule="auto"/>
        <w:rPr>
          <w:sz w:val="20"/>
          <w:szCs w:val="20"/>
          <w:color w:val="auto"/>
        </w:rPr>
      </w:pPr>
      <w:r>
        <w:rPr>
          <w:rFonts w:ascii="Arial" w:cs="Arial" w:eastAsia="Arial" w:hAnsi="Arial"/>
          <w:sz w:val="15"/>
          <w:szCs w:val="15"/>
          <w:b w:val="1"/>
          <w:bCs w:val="1"/>
          <w:color w:val="auto"/>
        </w:rPr>
        <w:t>If the net proceeds of this offering not being held in the trust account are insufficient to allow us to operate for at least the 18 months following the closing of the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71"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8"/>
          <w:szCs w:val="18"/>
          <w:color w:val="auto"/>
        </w:rPr>
        <w:t>Of the net proceeds of this offering, only $750,000 will be available to us initially outside the trust account. We believe that, upon closing of this offering, the funds available to us outside of the trust account will be sufficient to allow us to operate for at least the 18 months following such closing;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24"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7"/>
          <w:szCs w:val="17"/>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private placement-equivalent units of the post-business combination entity at a price of $10.00 per unit at the option of the lender.</w:t>
      </w:r>
    </w:p>
    <w:p>
      <w:pPr>
        <w:spacing w:after="0" w:line="4" w:lineRule="exact"/>
        <w:rPr>
          <w:sz w:val="20"/>
          <w:szCs w:val="20"/>
          <w:color w:val="auto"/>
        </w:rPr>
      </w:pPr>
    </w:p>
    <w:p>
      <w:pPr>
        <w:ind w:left="1260" w:right="699"/>
        <w:spacing w:after="0" w:line="269" w:lineRule="auto"/>
        <w:rPr>
          <w:sz w:val="20"/>
          <w:szCs w:val="20"/>
          <w:color w:val="auto"/>
        </w:rPr>
      </w:pPr>
      <w:r>
        <w:rPr>
          <w:rFonts w:ascii="Arial" w:cs="Arial" w:eastAsia="Arial" w:hAnsi="Arial"/>
          <w:sz w:val="17"/>
          <w:szCs w:val="17"/>
          <w:color w:val="auto"/>
        </w:rPr>
        <w:t>The units would be identical to the private placement units.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do not complete our initial business combination because we do not have sufficient funds available to us, we will be forced to cease operations and liquidate the trust account. Consequently, our public stockholders may only receive an estimated $10.00 per share, or possibly less, on our redemption of our public shares, and our warrants will expire worthless.</w:t>
      </w:r>
    </w:p>
    <w:p>
      <w:pPr>
        <w:spacing w:after="0" w:line="176" w:lineRule="exact"/>
        <w:rPr>
          <w:sz w:val="20"/>
          <w:szCs w:val="20"/>
          <w:color w:val="auto"/>
        </w:rPr>
      </w:pPr>
    </w:p>
    <w:p>
      <w:pPr>
        <w:ind w:left="1260" w:right="659"/>
        <w:spacing w:after="0" w:line="261"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03"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84" w:lineRule="exact"/>
        <w:rPr>
          <w:sz w:val="20"/>
          <w:szCs w:val="20"/>
          <w:color w:val="auto"/>
        </w:rPr>
      </w:pPr>
    </w:p>
    <w:p>
      <w:pPr>
        <w:ind w:left="1260" w:right="1019"/>
        <w:spacing w:after="0" w:line="347" w:lineRule="auto"/>
        <w:rPr>
          <w:sz w:val="20"/>
          <w:szCs w:val="20"/>
          <w:color w:val="auto"/>
        </w:rPr>
      </w:pPr>
      <w:r>
        <w:rPr>
          <w:rFonts w:ascii="Arial" w:cs="Arial" w:eastAsia="Arial" w:hAnsi="Arial"/>
          <w:sz w:val="16"/>
          <w:szCs w:val="16"/>
          <w:b w:val="1"/>
          <w:bCs w:val="1"/>
          <w:color w:val="auto"/>
        </w:rPr>
        <w:t>If third parties bring claims against us, the proceeds held in the trust account could be reduced and the per-share redemption amount received by stockholders may be less than $10.00 per share.</w:t>
      </w:r>
    </w:p>
    <w:p>
      <w:pPr>
        <w:spacing w:after="0" w:line="52"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The underwriters of this offering will not execute agreements with us waiving such claims to the monies held in the trust account.</w:t>
      </w:r>
    </w:p>
    <w:p>
      <w:pPr>
        <w:sectPr>
          <w:pgSz w:w="11900" w:h="16838" w:orient="portrait"/>
          <w:cols w:equalWidth="0" w:num="1">
            <w:col w:w="10139"/>
          </w:cols>
          <w:pgMar w:left="320" w:top="132"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do not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76" w:lineRule="exact"/>
        <w:rPr>
          <w:sz w:val="20"/>
          <w:szCs w:val="20"/>
          <w:color w:val="auto"/>
        </w:rPr>
      </w:pPr>
    </w:p>
    <w:p>
      <w:pPr>
        <w:ind w:left="1260" w:right="779"/>
        <w:spacing w:after="0" w:line="329" w:lineRule="auto"/>
        <w:rPr>
          <w:sz w:val="20"/>
          <w:szCs w:val="20"/>
          <w:color w:val="auto"/>
        </w:rPr>
      </w:pPr>
      <w:r>
        <w:rPr>
          <w:rFonts w:ascii="Arial" w:cs="Arial" w:eastAsia="Arial" w:hAnsi="Arial"/>
          <w:sz w:val="16"/>
          <w:szCs w:val="16"/>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40"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share.</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We may not have sufficient funds to satisfy indemnification claims of our directors and executive officers.</w:t>
      </w:r>
    </w:p>
    <w:p>
      <w:pPr>
        <w:spacing w:after="0" w:line="173"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83" w:lineRule="exact"/>
        <w:rPr>
          <w:sz w:val="20"/>
          <w:szCs w:val="20"/>
          <w:color w:val="auto"/>
        </w:rPr>
      </w:pPr>
    </w:p>
    <w:p>
      <w:pPr>
        <w:ind w:left="1260" w:right="759"/>
        <w:spacing w:after="0" w:line="258"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06"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88" w:lineRule="exact"/>
        <w:rPr>
          <w:sz w:val="20"/>
          <w:szCs w:val="20"/>
          <w:color w:val="auto"/>
        </w:rPr>
      </w:pPr>
    </w:p>
    <w:p>
      <w:pPr>
        <w:ind w:left="1260" w:right="739"/>
        <w:spacing w:after="0" w:line="329" w:lineRule="auto"/>
        <w:rPr>
          <w:sz w:val="20"/>
          <w:szCs w:val="20"/>
          <w:color w:val="auto"/>
        </w:rPr>
      </w:pPr>
      <w:r>
        <w:rPr>
          <w:rFonts w:ascii="Arial" w:cs="Arial" w:eastAsia="Arial" w:hAnsi="Arial"/>
          <w:sz w:val="15"/>
          <w:szCs w:val="15"/>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71"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74" w:lineRule="exact"/>
        <w:rPr>
          <w:sz w:val="20"/>
          <w:szCs w:val="20"/>
          <w:color w:val="auto"/>
        </w:rPr>
      </w:pPr>
    </w:p>
    <w:p>
      <w:pPr>
        <w:ind w:left="1260" w:right="699"/>
        <w:spacing w:after="0" w:line="266" w:lineRule="auto"/>
        <w:rPr>
          <w:sz w:val="20"/>
          <w:szCs w:val="20"/>
          <w:color w:val="auto"/>
        </w:rPr>
      </w:pPr>
      <w:r>
        <w:rPr>
          <w:rFonts w:ascii="Arial" w:cs="Arial" w:eastAsia="Arial" w:hAnsi="Arial"/>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12"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62" w:lineRule="exact"/>
        <w:rPr>
          <w:sz w:val="20"/>
          <w:szCs w:val="20"/>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58"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62" w:lineRule="exact"/>
        <w:rPr>
          <w:sz w:val="20"/>
          <w:szCs w:val="20"/>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17" w:lineRule="exact"/>
        <w:rPr>
          <w:rFonts w:ascii="Arial" w:cs="Arial" w:eastAsia="Arial" w:hAnsi="Arial"/>
          <w:sz w:val="18"/>
          <w:szCs w:val="18"/>
          <w:color w:val="auto"/>
        </w:rPr>
      </w:pPr>
    </w:p>
    <w:p>
      <w:pPr>
        <w:ind w:left="1800" w:right="779" w:hanging="178"/>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 that we are not subject to.</w:t>
      </w:r>
    </w:p>
    <w:p>
      <w:pPr>
        <w:spacing w:after="0" w:line="103"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color w:val="auto"/>
        </w:rPr>
        <w:t>term. We do not plan to buy businesses or assets with a view to resale or profit from their resale. We do not plan to buy unrelated businesses or assets or to be a passive investor.</w:t>
      </w:r>
    </w:p>
    <w:p>
      <w:pPr>
        <w:spacing w:after="0" w:line="90" w:lineRule="exact"/>
        <w:rPr>
          <w:sz w:val="20"/>
          <w:szCs w:val="20"/>
          <w:color w:val="auto"/>
        </w:rPr>
      </w:pPr>
    </w:p>
    <w:p>
      <w:pPr>
        <w:ind w:left="1260" w:right="779" w:firstLine="360"/>
        <w:spacing w:after="0" w:line="250"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18 months from the closing of this offering; and (iii) absent an initial business combination within 18 months from the closing of this offering or with respect to any other material provisions relating to stockholders’ rights or pre-initial business combination activity,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do not complete our initial business combination, our public stockholders may only receive their pro rata portion of the funds in the trust account that are available for distribution to public stockholders, and our warrants will expire worthless.</w:t>
      </w:r>
    </w:p>
    <w:p>
      <w:pPr>
        <w:spacing w:after="0" w:line="184" w:lineRule="exact"/>
        <w:rPr>
          <w:sz w:val="20"/>
          <w:szCs w:val="20"/>
          <w:color w:val="auto"/>
        </w:rPr>
      </w:pPr>
    </w:p>
    <w:p>
      <w:pPr>
        <w:ind w:left="1260" w:right="859"/>
        <w:spacing w:after="0" w:line="250"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13"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90" w:lineRule="exact"/>
        <w:rPr>
          <w:sz w:val="20"/>
          <w:szCs w:val="20"/>
          <w:color w:val="auto"/>
        </w:rPr>
      </w:pPr>
    </w:p>
    <w:p>
      <w:pPr>
        <w:ind w:left="1260" w:right="759"/>
        <w:spacing w:after="0" w:line="266" w:lineRule="auto"/>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 upon redemption of their shares.</w:t>
      </w:r>
    </w:p>
    <w:p>
      <w:pPr>
        <w:spacing w:after="0" w:line="99"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the funds in our trust account distributed to our public stockholders upon the redemption of our public shares in the event we do not complete our initial business combination within 18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48" w:lineRule="auto"/>
        <w:rPr>
          <w:sz w:val="20"/>
          <w:szCs w:val="20"/>
          <w:color w:val="auto"/>
        </w:rPr>
      </w:pPr>
      <w:r>
        <w:rPr>
          <w:rFonts w:ascii="Arial" w:cs="Arial" w:eastAsia="Arial" w:hAnsi="Arial"/>
          <w:sz w:val="18"/>
          <w:szCs w:val="18"/>
          <w:color w:val="auto"/>
        </w:rPr>
        <w:t>shares as soon as reasonably possible following the 18th month from the closing of this offering in the event we do not complete our initial business combination and, therefore, we do not intend to comply with the foregoing procedures.</w:t>
      </w:r>
    </w:p>
    <w:p>
      <w:pPr>
        <w:spacing w:after="0" w:line="101"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the funds in our trust account distributed to our public stockholders upon the redemption of our public shares in the event we do not complete our initial business combination within 18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90" w:lineRule="exact"/>
        <w:rPr>
          <w:sz w:val="20"/>
          <w:szCs w:val="20"/>
          <w:color w:val="auto"/>
        </w:rPr>
      </w:pPr>
    </w:p>
    <w:p>
      <w:pPr>
        <w:ind w:left="1260" w:right="1299"/>
        <w:spacing w:after="0" w:line="329" w:lineRule="auto"/>
        <w:rPr>
          <w:sz w:val="20"/>
          <w:szCs w:val="20"/>
          <w:color w:val="auto"/>
        </w:rPr>
      </w:pPr>
      <w:r>
        <w:rPr>
          <w:rFonts w:ascii="Arial" w:cs="Arial" w:eastAsia="Arial" w:hAnsi="Arial"/>
          <w:sz w:val="16"/>
          <w:szCs w:val="16"/>
          <w:b w:val="1"/>
          <w:bCs w:val="1"/>
          <w:color w:val="auto"/>
        </w:rPr>
        <w:t>We may not hold an annual meeting of stockholders until after the consummation of our initial business combination, which could delay the opportunity for our stockholders to elect directors.</w:t>
      </w:r>
    </w:p>
    <w:p>
      <w:pPr>
        <w:spacing w:after="0" w:line="53"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90" w:lineRule="exact"/>
        <w:rPr>
          <w:sz w:val="20"/>
          <w:szCs w:val="20"/>
          <w:color w:val="auto"/>
        </w:rPr>
      </w:pPr>
    </w:p>
    <w:p>
      <w:pPr>
        <w:ind w:left="1260" w:right="1199"/>
        <w:spacing w:after="0" w:line="282" w:lineRule="auto"/>
        <w:rPr>
          <w:sz w:val="20"/>
          <w:szCs w:val="20"/>
          <w:color w:val="auto"/>
        </w:rPr>
      </w:pPr>
      <w:r>
        <w:rPr>
          <w:rFonts w:ascii="Arial" w:cs="Arial" w:eastAsia="Arial" w:hAnsi="Arial"/>
          <w:sz w:val="18"/>
          <w:szCs w:val="18"/>
          <w:b w:val="1"/>
          <w:bCs w:val="1"/>
          <w:color w:val="auto"/>
        </w:rPr>
        <w:t>You will not be permitted to exercise your warrants unless we register and qualify the underlying Class A common stock or certain exemptions are available.</w:t>
      </w:r>
    </w:p>
    <w:p>
      <w:pPr>
        <w:spacing w:after="0" w:line="98"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If the issuance of the Class A common stock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common stock included in the units.</w:t>
      </w:r>
    </w:p>
    <w:p>
      <w:pPr>
        <w:spacing w:after="0" w:line="95"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are not registering the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19"/>
        <w:spacing w:after="0" w:line="248" w:lineRule="auto"/>
        <w:rPr>
          <w:sz w:val="20"/>
          <w:szCs w:val="20"/>
          <w:color w:val="auto"/>
        </w:rPr>
      </w:pPr>
      <w:r>
        <w:rPr>
          <w:rFonts w:ascii="Arial" w:cs="Arial" w:eastAsia="Arial" w:hAnsi="Arial"/>
          <w:sz w:val="18"/>
          <w:szCs w:val="18"/>
          <w:color w:val="auto"/>
        </w:rPr>
        <w:t>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01" w:lineRule="exact"/>
        <w:rPr>
          <w:sz w:val="20"/>
          <w:szCs w:val="20"/>
          <w:color w:val="auto"/>
        </w:rPr>
      </w:pPr>
    </w:p>
    <w:p>
      <w:pPr>
        <w:jc w:val="both"/>
        <w:ind w:left="1260" w:right="759" w:firstLine="360"/>
        <w:spacing w:after="0" w:line="243" w:lineRule="auto"/>
        <w:rPr>
          <w:sz w:val="20"/>
          <w:szCs w:val="20"/>
          <w:color w:val="auto"/>
        </w:rPr>
      </w:pPr>
      <w:r>
        <w:rPr>
          <w:rFonts w:ascii="Arial" w:cs="Arial" w:eastAsia="Arial" w:hAnsi="Arial"/>
          <w:sz w:val="18"/>
          <w:szCs w:val="18"/>
          <w:color w:val="auto"/>
        </w:rPr>
        <w:t>If the shares of Class A common stock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20" w:lineRule="exact"/>
        <w:rPr>
          <w:sz w:val="20"/>
          <w:szCs w:val="20"/>
          <w:color w:val="auto"/>
        </w:rPr>
      </w:pPr>
    </w:p>
    <w:p>
      <w:pPr>
        <w:ind w:left="1260" w:right="759" w:firstLine="360"/>
        <w:spacing w:after="0" w:line="243" w:lineRule="auto"/>
        <w:rPr>
          <w:sz w:val="20"/>
          <w:szCs w:val="20"/>
          <w:color w:val="auto"/>
        </w:rPr>
      </w:pPr>
      <w:r>
        <w:rPr>
          <w:rFonts w:ascii="Arial" w:cs="Arial" w:eastAsia="Arial" w:hAnsi="Arial"/>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20" w:lineRule="exact"/>
        <w:rPr>
          <w:sz w:val="20"/>
          <w:szCs w:val="20"/>
          <w:color w:val="auto"/>
        </w:rPr>
      </w:pPr>
    </w:p>
    <w:p>
      <w:pPr>
        <w:ind w:left="1260" w:right="719" w:firstLine="360"/>
        <w:spacing w:after="0" w:line="258" w:lineRule="auto"/>
        <w:rPr>
          <w:sz w:val="20"/>
          <w:szCs w:val="20"/>
          <w:color w:val="auto"/>
        </w:rPr>
      </w:pPr>
      <w:r>
        <w:rPr>
          <w:rFonts w:ascii="Arial" w:cs="Arial" w:eastAsia="Arial" w:hAnsi="Arial"/>
          <w:sz w:val="17"/>
          <w:szCs w:val="17"/>
          <w:color w:val="auto"/>
        </w:rPr>
        <w:t>If our shares of Class A common stock are at the time of any exercise of a warrant not listed on a national securities exchange such that they satisfy the definition of “covered securities” under Section 18(b)</w:t>
      </w:r>
    </w:p>
    <w:p>
      <w:pPr>
        <w:spacing w:after="0" w:line="1" w:lineRule="exact"/>
        <w:rPr>
          <w:sz w:val="20"/>
          <w:szCs w:val="20"/>
          <w:color w:val="auto"/>
        </w:rPr>
      </w:pPr>
    </w:p>
    <w:p>
      <w:pPr>
        <w:ind w:left="1260" w:right="699" w:firstLine="2"/>
        <w:spacing w:after="0" w:line="236" w:lineRule="auto"/>
        <w:tabs>
          <w:tab w:leader="none" w:pos="15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112"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184" w:lineRule="exact"/>
        <w:rPr>
          <w:sz w:val="20"/>
          <w:szCs w:val="20"/>
          <w:color w:val="auto"/>
        </w:rPr>
      </w:pPr>
    </w:p>
    <w:p>
      <w:pPr>
        <w:jc w:val="both"/>
        <w:ind w:left="1260" w:right="719"/>
        <w:spacing w:after="0" w:line="250" w:lineRule="auto"/>
        <w:rPr>
          <w:sz w:val="20"/>
          <w:szCs w:val="20"/>
          <w:color w:val="auto"/>
        </w:rPr>
      </w:pPr>
      <w:r>
        <w:rPr>
          <w:rFonts w:ascii="Arial" w:cs="Arial" w:eastAsia="Arial" w:hAnsi="Arial"/>
          <w:sz w:val="18"/>
          <w:szCs w:val="18"/>
          <w:b w:val="1"/>
          <w:bCs w:val="1"/>
          <w:color w:val="auto"/>
        </w:rPr>
        <w:t>You may only be able to exercise your public warrants on a “cashless basis” under certain circumstances, and if you do so, you will receive fewer shares of Class A common stock from such exercise than if you were to exercise such warrants for cash.</w:t>
      </w:r>
    </w:p>
    <w:p>
      <w:pPr>
        <w:spacing w:after="0" w:line="113" w:lineRule="exact"/>
        <w:rPr>
          <w:sz w:val="20"/>
          <w:szCs w:val="20"/>
          <w:color w:val="auto"/>
        </w:rPr>
      </w:pPr>
    </w:p>
    <w:p>
      <w:pPr>
        <w:ind w:left="1260" w:right="739" w:firstLine="360"/>
        <w:spacing w:after="0" w:line="250" w:lineRule="auto"/>
        <w:rPr>
          <w:sz w:val="20"/>
          <w:szCs w:val="20"/>
          <w:color w:val="auto"/>
        </w:rPr>
      </w:pPr>
      <w:r>
        <w:rPr>
          <w:rFonts w:ascii="Arial" w:cs="Arial" w:eastAsia="Arial" w:hAnsi="Arial"/>
          <w:sz w:val="17"/>
          <w:szCs w:val="17"/>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shares of Class A common stock issuable upon exercise of the warrants are not registered under the Securities Act in accordance with the terms of the warrant agreement; (ii) if we have so elected and the shares of Class A common stock is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shares of Class A common stock equal to the quotient obtained by dividing (x) the product of the number of shares of Class A common stock underlying the warrants, multiplied by the excess of the “fair market value” of our shares of Class A common stock (as defined in the next sentence) over the exercise price of the warrants by</w:t>
      </w:r>
    </w:p>
    <w:p>
      <w:pPr>
        <w:spacing w:after="0" w:line="3" w:lineRule="exact"/>
        <w:rPr>
          <w:sz w:val="20"/>
          <w:szCs w:val="20"/>
          <w:color w:val="auto"/>
        </w:rPr>
      </w:pPr>
    </w:p>
    <w:p>
      <w:pPr>
        <w:ind w:left="1260" w:right="739" w:firstLine="2"/>
        <w:spacing w:after="0" w:line="237" w:lineRule="auto"/>
        <w:tabs>
          <w:tab w:leader="none" w:pos="152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fair market value. The “fair market value” is the average reported closing price of the shares of Class A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Class A common stock from such exercise than if you were to exercise such warrants for cash.</w:t>
      </w:r>
    </w:p>
    <w:p>
      <w:pPr>
        <w:spacing w:after="0" w:line="187" w:lineRule="exact"/>
        <w:rPr>
          <w:sz w:val="20"/>
          <w:szCs w:val="20"/>
          <w:color w:val="auto"/>
        </w:rPr>
      </w:pPr>
    </w:p>
    <w:p>
      <w:pPr>
        <w:ind w:left="1260" w:right="699"/>
        <w:spacing w:after="0" w:line="272" w:lineRule="auto"/>
        <w:rPr>
          <w:sz w:val="20"/>
          <w:szCs w:val="20"/>
          <w:color w:val="auto"/>
        </w:rPr>
      </w:pPr>
      <w:r>
        <w:rPr>
          <w:rFonts w:ascii="Arial" w:cs="Arial" w:eastAsia="Arial" w:hAnsi="Arial"/>
          <w:sz w:val="17"/>
          <w:szCs w:val="17"/>
          <w:b w:val="1"/>
          <w:bCs w:val="1"/>
          <w:color w:val="auto"/>
        </w:rPr>
        <w:t>The grant of registration rights to our initial stockholders and holders of our private placement units may make it more difficult to complete our initial business combination, and the future exercise of such rights may adversely affect the market price of our shares of Class A common stock.</w:t>
      </w:r>
    </w:p>
    <w:p>
      <w:pPr>
        <w:spacing w:after="0" w:line="95"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Pursuant to an agreement to be entered into concurrently with the issuance and sale of the securities in this offering, our initial stockholders, the holders of our private placement units, the holders of units that may be issued upon conversion of working capital loans and their permitted transferees can demand that we</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52" w:lineRule="auto"/>
        <w:rPr>
          <w:sz w:val="20"/>
          <w:szCs w:val="20"/>
          <w:color w:val="auto"/>
        </w:rPr>
      </w:pPr>
      <w:r>
        <w:rPr>
          <w:rFonts w:ascii="Arial" w:cs="Arial" w:eastAsia="Arial" w:hAnsi="Arial"/>
          <w:sz w:val="18"/>
          <w:szCs w:val="18"/>
          <w:color w:val="auto"/>
        </w:rPr>
        <w:t>register shares of Class A common stock into which founder shares are convertible, the private placement units, the private placement shares, the private placement warrants and the shares Class A common stock issuable upon exercise of the private placement warrants, the units, shares, warrants or the Class A common stock issuable upon exercise of warrants that may be issued upon conversion of working capital loans and any other securities of the company acquired by them prior to the consummation of our initial business combination.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Class A common stock owned by our initial stockholders, holders of our private placement units or holders of our working capital loans or their respective permitted transferees are registered.</w:t>
      </w:r>
    </w:p>
    <w:p>
      <w:pPr>
        <w:spacing w:after="0" w:line="193" w:lineRule="exact"/>
        <w:rPr>
          <w:sz w:val="20"/>
          <w:szCs w:val="20"/>
          <w:color w:val="auto"/>
        </w:rPr>
      </w:pPr>
    </w:p>
    <w:p>
      <w:pPr>
        <w:ind w:left="1260" w:right="759"/>
        <w:spacing w:after="0" w:line="314" w:lineRule="auto"/>
        <w:rPr>
          <w:sz w:val="20"/>
          <w:szCs w:val="20"/>
          <w:color w:val="auto"/>
        </w:rPr>
      </w:pPr>
      <w:r>
        <w:rPr>
          <w:rFonts w:ascii="Arial" w:cs="Arial" w:eastAsia="Arial" w:hAnsi="Arial"/>
          <w:sz w:val="16"/>
          <w:szCs w:val="16"/>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65" w:lineRule="exact"/>
        <w:rPr>
          <w:sz w:val="20"/>
          <w:szCs w:val="20"/>
          <w:color w:val="auto"/>
        </w:rPr>
      </w:pPr>
    </w:p>
    <w:p>
      <w:pPr>
        <w:ind w:left="1260" w:right="699" w:firstLine="360"/>
        <w:spacing w:after="0" w:line="266" w:lineRule="auto"/>
        <w:rPr>
          <w:sz w:val="20"/>
          <w:szCs w:val="20"/>
          <w:color w:val="auto"/>
        </w:rPr>
      </w:pPr>
      <w:r>
        <w:rPr>
          <w:rFonts w:ascii="Arial" w:cs="Arial" w:eastAsia="Arial" w:hAnsi="Arial"/>
          <w:sz w:val="17"/>
          <w:szCs w:val="17"/>
          <w:color w:val="auto"/>
        </w:rPr>
        <w:t>Our efforts to identify a prospective initial business combination target will not be limited to a particular industry, sector or geographic region. While we may pursue an initial business combination opportunity in any industry or sector, we intend to focus on industries that complement our management team’s background in life sciences and life sciences related industries, and to capitalize on the ability of our management team to identify and acquire a business within those industries. Our amended and restated certificate of incorporation prohibits us from effectuating a business combination with another blank check company or similar company with nominal operations. 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5" w:lineRule="exact"/>
        <w:rPr>
          <w:sz w:val="20"/>
          <w:szCs w:val="20"/>
          <w:color w:val="auto"/>
        </w:rPr>
      </w:pPr>
    </w:p>
    <w:p>
      <w:pPr>
        <w:ind w:left="1260" w:right="799"/>
        <w:spacing w:after="0" w:line="282" w:lineRule="auto"/>
        <w:rPr>
          <w:sz w:val="20"/>
          <w:szCs w:val="20"/>
          <w:color w:val="auto"/>
        </w:rPr>
      </w:pPr>
      <w:r>
        <w:rPr>
          <w:rFonts w:ascii="Arial" w:cs="Arial" w:eastAsia="Arial" w:hAnsi="Arial"/>
          <w:sz w:val="18"/>
          <w:szCs w:val="18"/>
          <w:b w:val="1"/>
          <w:bCs w:val="1"/>
          <w:color w:val="auto"/>
        </w:rPr>
        <w:t>Past performance by our management team and their affiliates may not be indicative of future performance of an investment in us.</w:t>
      </w:r>
    </w:p>
    <w:p>
      <w:pPr>
        <w:spacing w:after="0" w:line="98"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Information regarding performance by, or businesses associated with, our management team or businesses associated with them is presented for informational purposes only. Past performance by our management team is not a guarantee either (i) of success with respect to any business combination we may consummate or (ii) that we will be able to locate a suitable candidate for our initial business combination. You should not rely on the historical record of the performance of our management team or businesses associated with them as indicative of our future performance of an investment in us or the returns we will, or is likely to, generate going forward.</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1619"/>
        <w:spacing w:after="0" w:line="266" w:lineRule="auto"/>
        <w:rPr>
          <w:sz w:val="20"/>
          <w:szCs w:val="20"/>
          <w:color w:val="auto"/>
        </w:rPr>
      </w:pPr>
      <w:r>
        <w:rPr>
          <w:rFonts w:ascii="Arial" w:cs="Arial" w:eastAsia="Arial" w:hAnsi="Arial"/>
          <w:sz w:val="18"/>
          <w:szCs w:val="18"/>
          <w:b w:val="1"/>
          <w:bCs w:val="1"/>
          <w:color w:val="auto"/>
        </w:rPr>
        <w:t>We may seek business combination opportunities in industries or sectors that may be outside of our management’s areas of expertise.</w:t>
      </w:r>
    </w:p>
    <w:p>
      <w:pPr>
        <w:spacing w:after="0" w:line="85"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6"/>
          <w:szCs w:val="16"/>
          <w:color w:val="auto"/>
        </w:rPr>
        <w:t>We will consider a business combination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w:t>
      </w:r>
    </w:p>
    <w:p>
      <w:pPr>
        <w:spacing w:after="0" w:line="1" w:lineRule="exact"/>
        <w:rPr>
          <w:sz w:val="20"/>
          <w:szCs w:val="20"/>
          <w:color w:val="auto"/>
        </w:rPr>
      </w:pPr>
    </w:p>
    <w:p>
      <w:pPr>
        <w:ind w:left="1260" w:right="779"/>
        <w:spacing w:after="0" w:line="243" w:lineRule="auto"/>
        <w:rPr>
          <w:sz w:val="20"/>
          <w:szCs w:val="20"/>
          <w:color w:val="auto"/>
        </w:rPr>
      </w:pPr>
      <w:r>
        <w:rPr>
          <w:rFonts w:ascii="Arial" w:cs="Arial" w:eastAsia="Arial" w:hAnsi="Arial"/>
          <w:sz w:val="18"/>
          <w:szCs w:val="18"/>
          <w:color w:val="auto"/>
        </w:rPr>
        <w:t>our units will not ultimately prove to be less favorable to investors in this offering than a direct investment, if an opportunity were available, in a business combination candidate.</w:t>
      </w:r>
    </w:p>
    <w:p>
      <w:pPr>
        <w:spacing w:after="0" w:line="182" w:lineRule="exact"/>
        <w:rPr>
          <w:sz w:val="20"/>
          <w:szCs w:val="20"/>
          <w:color w:val="auto"/>
        </w:rPr>
      </w:pPr>
    </w:p>
    <w:p>
      <w:pPr>
        <w:ind w:left="1260" w:right="1019"/>
        <w:spacing w:after="0" w:line="310" w:lineRule="auto"/>
        <w:rPr>
          <w:sz w:val="20"/>
          <w:szCs w:val="20"/>
          <w:color w:val="auto"/>
        </w:rPr>
      </w:pPr>
      <w:r>
        <w:rPr>
          <w:rFonts w:ascii="Arial" w:cs="Arial" w:eastAsia="Arial" w:hAnsi="Arial"/>
          <w:sz w:val="15"/>
          <w:szCs w:val="15"/>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71"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we decide to obtain stockholder approval for business or other legal reasons, it may be more difficult for us to attain stockholder approval of our initial business combination if the target business does not meet our general criteria and guidelines. If we do not complete our initial business combination, our public stockholders may only receive their pro rata portion of the funds in the trust account that are available for distribution to public stockholders, and our warrants will expire worthless.</w:t>
      </w:r>
    </w:p>
    <w:p>
      <w:pPr>
        <w:spacing w:after="0" w:line="185" w:lineRule="exact"/>
        <w:rPr>
          <w:sz w:val="20"/>
          <w:szCs w:val="20"/>
          <w:color w:val="auto"/>
        </w:rPr>
      </w:pPr>
    </w:p>
    <w:p>
      <w:pPr>
        <w:jc w:val="both"/>
        <w:ind w:left="1260" w:right="1039"/>
        <w:spacing w:after="0" w:line="272" w:lineRule="auto"/>
        <w:rPr>
          <w:sz w:val="20"/>
          <w:szCs w:val="20"/>
          <w:color w:val="auto"/>
        </w:rPr>
      </w:pPr>
      <w:r>
        <w:rPr>
          <w:rFonts w:ascii="Arial" w:cs="Arial" w:eastAsia="Arial" w:hAnsi="Arial"/>
          <w:sz w:val="17"/>
          <w:szCs w:val="17"/>
          <w:b w:val="1"/>
          <w:bCs w:val="1"/>
          <w:color w:val="auto"/>
        </w:rPr>
        <w:t>We are not required to obtain an opinion from an independent accounting or investment banking firm, and consequently, you may have no assurance from an independent source that the price we are paying for the business is fair to our stockholders from a financial point of view.</w:t>
      </w:r>
    </w:p>
    <w:p>
      <w:pPr>
        <w:spacing w:after="0" w:line="95"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accounting firm or independent investment banking firm which is a member of FINRA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191" w:lineRule="exact"/>
        <w:rPr>
          <w:sz w:val="20"/>
          <w:szCs w:val="20"/>
          <w:color w:val="auto"/>
        </w:rPr>
      </w:pPr>
    </w:p>
    <w:p>
      <w:pPr>
        <w:ind w:left="1260" w:right="699"/>
        <w:spacing w:after="0" w:line="294" w:lineRule="auto"/>
        <w:rPr>
          <w:sz w:val="20"/>
          <w:szCs w:val="20"/>
          <w:color w:val="auto"/>
        </w:rPr>
      </w:pPr>
      <w:r>
        <w:rPr>
          <w:rFonts w:ascii="Arial" w:cs="Arial" w:eastAsia="Arial" w:hAnsi="Arial"/>
          <w:sz w:val="16"/>
          <w:szCs w:val="16"/>
          <w:b w:val="1"/>
          <w:bCs w:val="1"/>
          <w:color w:val="auto"/>
        </w:rPr>
        <w:t>We may issue additional shares of Class A common stock or shares of preferred stock to complete our initial business combination or under an employee incentive plan after completion of our initial business combination. We may also issue shares of Class A common stock upon the conversion of the founder shares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83"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Our amended and restated certificate of incorporation authorizes the issuance of up to 380,000,000 shares of Class A common stock, par value $0.0001 per share, 20,000,000 shares of Class B common stock, par value $0.0001 per share, and 1,000,000 shares of preferred stock, par value $0.0001 per share. Immediately after this offering, there will be 369,625,000 and 17,500,000 (assuming in each case that the underwriters have not exercised their over-allotment option and the forfeiture of 375,000 shares of Class B common stock) authorized but unissued shares of Class A common stock and Class B common stock, respectively, available for issuance. The Class B common stock is automatically convertible into Class A</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43" w:lineRule="auto"/>
        <w:rPr>
          <w:sz w:val="20"/>
          <w:szCs w:val="20"/>
          <w:color w:val="auto"/>
        </w:rPr>
      </w:pPr>
      <w:r>
        <w:rPr>
          <w:rFonts w:ascii="Arial" w:cs="Arial" w:eastAsia="Arial" w:hAnsi="Arial"/>
          <w:sz w:val="18"/>
          <w:szCs w:val="18"/>
          <w:color w:val="auto"/>
        </w:rPr>
        <w:t>common stock concurrently with or immediately following the consummation of our initial business combination, initially at a one-for-one ratio but subject to adjustment as set forth herein and in our amended and restated certificate of incorporation. Immediately after this offering, there will be no shares of preferred stock issued and outstanding.</w:t>
      </w:r>
    </w:p>
    <w:p>
      <w:pPr>
        <w:spacing w:after="0" w:line="107" w:lineRule="exact"/>
        <w:rPr>
          <w:sz w:val="20"/>
          <w:szCs w:val="20"/>
          <w:color w:val="auto"/>
        </w:rPr>
      </w:pPr>
    </w:p>
    <w:p>
      <w:pPr>
        <w:ind w:left="1260" w:right="699" w:firstLine="360"/>
        <w:spacing w:after="0" w:line="266" w:lineRule="auto"/>
        <w:rPr>
          <w:sz w:val="20"/>
          <w:szCs w:val="20"/>
          <w:color w:val="auto"/>
        </w:rPr>
      </w:pPr>
      <w:r>
        <w:rPr>
          <w:rFonts w:ascii="Arial" w:cs="Arial" w:eastAsia="Arial" w:hAnsi="Arial"/>
          <w:sz w:val="16"/>
          <w:szCs w:val="16"/>
          <w:color w:val="auto"/>
        </w:rPr>
        <w:t>We may issue a substantial number of additional shares of Class A common stock or shares of preferred stock to complete our initial business combination or under an employee incentive plan after completion of our initial business combination. We may also issue shares of Class A common stock to redeem the warrants or upon conversion of the Class B common stock at a ratio greater than one-to-one at the time of our initial business combination as a result of the anti-dilution provisions as set forth therein. However, our amended and restated certificate of incorporation provides, among other things, that prior to our initial business combination, we may not issue additional shares that would entitle the holders thereof to (i) receive funds from the trust account or (ii) vote as a class with our public shares (a) on any initial business combination or</w:t>
      </w:r>
    </w:p>
    <w:p>
      <w:pPr>
        <w:spacing w:after="0" w:line="5" w:lineRule="exact"/>
        <w:rPr>
          <w:sz w:val="20"/>
          <w:szCs w:val="20"/>
          <w:color w:val="auto"/>
        </w:rPr>
      </w:pPr>
    </w:p>
    <w:p>
      <w:pPr>
        <w:ind w:left="1260" w:right="739" w:firstLine="2"/>
        <w:spacing w:after="0" w:line="248" w:lineRule="auto"/>
        <w:tabs>
          <w:tab w:leader="none" w:pos="152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approve an amendment to our amended and restated certificate of incorporation to (x) extend the time we have to consummate a business combination beyond 18 months from the closing of this offering or</w:t>
      </w:r>
    </w:p>
    <w:p>
      <w:pPr>
        <w:spacing w:after="0" w:line="1" w:lineRule="exact"/>
        <w:rPr>
          <w:rFonts w:ascii="Arial" w:cs="Arial" w:eastAsia="Arial" w:hAnsi="Arial"/>
          <w:sz w:val="17"/>
          <w:szCs w:val="17"/>
          <w:color w:val="auto"/>
        </w:rPr>
      </w:pPr>
    </w:p>
    <w:p>
      <w:pPr>
        <w:ind w:left="1260" w:right="779" w:firstLine="2"/>
        <w:spacing w:after="0" w:line="260" w:lineRule="auto"/>
        <w:tabs>
          <w:tab w:leader="none" w:pos="1529" w:val="left"/>
        </w:tabs>
        <w:numPr>
          <w:ilvl w:val="0"/>
          <w:numId w:val="19"/>
        </w:numPr>
        <w:rPr>
          <w:rFonts w:ascii="Arial" w:cs="Arial" w:eastAsia="Arial" w:hAnsi="Arial"/>
          <w:sz w:val="17"/>
          <w:szCs w:val="17"/>
          <w:color w:val="auto"/>
        </w:rPr>
      </w:pPr>
      <w:r>
        <w:rPr>
          <w:rFonts w:ascii="Arial" w:cs="Arial" w:eastAsia="Arial" w:hAnsi="Arial"/>
          <w:sz w:val="17"/>
          <w:szCs w:val="17"/>
          <w:color w:val="auto"/>
        </w:rPr>
        <w:t>amend the foregoing provisions. These provisions of our amended and restated certificate of incorporation, like all provisions of our amended and restated certificate of incorporation, may be amended with a stockholder vote. The issuance of additional shares of common stock or shares of preferred stock:</w:t>
      </w:r>
    </w:p>
    <w:p>
      <w:pPr>
        <w:spacing w:after="0" w:line="50" w:lineRule="exact"/>
        <w:rPr>
          <w:rFonts w:ascii="Arial" w:cs="Arial" w:eastAsia="Arial" w:hAnsi="Arial"/>
          <w:sz w:val="17"/>
          <w:szCs w:val="17"/>
          <w:color w:val="auto"/>
        </w:rPr>
      </w:pPr>
    </w:p>
    <w:p>
      <w:pPr>
        <w:ind w:left="1800" w:hanging="178"/>
        <w:spacing w:after="0"/>
        <w:tabs>
          <w:tab w:leader="none" w:pos="18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76" w:lineRule="exact"/>
        <w:rPr>
          <w:rFonts w:ascii="Arial" w:cs="Arial" w:eastAsia="Arial" w:hAnsi="Arial"/>
          <w:sz w:val="18"/>
          <w:szCs w:val="18"/>
          <w:color w:val="auto"/>
        </w:rPr>
      </w:pPr>
    </w:p>
    <w:p>
      <w:pPr>
        <w:ind w:left="1800" w:right="1179" w:hanging="178"/>
        <w:spacing w:after="0" w:line="277" w:lineRule="auto"/>
        <w:tabs>
          <w:tab w:leader="none" w:pos="18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21" w:lineRule="exact"/>
        <w:rPr>
          <w:rFonts w:ascii="Arial" w:cs="Arial" w:eastAsia="Arial" w:hAnsi="Arial"/>
          <w:sz w:val="18"/>
          <w:szCs w:val="18"/>
          <w:color w:val="auto"/>
        </w:rPr>
      </w:pPr>
    </w:p>
    <w:p>
      <w:pPr>
        <w:jc w:val="both"/>
        <w:ind w:left="1800" w:right="699" w:hanging="178"/>
        <w:spacing w:after="0" w:line="286" w:lineRule="auto"/>
        <w:tabs>
          <w:tab w:leader="none" w:pos="18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Class A common stock is issued, which may affect, among other things, our ability to use our net operating loss carry forwards, if any, and could result in the resignation or removal of our present officers and directors; and</w:t>
      </w:r>
    </w:p>
    <w:p>
      <w:pPr>
        <w:spacing w:after="0" w:line="16" w:lineRule="exact"/>
        <w:rPr>
          <w:rFonts w:ascii="Arial" w:cs="Arial" w:eastAsia="Arial" w:hAnsi="Arial"/>
          <w:sz w:val="17"/>
          <w:szCs w:val="17"/>
          <w:color w:val="auto"/>
        </w:rPr>
      </w:pPr>
    </w:p>
    <w:p>
      <w:pPr>
        <w:ind w:left="1800" w:hanging="178"/>
        <w:spacing w:after="0"/>
        <w:tabs>
          <w:tab w:leader="none" w:pos="18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may adversely affect prevailing market prices for our units, Class A common stock and/or warrants.</w:t>
      </w:r>
    </w:p>
    <w:p>
      <w:pPr>
        <w:spacing w:after="0" w:line="192" w:lineRule="exact"/>
        <w:rPr>
          <w:sz w:val="20"/>
          <w:szCs w:val="20"/>
          <w:color w:val="auto"/>
        </w:rPr>
      </w:pPr>
    </w:p>
    <w:p>
      <w:pPr>
        <w:ind w:left="1260" w:right="839"/>
        <w:spacing w:after="0" w:line="250" w:lineRule="auto"/>
        <w:rPr>
          <w:sz w:val="20"/>
          <w:szCs w:val="20"/>
          <w:color w:val="auto"/>
        </w:rPr>
      </w:pPr>
      <w:r>
        <w:rPr>
          <w:rFonts w:ascii="Arial" w:cs="Arial" w:eastAsia="Arial" w:hAnsi="Arial"/>
          <w:sz w:val="18"/>
          <w:szCs w:val="18"/>
          <w:b w:val="1"/>
          <w:bCs w:val="1"/>
          <w:color w:val="auto"/>
        </w:rPr>
        <w:t>Unlike some other similarly structured special purpose acquisition companies, our initial stockholders will receive additional shares of Class A common stock if we issue certain shares to consummate an initial business combination.</w:t>
      </w:r>
    </w:p>
    <w:p>
      <w:pPr>
        <w:spacing w:after="0" w:line="86"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and excluding the private placement shares underlying the private placement warrants),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 -linked securities or rights exercisable for or convertible into shares of Class A common stock issued, or to be issued, to any seller in the initial business combination and any private placement units issued to our sponsor, officers or directors upon conversion of working capital loans, provided that such conversion of founder shares will never occur on a less than one - for-one basis. This is different than some other similarly structured special purpose acquisition companies in which the initial stockholders will only be issued an aggregate of 20% of the total number of shares to be outstanding prior to our initial business combination.</w:t>
      </w:r>
    </w:p>
    <w:p>
      <w:pPr>
        <w:spacing w:after="0" w:line="175" w:lineRule="exact"/>
        <w:rPr>
          <w:sz w:val="20"/>
          <w:szCs w:val="20"/>
          <w:color w:val="auto"/>
        </w:rPr>
      </w:pPr>
    </w:p>
    <w:p>
      <w:pPr>
        <w:ind w:left="1260" w:right="679"/>
        <w:spacing w:after="0" w:line="242"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do not complete our initial business combination, our public stockholders may only receive their pro rata portion of the funds in the trust account that are available for distribution to public stockholders, and our warrants will expire worthless.</w:t>
      </w:r>
    </w:p>
    <w:p>
      <w:pPr>
        <w:spacing w:after="0" w:line="94" w:lineRule="exact"/>
        <w:rPr>
          <w:sz w:val="20"/>
          <w:szCs w:val="20"/>
          <w:color w:val="auto"/>
        </w:rPr>
      </w:pPr>
    </w:p>
    <w:p>
      <w:pPr>
        <w:ind w:left="1260" w:right="939" w:firstLine="360"/>
        <w:spacing w:after="0" w:line="29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w:t>
      </w:r>
    </w:p>
    <w:p>
      <w:pPr>
        <w:sectPr>
          <w:pgSz w:w="11900" w:h="16838" w:orient="portrait"/>
          <w:cols w:equalWidth="0" w:num="1">
            <w:col w:w="10139"/>
          </w:cols>
          <w:pgMar w:left="320" w:top="132"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53" w:lineRule="auto"/>
        <w:rPr>
          <w:sz w:val="20"/>
          <w:szCs w:val="20"/>
          <w:color w:val="auto"/>
        </w:rPr>
      </w:pPr>
      <w:r>
        <w:rPr>
          <w:rFonts w:ascii="Arial" w:cs="Arial" w:eastAsia="Arial" w:hAnsi="Arial"/>
          <w:sz w:val="18"/>
          <w:szCs w:val="18"/>
          <w:color w:val="auto"/>
        </w:rPr>
        <w:t>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do not complete our initial business combination, our public stockholders may only receive their pro rata portion of the funds in the trust account that are available for distribution to public stockholders, and our warrants will expire worthless.</w:t>
      </w:r>
    </w:p>
    <w:p>
      <w:pPr>
        <w:spacing w:after="0" w:line="192" w:lineRule="exact"/>
        <w:rPr>
          <w:sz w:val="20"/>
          <w:szCs w:val="20"/>
          <w:color w:val="auto"/>
        </w:rPr>
      </w:pPr>
    </w:p>
    <w:p>
      <w:pPr>
        <w:ind w:left="1260" w:right="859"/>
        <w:spacing w:after="0" w:line="282" w:lineRule="auto"/>
        <w:rPr>
          <w:sz w:val="20"/>
          <w:szCs w:val="20"/>
          <w:color w:val="auto"/>
        </w:rPr>
      </w:pPr>
      <w:r>
        <w:rPr>
          <w:rFonts w:ascii="Arial" w:cs="Arial" w:eastAsia="Arial" w:hAnsi="Arial"/>
          <w:sz w:val="18"/>
          <w:szCs w:val="18"/>
          <w:b w:val="1"/>
          <w:bCs w:val="1"/>
          <w:color w:val="auto"/>
        </w:rPr>
        <w:t>We are dependent upon our executive officers and directors and their loss could adversely affect our ability to operate.</w:t>
      </w:r>
    </w:p>
    <w:p>
      <w:pPr>
        <w:spacing w:after="0" w:line="85"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192" w:lineRule="exact"/>
        <w:rPr>
          <w:sz w:val="20"/>
          <w:szCs w:val="20"/>
          <w:color w:val="auto"/>
        </w:rPr>
      </w:pPr>
    </w:p>
    <w:p>
      <w:pPr>
        <w:jc w:val="both"/>
        <w:ind w:left="1260" w:right="739"/>
        <w:spacing w:after="0" w:line="266" w:lineRule="auto"/>
        <w:rPr>
          <w:sz w:val="20"/>
          <w:szCs w:val="20"/>
          <w:color w:val="auto"/>
        </w:rPr>
      </w:pPr>
      <w:r>
        <w:rPr>
          <w:rFonts w:ascii="Arial" w:cs="Arial" w:eastAsia="Arial" w:hAnsi="Arial"/>
          <w:sz w:val="18"/>
          <w:szCs w:val="18"/>
          <w:b w:val="1"/>
          <w:bCs w:val="1"/>
          <w:color w:val="auto"/>
        </w:rPr>
        <w:t>Involvement of members of our management and companies with which they are affiliated in civil disputes and litigation or governmental investigations unrelated to our business affairs could materially impact our ability to complete an initial business combination.</w:t>
      </w:r>
    </w:p>
    <w:p>
      <w:pPr>
        <w:spacing w:after="0" w:line="11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Members of our management team and companies with which they are affiliated have been, and in the future will continue to be, involved in a wide variety of business affairs, including transactions, such as sales and purchases of businesses, and ongoing operations. As a result of such involvement, members of our management and companies with which they are affiliated in past have been, and may in the future be, involved in civil disputes and litigation and governmental investigations relating to their business affairs unrelated to our company. For example, our chief executive officer, Kevin Rakin, was named as a defendant in United States ex rel. Webb v. Advanced BioHealing, Inc. (“ABH”), a whistleblower suit relating to sales methods employed by sales representatives of ABH, a biotechnology company for which Mr. Rakin served as chief executive officer. All claims in the lawsuit were dismissed with prejudice pursuant to a settlement agreement, in which Mr. Rakin expressly denied that he engaged in any wrongful conduct, and Mr. Rakin agreed to pay to the United States $2.5 million. Any claims or investigations involving members of our management and companies with which they are affiliated may be detrimental to our reputation and could negatively affect our ability to identify and complete an initial business combination in a material manner and may have an adverse effect on the price of our securities.</w:t>
      </w:r>
    </w:p>
    <w:p>
      <w:pPr>
        <w:spacing w:after="0" w:line="180" w:lineRule="exact"/>
        <w:rPr>
          <w:sz w:val="20"/>
          <w:szCs w:val="20"/>
          <w:color w:val="auto"/>
        </w:rPr>
      </w:pPr>
    </w:p>
    <w:p>
      <w:pPr>
        <w:ind w:left="1260" w:right="1039"/>
        <w:spacing w:after="0" w:line="261"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16"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ectPr>
          <w:pgSz w:w="11900" w:h="16838" w:orient="portrait"/>
          <w:cols w:equalWidth="0" w:num="1">
            <w:col w:w="10139"/>
          </w:cols>
          <w:pgMar w:left="320" w:top="132"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699"/>
        <w:spacing w:after="0" w:line="303" w:lineRule="auto"/>
        <w:rPr>
          <w:sz w:val="20"/>
          <w:szCs w:val="20"/>
          <w:color w:val="auto"/>
        </w:rPr>
      </w:pPr>
      <w:r>
        <w:rPr>
          <w:rFonts w:ascii="Arial" w:cs="Arial" w:eastAsia="Arial" w:hAnsi="Arial"/>
          <w:sz w:val="15"/>
          <w:szCs w:val="15"/>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63"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Delaware law.</w:t>
      </w:r>
    </w:p>
    <w:p>
      <w:pPr>
        <w:spacing w:after="0" w:line="177" w:lineRule="exact"/>
        <w:rPr>
          <w:sz w:val="20"/>
          <w:szCs w:val="20"/>
          <w:color w:val="auto"/>
        </w:rPr>
      </w:pPr>
    </w:p>
    <w:p>
      <w:pPr>
        <w:ind w:left="1260" w:right="919"/>
        <w:spacing w:after="0" w:line="250"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13"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76" w:lineRule="exact"/>
        <w:rPr>
          <w:sz w:val="20"/>
          <w:szCs w:val="20"/>
          <w:color w:val="auto"/>
        </w:rPr>
      </w:pPr>
    </w:p>
    <w:p>
      <w:pPr>
        <w:ind w:left="1260" w:right="839"/>
        <w:spacing w:after="0" w:line="266" w:lineRule="auto"/>
        <w:rPr>
          <w:sz w:val="20"/>
          <w:szCs w:val="20"/>
          <w:color w:val="auto"/>
        </w:rPr>
      </w:pPr>
      <w:r>
        <w:rPr>
          <w:rFonts w:ascii="Arial" w:cs="Arial" w:eastAsia="Arial" w:hAnsi="Arial"/>
          <w:sz w:val="18"/>
          <w:szCs w:val="18"/>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12"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84" w:lineRule="exact"/>
        <w:rPr>
          <w:sz w:val="20"/>
          <w:szCs w:val="20"/>
          <w:color w:val="auto"/>
        </w:rPr>
      </w:pPr>
    </w:p>
    <w:p>
      <w:pPr>
        <w:ind w:left="1260" w:right="679"/>
        <w:spacing w:after="0" w:line="289" w:lineRule="auto"/>
        <w:rPr>
          <w:sz w:val="20"/>
          <w:szCs w:val="20"/>
          <w:color w:val="auto"/>
        </w:rPr>
      </w:pPr>
      <w:r>
        <w:rPr>
          <w:rFonts w:ascii="Arial" w:cs="Arial" w:eastAsia="Arial" w:hAnsi="Arial"/>
          <w:sz w:val="17"/>
          <w:szCs w:val="17"/>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81"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w:t>
      </w:r>
    </w:p>
    <w:p>
      <w:pPr>
        <w:sectPr>
          <w:pgSz w:w="11900" w:h="16838" w:orient="portrait"/>
          <w:cols w:equalWidth="0" w:num="1">
            <w:col w:w="10139"/>
          </w:cols>
          <w:pgMar w:left="32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99"/>
        <w:spacing w:after="0" w:line="261" w:lineRule="auto"/>
        <w:rPr>
          <w:sz w:val="20"/>
          <w:szCs w:val="20"/>
          <w:color w:val="auto"/>
        </w:rPr>
      </w:pPr>
      <w:r>
        <w:rPr>
          <w:rFonts w:ascii="Arial" w:cs="Arial" w:eastAsia="Arial" w:hAnsi="Arial"/>
          <w:sz w:val="18"/>
          <w:szCs w:val="18"/>
          <w:color w:val="auto"/>
        </w:rPr>
        <w:t>discussion of our executive officers’ and directors’ other business affairs, please see “Management — Officers, Directors and Director Nominees.”</w:t>
      </w:r>
    </w:p>
    <w:p>
      <w:pPr>
        <w:spacing w:after="0" w:line="167" w:lineRule="exact"/>
        <w:rPr>
          <w:sz w:val="20"/>
          <w:szCs w:val="20"/>
          <w:color w:val="auto"/>
        </w:rPr>
      </w:pPr>
    </w:p>
    <w:p>
      <w:pPr>
        <w:ind w:left="1260" w:right="759"/>
        <w:spacing w:after="0" w:line="250" w:lineRule="auto"/>
        <w:rPr>
          <w:sz w:val="20"/>
          <w:szCs w:val="20"/>
          <w:color w:val="auto"/>
        </w:rPr>
      </w:pPr>
      <w:r>
        <w:rPr>
          <w:rFonts w:ascii="Arial" w:cs="Arial" w:eastAsia="Arial" w:hAnsi="Arial"/>
          <w:sz w:val="18"/>
          <w:szCs w:val="18"/>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00"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ventures may present additional conflicts of interest in pursuing an initial business combination. However, we do not believe that any such potential conflicts would materially affect our ability to complete our initial business combination.</w:t>
      </w:r>
    </w:p>
    <w:p>
      <w:pPr>
        <w:spacing w:after="0" w:line="114" w:lineRule="exact"/>
        <w:rPr>
          <w:sz w:val="20"/>
          <w:szCs w:val="20"/>
          <w:color w:val="auto"/>
        </w:rPr>
      </w:pPr>
    </w:p>
    <w:p>
      <w:pPr>
        <w:ind w:left="1260" w:right="919" w:firstLine="360"/>
        <w:spacing w:after="0" w:line="243" w:lineRule="auto"/>
        <w:rPr>
          <w:sz w:val="20"/>
          <w:szCs w:val="20"/>
          <w:color w:val="auto"/>
        </w:rPr>
      </w:pPr>
      <w:r>
        <w:rPr>
          <w:rFonts w:ascii="Arial" w:cs="Arial" w:eastAsia="Arial" w:hAnsi="Arial"/>
          <w:sz w:val="18"/>
          <w:szCs w:val="18"/>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184" w:lineRule="exact"/>
        <w:rPr>
          <w:sz w:val="20"/>
          <w:szCs w:val="20"/>
          <w:color w:val="auto"/>
        </w:rPr>
      </w:pPr>
    </w:p>
    <w:p>
      <w:pPr>
        <w:ind w:left="1260" w:right="719"/>
        <w:spacing w:after="0" w:line="266" w:lineRule="auto"/>
        <w:rPr>
          <w:sz w:val="20"/>
          <w:szCs w:val="20"/>
          <w:color w:val="auto"/>
        </w:rPr>
      </w:pPr>
      <w:r>
        <w:rPr>
          <w:rFonts w:ascii="Arial" w:cs="Arial" w:eastAsia="Arial" w:hAnsi="Arial"/>
          <w:sz w:val="18"/>
          <w:szCs w:val="18"/>
          <w:b w:val="1"/>
          <w:bCs w:val="1"/>
          <w:color w:val="auto"/>
        </w:rPr>
        <w:t>Our executive officers, directors, security holders and their respective affiliates may have competitive pecuniary interests that conflict with our interests.</w:t>
      </w:r>
    </w:p>
    <w:p>
      <w:pPr>
        <w:spacing w:after="0" w:line="99"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or we may acquire a target business through an affiliated joint acquisition with one or more affiliates of HighCape and/or one or more investors in HighCape or one of its affiliates.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03"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7"/>
          <w:szCs w:val="17"/>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 If this were the case, it would be a breach of their fiduciary duties to us as a matter of Delaware law and we or our stockholders might have a claim against such individuals for infringing on our stockholders’ rights. However, we might not ultimately be successful in any claim we may make against them for such reason.</w:t>
      </w:r>
    </w:p>
    <w:p>
      <w:pPr>
        <w:spacing w:after="0" w:line="177" w:lineRule="exact"/>
        <w:rPr>
          <w:sz w:val="20"/>
          <w:szCs w:val="20"/>
          <w:color w:val="auto"/>
        </w:rPr>
      </w:pPr>
    </w:p>
    <w:p>
      <w:pPr>
        <w:ind w:left="1260" w:right="779"/>
        <w:spacing w:after="0" w:line="250"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113" w:lineRule="exact"/>
        <w:rPr>
          <w:sz w:val="20"/>
          <w:szCs w:val="20"/>
          <w:color w:val="auto"/>
        </w:rPr>
      </w:pPr>
    </w:p>
    <w:p>
      <w:pPr>
        <w:ind w:left="1260" w:right="699" w:firstLine="360"/>
        <w:spacing w:after="0" w:line="291" w:lineRule="auto"/>
        <w:rPr>
          <w:sz w:val="20"/>
          <w:szCs w:val="20"/>
          <w:color w:val="auto"/>
        </w:rPr>
      </w:pPr>
      <w:r>
        <w:rPr>
          <w:rFonts w:ascii="Arial" w:cs="Arial" w:eastAsia="Arial" w:hAnsi="Arial"/>
          <w:sz w:val="17"/>
          <w:szCs w:val="17"/>
          <w:color w:val="auto"/>
        </w:rPr>
        <w:t>In light of the involvement of our sponsor, executive officers and directors with other entities, we may decide to acquire one or more businesses affiliated with our sponsor, executive officers, directors or existing</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51" w:lineRule="auto"/>
        <w:rPr>
          <w:sz w:val="20"/>
          <w:szCs w:val="20"/>
          <w:color w:val="auto"/>
        </w:rPr>
      </w:pPr>
      <w:r>
        <w:rPr>
          <w:rFonts w:ascii="Arial" w:cs="Arial" w:eastAsia="Arial" w:hAnsi="Arial"/>
          <w:sz w:val="17"/>
          <w:szCs w:val="17"/>
          <w:color w:val="auto"/>
        </w:rPr>
        <w:t>holders. Our directors also serve as officers and board members for other entities, including, without limitation, those described under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and such transaction was approved by a majority of our independent and disinterested directors. Despite our agreement to obtain an opinion from an independent investment banking firm which is a member of FINRA or an independent accounting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stockholders as they would be absent any conflicts of interest.</w:t>
      </w:r>
    </w:p>
    <w:p>
      <w:pPr>
        <w:spacing w:after="0" w:line="106"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7"/>
          <w:szCs w:val="17"/>
          <w:color w:val="auto"/>
        </w:rPr>
        <w:t>Moreover, we may pursue an affiliated joint acquisition opportunity with one or more affiliates of HighCape and/or one or more investors in HighCape or one of its affiliates. Any such parties may co-invest with us in the target business at the time of our initial business combination, or we could raise additional proceeds to complete the business combination by issuing to such parties a class of equity or equity-linked securities. Accordingly, such persons or entities may have a conflict between their interests and ours.</w:t>
      </w:r>
    </w:p>
    <w:p>
      <w:pPr>
        <w:spacing w:after="0" w:line="170" w:lineRule="exact"/>
        <w:rPr>
          <w:sz w:val="20"/>
          <w:szCs w:val="20"/>
          <w:color w:val="auto"/>
        </w:rPr>
      </w:pPr>
    </w:p>
    <w:p>
      <w:pPr>
        <w:jc w:val="both"/>
        <w:ind w:left="1260" w:right="939"/>
        <w:spacing w:after="0" w:line="264" w:lineRule="auto"/>
        <w:rPr>
          <w:sz w:val="20"/>
          <w:szCs w:val="20"/>
          <w:color w:val="auto"/>
        </w:rPr>
      </w:pPr>
      <w:r>
        <w:rPr>
          <w:rFonts w:ascii="Arial" w:cs="Arial" w:eastAsia="Arial" w:hAnsi="Arial"/>
          <w:sz w:val="17"/>
          <w:szCs w:val="17"/>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02" w:lineRule="exact"/>
        <w:rPr>
          <w:sz w:val="20"/>
          <w:szCs w:val="20"/>
          <w:color w:val="auto"/>
        </w:rPr>
      </w:pPr>
    </w:p>
    <w:p>
      <w:pPr>
        <w:ind w:left="1260" w:right="739" w:firstLine="360"/>
        <w:spacing w:after="0" w:line="250" w:lineRule="auto"/>
        <w:rPr>
          <w:sz w:val="20"/>
          <w:szCs w:val="20"/>
          <w:color w:val="auto"/>
        </w:rPr>
      </w:pPr>
      <w:r>
        <w:rPr>
          <w:rFonts w:ascii="Arial" w:cs="Arial" w:eastAsia="Arial" w:hAnsi="Arial"/>
          <w:sz w:val="17"/>
          <w:szCs w:val="17"/>
          <w:color w:val="auto"/>
        </w:rPr>
        <w:t>On June 10, 2020, our sponsor purchased an aggregate of 2,875,000 founder shares in exchange for a capital contribution of $25,000, or approximately $0.009 per share. In June 2020, our sponsor transferred 30,000 founder shares to each of David Colpman, Antony Loebel and Robert Taub, resulting in our sponsor holding 2,785,000 founder shares. Prior to the initial investment in the company of $ 25,000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11,500,000 units if the underwriters’ over-allotment option is exercised in full, and therefore that such founder shares would represent 20% of the outstanding shares after this offering, excluding the private placement shares underlying the private placement units. Up to 375,000 of the founder shares will be forfeited depending on the extent to which the underwriters’ over-allotment is exercised. The founder shares will be worthless if we do not complete an initial business combination. In addition, our sponsor has committed to purchase an aggregate of 375,000 private placement units (or 405,000 units if the underwriters’ over-allotment option is exercised in full) for an aggregate purchase price of $3,750,000 (or $4,050,000 if the underwriters’ over-allotment option is exercised in full), or $10.00 per unit. The private placement units (and the underlying securities) will also be worthless if we do not complete our initial business combination.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18-month anniversary of the closing of this offering nears, which is the deadline for our completion of an initial business combination.</w:t>
      </w:r>
    </w:p>
    <w:p>
      <w:pPr>
        <w:spacing w:after="0" w:line="189" w:lineRule="exact"/>
        <w:rPr>
          <w:sz w:val="20"/>
          <w:szCs w:val="20"/>
          <w:color w:val="auto"/>
        </w:rPr>
      </w:pPr>
    </w:p>
    <w:p>
      <w:pPr>
        <w:ind w:left="1260" w:right="919"/>
        <w:spacing w:after="0" w:line="250"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13"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63" w:lineRule="auto"/>
        <w:rPr>
          <w:sz w:val="20"/>
          <w:szCs w:val="20"/>
          <w:color w:val="auto"/>
        </w:rPr>
      </w:pPr>
      <w:r>
        <w:rPr>
          <w:rFonts w:ascii="Arial" w:cs="Arial" w:eastAsia="Arial" w:hAnsi="Arial"/>
          <w:sz w:val="18"/>
          <w:szCs w:val="18"/>
          <w:color w:val="auto"/>
        </w:rPr>
        <w:t>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76" w:lineRule="exact"/>
        <w:rPr>
          <w:sz w:val="20"/>
          <w:szCs w:val="20"/>
          <w:color w:val="auto"/>
        </w:rPr>
      </w:pPr>
    </w:p>
    <w:p>
      <w:pPr>
        <w:ind w:left="1800" w:right="839" w:hanging="178"/>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89" w:lineRule="exact"/>
        <w:rPr>
          <w:rFonts w:ascii="Arial" w:cs="Arial" w:eastAsia="Arial" w:hAnsi="Arial"/>
          <w:sz w:val="18"/>
          <w:szCs w:val="18"/>
          <w:color w:val="auto"/>
        </w:rPr>
      </w:pPr>
    </w:p>
    <w:p>
      <w:pPr>
        <w:ind w:left="1800" w:right="839" w:hanging="178"/>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89" w:lineRule="exact"/>
        <w:rPr>
          <w:rFonts w:ascii="Arial" w:cs="Arial" w:eastAsia="Arial" w:hAnsi="Arial"/>
          <w:sz w:val="18"/>
          <w:szCs w:val="18"/>
          <w:color w:val="auto"/>
        </w:rPr>
      </w:pPr>
    </w:p>
    <w:p>
      <w:pPr>
        <w:ind w:left="1800" w:hanging="178"/>
        <w:spacing w:after="0"/>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immediate payment of all principal and accrued interest, if any, if the debt is payable on demand;</w:t>
      </w:r>
    </w:p>
    <w:p>
      <w:pPr>
        <w:spacing w:after="0" w:line="142" w:lineRule="exact"/>
        <w:rPr>
          <w:rFonts w:ascii="Arial" w:cs="Arial" w:eastAsia="Arial" w:hAnsi="Arial"/>
          <w:sz w:val="17"/>
          <w:szCs w:val="17"/>
          <w:color w:val="auto"/>
        </w:rPr>
      </w:pPr>
    </w:p>
    <w:p>
      <w:pPr>
        <w:ind w:left="1800" w:right="939" w:hanging="178"/>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89" w:lineRule="exact"/>
        <w:rPr>
          <w:rFonts w:ascii="Arial" w:cs="Arial" w:eastAsia="Arial" w:hAnsi="Arial"/>
          <w:sz w:val="18"/>
          <w:szCs w:val="18"/>
          <w:color w:val="auto"/>
        </w:rPr>
      </w:pPr>
    </w:p>
    <w:p>
      <w:pPr>
        <w:ind w:left="1800" w:hanging="178"/>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130" w:lineRule="exact"/>
        <w:rPr>
          <w:rFonts w:ascii="Arial" w:cs="Arial" w:eastAsia="Arial" w:hAnsi="Arial"/>
          <w:sz w:val="18"/>
          <w:szCs w:val="18"/>
          <w:color w:val="auto"/>
        </w:rPr>
      </w:pPr>
    </w:p>
    <w:p>
      <w:pPr>
        <w:ind w:left="1800" w:right="779" w:hanging="178"/>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89" w:lineRule="exact"/>
        <w:rPr>
          <w:rFonts w:ascii="Arial" w:cs="Arial" w:eastAsia="Arial" w:hAnsi="Arial"/>
          <w:sz w:val="18"/>
          <w:szCs w:val="18"/>
          <w:color w:val="auto"/>
        </w:rPr>
      </w:pPr>
    </w:p>
    <w:p>
      <w:pPr>
        <w:ind w:left="1800" w:right="1219" w:hanging="178"/>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89"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1800" w:right="1199" w:hanging="178"/>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0"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and the sale of the private placement units, which will cause us to be solely dependent on a single business which may have a limited number of products or services. This lack of diversification may negatively impact our operations and profitability.</w:t>
      </w:r>
    </w:p>
    <w:p>
      <w:pPr>
        <w:spacing w:after="0" w:line="116"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The net proceeds from this offering and the private placement of units will provide us with $96,500,000 (or $110,975,000 if the underwriters’ over-allotment option is exercised in full) that we may use to complete our initial business combination (after taking into account the $3,500,000, or up to $4,025,000 if the over-allotment option is exercised in full, of deferred underwriting commissions being held in the trust account).</w:t>
      </w:r>
    </w:p>
    <w:p>
      <w:pPr>
        <w:spacing w:after="0" w:line="90"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97" w:lineRule="exact"/>
        <w:rPr>
          <w:sz w:val="20"/>
          <w:szCs w:val="20"/>
          <w:color w:val="auto"/>
        </w:rPr>
      </w:pPr>
    </w:p>
    <w:p>
      <w:pPr>
        <w:ind w:left="1800" w:hanging="178"/>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44" w:lineRule="exact"/>
        <w:rPr>
          <w:rFonts w:ascii="Arial" w:cs="Arial" w:eastAsia="Arial" w:hAnsi="Arial"/>
          <w:sz w:val="18"/>
          <w:szCs w:val="18"/>
          <w:color w:val="auto"/>
        </w:rPr>
      </w:pPr>
    </w:p>
    <w:p>
      <w:pPr>
        <w:ind w:left="1800" w:right="999" w:hanging="178"/>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959" w:firstLine="360"/>
        <w:spacing w:after="0" w:line="248"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8" w:lineRule="exact"/>
        <w:rPr>
          <w:sz w:val="20"/>
          <w:szCs w:val="20"/>
          <w:color w:val="auto"/>
        </w:rPr>
      </w:pPr>
    </w:p>
    <w:p>
      <w:pPr>
        <w:jc w:val="both"/>
        <w:ind w:left="1260" w:right="959"/>
        <w:spacing w:after="0" w:line="272"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82"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7" w:lineRule="exact"/>
        <w:rPr>
          <w:sz w:val="20"/>
          <w:szCs w:val="20"/>
          <w:color w:val="auto"/>
        </w:rPr>
      </w:pPr>
    </w:p>
    <w:p>
      <w:pPr>
        <w:ind w:left="1260" w:right="739"/>
        <w:spacing w:after="0" w:line="250"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13"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5" w:lineRule="exact"/>
        <w:rPr>
          <w:sz w:val="20"/>
          <w:szCs w:val="20"/>
          <w:color w:val="auto"/>
        </w:rPr>
      </w:pPr>
    </w:p>
    <w:p>
      <w:pPr>
        <w:ind w:left="1260" w:right="739"/>
        <w:spacing w:after="0" w:line="296" w:lineRule="auto"/>
        <w:rPr>
          <w:sz w:val="20"/>
          <w:szCs w:val="20"/>
          <w:color w:val="auto"/>
        </w:rPr>
      </w:pPr>
      <w:r>
        <w:rPr>
          <w:rFonts w:ascii="Arial" w:cs="Arial" w:eastAsia="Arial" w:hAnsi="Arial"/>
          <w:sz w:val="16"/>
          <w:szCs w:val="16"/>
          <w:b w:val="1"/>
          <w:bCs w:val="1"/>
          <w:color w:val="auto"/>
        </w:rPr>
        <w:t>Our management may not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79"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Class A common stock, our stockholders immediately prior to such transaction could own less than a majority of our outstanding Class A common stock subsequent to such transaction. In addition, other minority stockholders may subsequently combine their holdings resulting in a single person or group obtaining a larger share of the company’s shares than we initially acquired. Accordingly, this may make it more likely that our management will not maintain control of the target business.</w:t>
      </w:r>
    </w:p>
    <w:p>
      <w:pPr>
        <w:spacing w:after="0" w:line="187" w:lineRule="exact"/>
        <w:rPr>
          <w:sz w:val="20"/>
          <w:szCs w:val="20"/>
          <w:color w:val="auto"/>
        </w:rPr>
      </w:pPr>
    </w:p>
    <w:p>
      <w:pPr>
        <w:ind w:left="1260" w:right="839"/>
        <w:spacing w:after="0" w:line="289" w:lineRule="auto"/>
        <w:rPr>
          <w:sz w:val="20"/>
          <w:szCs w:val="20"/>
          <w:color w:val="auto"/>
        </w:rPr>
      </w:pPr>
      <w:r>
        <w:rPr>
          <w:rFonts w:ascii="Arial" w:cs="Arial" w:eastAsia="Arial" w:hAnsi="Arial"/>
          <w:sz w:val="17"/>
          <w:szCs w:val="17"/>
          <w:b w:val="1"/>
          <w:bCs w:val="1"/>
          <w:color w:val="auto"/>
        </w:rPr>
        <w:t>We do not have a specified maximum redemption threshold. The absence of such a redemption threshold may make it possible for us to complete our initial business combination with which a substantial majority of our stockholders or warrant holders do not agree.</w:t>
      </w:r>
    </w:p>
    <w:p>
      <w:pPr>
        <w:spacing w:after="0" w:line="81" w:lineRule="exact"/>
        <w:rPr>
          <w:sz w:val="20"/>
          <w:szCs w:val="20"/>
          <w:color w:val="auto"/>
        </w:rPr>
      </w:pPr>
    </w:p>
    <w:p>
      <w:pPr>
        <w:ind w:left="1260" w:right="1039" w:firstLine="360"/>
        <w:spacing w:after="0" w:line="259" w:lineRule="auto"/>
        <w:rPr>
          <w:sz w:val="20"/>
          <w:szCs w:val="20"/>
          <w:color w:val="auto"/>
        </w:rPr>
      </w:pPr>
      <w:r>
        <w:rPr>
          <w:rFonts w:ascii="Arial" w:cs="Arial" w:eastAsia="Arial" w:hAnsi="Arial"/>
          <w:sz w:val="18"/>
          <w:szCs w:val="18"/>
          <w:color w:val="auto"/>
        </w:rPr>
        <w:t>Our amended and restated certificate of incorporation does not provide a specified maximum redemption threshold, except that in no event will we redeem our public shares in an amount that would cause our net tangible assets to be less than $5,000,001. In addition, our proposed initial business combination</w:t>
      </w:r>
    </w:p>
    <w:p>
      <w:pPr>
        <w:sectPr>
          <w:pgSz w:w="11900" w:h="16838" w:orient="portrait"/>
          <w:cols w:equalWidth="0" w:num="1">
            <w:col w:w="10139"/>
          </w:cols>
          <w:pgMar w:left="320" w:top="132"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impose a minimum cash requirement for: (i) cash consideration to be paid to the target or its owners,</w:t>
      </w:r>
    </w:p>
    <w:p>
      <w:pPr>
        <w:spacing w:after="0" w:line="23" w:lineRule="exact"/>
        <w:rPr>
          <w:sz w:val="20"/>
          <w:szCs w:val="20"/>
          <w:color w:val="auto"/>
        </w:rPr>
      </w:pPr>
    </w:p>
    <w:p>
      <w:pPr>
        <w:ind w:left="1260" w:right="739" w:firstLine="2"/>
        <w:spacing w:after="0" w:line="235" w:lineRule="auto"/>
        <w:tabs>
          <w:tab w:leader="none" w:pos="15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for working capital or other general corporate purposes or (iii) the retention of cash to satisfy other conditions.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in connection with such initial business combination, all shares of Class A common stock submitted for redemption will be returned to the holders thereof, and we instead may search for an alternate business combination.</w:t>
      </w:r>
    </w:p>
    <w:p>
      <w:pPr>
        <w:spacing w:after="0" w:line="194" w:lineRule="exact"/>
        <w:rPr>
          <w:sz w:val="20"/>
          <w:szCs w:val="20"/>
          <w:color w:val="auto"/>
        </w:rPr>
      </w:pPr>
    </w:p>
    <w:p>
      <w:pPr>
        <w:ind w:left="1260" w:right="759"/>
        <w:spacing w:after="0" w:line="280" w:lineRule="auto"/>
        <w:rPr>
          <w:sz w:val="20"/>
          <w:szCs w:val="20"/>
          <w:color w:val="auto"/>
        </w:rPr>
      </w:pPr>
      <w:r>
        <w:rPr>
          <w:rFonts w:ascii="Arial" w:cs="Arial" w:eastAsia="Arial" w:hAnsi="Arial"/>
          <w:sz w:val="16"/>
          <w:szCs w:val="16"/>
          <w:b w:val="1"/>
          <w:b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78"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65% of our common stock,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 outstanding private placement warrants. In addition, our amended and restated certificate of incorporation requires us to provide our public stockholders with the opportunity to redeem their public shares for cash if we propose an amendment to our amended and restated certificate of incorporation to modify the substance or timing of our obligation to redeem 100% of our public shares if we do not complete an initial business combination within 18 months of the closing of this offering or with respect to any other material provisions relating to stockholders’ rights or pre-initial business combination activity. To the extent any of such amendments would be deemed to fundamentally change the nature of the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90" w:lineRule="exact"/>
        <w:rPr>
          <w:sz w:val="20"/>
          <w:szCs w:val="20"/>
          <w:color w:val="auto"/>
        </w:rPr>
      </w:pPr>
    </w:p>
    <w:p>
      <w:pPr>
        <w:ind w:left="1260" w:right="899"/>
        <w:spacing w:after="0" w:line="298" w:lineRule="auto"/>
        <w:rPr>
          <w:sz w:val="20"/>
          <w:szCs w:val="20"/>
          <w:color w:val="auto"/>
        </w:rPr>
      </w:pPr>
      <w:r>
        <w:rPr>
          <w:rFonts w:ascii="Arial" w:cs="Arial" w:eastAsia="Arial" w:hAnsi="Arial"/>
          <w:sz w:val="15"/>
          <w:szCs w:val="15"/>
          <w:b w:val="1"/>
          <w:bCs w:val="1"/>
          <w:color w:val="auto"/>
        </w:rPr>
        <w:t>The provisions of our amended and restated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special purpose acquisition companies. It may be easier for us, therefore, to amend our amended and restated certificate of incorporation to facilitate the completion of an initial business combination that some of our stockholders may not support.</w:t>
      </w:r>
    </w:p>
    <w:p>
      <w:pPr>
        <w:spacing w:after="0" w:line="82"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6"/>
          <w:szCs w:val="16"/>
          <w:color w:val="auto"/>
        </w:rPr>
        <w:t>Our amended and restated certificate of incorporation provides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stockholders as described herein)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w:t>
      </w: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38" w:lineRule="auto"/>
        <w:rPr>
          <w:sz w:val="20"/>
          <w:szCs w:val="20"/>
          <w:color w:val="auto"/>
        </w:rPr>
      </w:pPr>
      <w:r>
        <w:rPr>
          <w:rFonts w:ascii="Arial" w:cs="Arial" w:eastAsia="Arial" w:hAnsi="Arial"/>
          <w:sz w:val="18"/>
          <w:szCs w:val="18"/>
          <w:color w:val="auto"/>
        </w:rPr>
        <w:t>rules. Our initial stockholders, who will collectively beneficially own 20% of our common stock upon the closing of this offering (assuming they do not purchase any units in this offering and excluding the private placement shares underlying the private placement units), may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pre-business combination behavior more easily than some other special purpose acquisition companies, and this may increase our ability to complete a business combination with which you do not agree. Our stockholders may pursue remedies against us for any breach of our amended and restated certificate of incorporation.</w:t>
      </w:r>
    </w:p>
    <w:p>
      <w:pPr>
        <w:spacing w:after="0" w:line="110"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Our sponsor, executive officers, directors and director nominees have agreed, pursuant to written agreements with us, that they will not propose any amendment to our amended and restated certificate of incorporation to modify the substance or timing of our obligation to redeem 100% of our public shares if we do not complete our initial business combination within 18 months from the closing of this offering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(net of permitted withdrawals), divided by the number of then outstanding public shares. Our stockholders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stockholders would need to pursue a stockholder derivative action, subject to applicable law.</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agreements related to this offering may be amended without stockholder approval.</w:t>
      </w:r>
    </w:p>
    <w:p>
      <w:pPr>
        <w:spacing w:after="0" w:line="162" w:lineRule="exact"/>
        <w:rPr>
          <w:sz w:val="20"/>
          <w:szCs w:val="20"/>
          <w:color w:val="auto"/>
        </w:rPr>
      </w:pPr>
    </w:p>
    <w:p>
      <w:pPr>
        <w:ind w:left="1260" w:right="719" w:firstLine="360"/>
        <w:spacing w:after="0" w:line="250" w:lineRule="auto"/>
        <w:rPr>
          <w:sz w:val="20"/>
          <w:szCs w:val="20"/>
          <w:color w:val="auto"/>
        </w:rPr>
      </w:pPr>
      <w:r>
        <w:rPr>
          <w:rFonts w:ascii="Arial" w:cs="Arial" w:eastAsia="Arial" w:hAnsi="Arial"/>
          <w:sz w:val="17"/>
          <w:szCs w:val="17"/>
          <w:color w:val="auto"/>
        </w:rPr>
        <w:t>Each of the agreements related to this offering to which we are a party, other than the warrant agreement and the investment management trust agreement, may be amended without stockholder approval. Such agreements are: the underwriting agreement; the letter agreement among us and our initial stockholders, sponsor, officers and directors; the registration rights agreement among us and our initial stockholders; the private placement units purchase agreement between us and our sponsor; and the administrative services agreement among us and our sponsor. These agreements contain various provisions that our public stockholders might deem to be material. For example, our letter agreement and the underwriting agreement contain certain lock -up provisions with respect to the founder shares, private placement units and other securities held by our initial stockholders, sponsor,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amendment entered into in connection with the consummation of our initial business combination will be disclosed in our proxy solicitation or tender offer materials, as applicable, related to such initial business combination, and any other material amendment to any of our material agreements will be disclosed in a filing with the SEC. Any such amendments would not require approval from our stockholders, may result in the completion of our initial business combination that may not otherwise have been possible, and may have an adverse effect on the value of an investment in our securities. For example, amendments to the lock -up provision discussed above may result in our initial stockholders selling their securities earlier than they would otherwise be permitted, which may have an adverse effect on the price of our securities.</w:t>
      </w:r>
    </w:p>
    <w:p>
      <w:pPr>
        <w:spacing w:after="0" w:line="186" w:lineRule="exact"/>
        <w:rPr>
          <w:sz w:val="20"/>
          <w:szCs w:val="20"/>
          <w:color w:val="auto"/>
        </w:rPr>
      </w:pPr>
    </w:p>
    <w:p>
      <w:pPr>
        <w:ind w:left="1260" w:right="739"/>
        <w:spacing w:after="0" w:line="260" w:lineRule="auto"/>
        <w:rPr>
          <w:sz w:val="20"/>
          <w:szCs w:val="20"/>
          <w:color w:val="auto"/>
        </w:rPr>
      </w:pPr>
      <w:r>
        <w:rPr>
          <w:rFonts w:ascii="Arial" w:cs="Arial" w:eastAsia="Arial" w:hAnsi="Arial"/>
          <w:sz w:val="17"/>
          <w:szCs w:val="17"/>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do not complete our initial business combination, our public stockholders may only receive their pro rata portion of the funds in the trust account that are available for distribution to public stockholders, and our warrants will expire worthless.</w:t>
      </w:r>
    </w:p>
    <w:p>
      <w:pPr>
        <w:spacing w:after="0" w:line="106"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7"/>
          <w:szCs w:val="17"/>
          <w:color w:val="auto"/>
        </w:rPr>
        <w:t>Although we believe that the net proceeds of this offering and the sale of the private placement units will be sufficient to allow us to complete our initial business combination, because we have not yet selected</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1" w:lineRule="auto"/>
        <w:rPr>
          <w:sz w:val="20"/>
          <w:szCs w:val="20"/>
          <w:color w:val="auto"/>
        </w:rPr>
      </w:pPr>
      <w:r>
        <w:rPr>
          <w:rFonts w:ascii="Arial" w:cs="Arial" w:eastAsia="Arial" w:hAnsi="Arial"/>
          <w:sz w:val="17"/>
          <w:szCs w:val="17"/>
          <w:color w:val="auto"/>
        </w:rPr>
        <w:t>any specific target business we cannot ascertain the capital requirements for any particular transaction. If the net proceeds of this offering and the sale of the private placement units prove to be insufficient, either because of the size of our initial business combination, the depletion of the available net proceeds in search of a target business, the obligation to redeem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The current economic environment has made it especially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do not complete our initial business combination, our public stockholders may only receive their pro rata portion of the funds in the trust account that are available for distribution to public stockholders,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75" w:lineRule="exact"/>
        <w:rPr>
          <w:sz w:val="20"/>
          <w:szCs w:val="20"/>
          <w:color w:val="auto"/>
        </w:rPr>
      </w:pPr>
    </w:p>
    <w:p>
      <w:pPr>
        <w:ind w:left="1260" w:right="719"/>
        <w:spacing w:after="0" w:line="296" w:lineRule="auto"/>
        <w:rPr>
          <w:sz w:val="20"/>
          <w:szCs w:val="20"/>
          <w:color w:val="auto"/>
        </w:rPr>
      </w:pPr>
      <w:r>
        <w:rPr>
          <w:rFonts w:ascii="Arial" w:cs="Arial" w:eastAsia="Arial" w:hAnsi="Arial"/>
          <w:sz w:val="17"/>
          <w:szCs w:val="17"/>
          <w:b w:val="1"/>
          <w:bCs w:val="1"/>
          <w:color w:val="auto"/>
        </w:rPr>
        <w:t>Our initial stockholders control a substantial interest in us and thus may exert a substantial influence on actions requiring a stockholder vote, potentially in a manner that you do not support.</w:t>
      </w:r>
    </w:p>
    <w:p>
      <w:pPr>
        <w:spacing w:after="0" w:line="62"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7"/>
          <w:szCs w:val="17"/>
          <w:color w:val="auto"/>
        </w:rPr>
        <w:t>Upon closing of this offering, our initial stockholders will own 20% of our issued and outstanding common stock (assuming they do not purchase any units in this offering and excluding the private placement shares underlying the private placement units). Accordingly, they may exert a substantial influence on actions requiring a stockholder vote, potentially in a manner that you do not support, including amendments to our amended and restated certificate of incorporation. If our initial stockholders purchase any units in this offering or if our initial stockholders purchase any additional Class A common stock in the aftermarket or in privately negotiated transactions, this would increase their control.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w:t>
      </w:r>
    </w:p>
    <w:p>
      <w:pPr>
        <w:spacing w:after="0" w:line="175" w:lineRule="exact"/>
        <w:rPr>
          <w:sz w:val="20"/>
          <w:szCs w:val="20"/>
          <w:color w:val="auto"/>
        </w:rPr>
      </w:pPr>
    </w:p>
    <w:p>
      <w:pPr>
        <w:ind w:left="1260" w:right="799"/>
        <w:spacing w:after="0" w:line="250" w:lineRule="auto"/>
        <w:rPr>
          <w:sz w:val="20"/>
          <w:szCs w:val="20"/>
          <w:color w:val="auto"/>
        </w:rPr>
      </w:pPr>
      <w:r>
        <w:rPr>
          <w:rFonts w:ascii="Arial" w:cs="Arial" w:eastAsia="Arial" w:hAnsi="Arial"/>
          <w:sz w:val="18"/>
          <w:szCs w:val="18"/>
          <w:b w:val="1"/>
          <w:bCs w:val="1"/>
          <w:color w:val="auto"/>
        </w:rPr>
        <w:t>Our initial stockholders paid an aggregate of $25,000, or approximately $0.009 per founder share and, accordingly, you will experience immediate and substantial dilution from the purchase of our shares of Class A common stock.</w:t>
      </w:r>
    </w:p>
    <w:p>
      <w:pPr>
        <w:spacing w:after="0" w:line="113"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share of Class A common stock and none to the warrant included in the unit) and the pro forma net tangible book value per share of our Class A common stock after this offering constitutes the dilution to you and the other investors in this offering. Our initial stockholders acquired the founder shares at a nominal price, significantly contributing to this dilution. Upon closing of this offering, and assuming no value is ascribed to the warrants included in the units, you and the other public stockholders will incur an immediate and substantial dilution of approximately 86.3% (or $8.63 per share, assuming no exercise of the underwriters’ over-allotment option), the difference between the pro forma net tangible book value per share after this offering of $1.37 and the initial offering price of $10.00 per unit. This dilution would increase to the extent that the anti-dilution provisions of the founder shares result in the issuance of shares of</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41" w:lineRule="auto"/>
        <w:rPr>
          <w:sz w:val="20"/>
          <w:szCs w:val="20"/>
          <w:color w:val="auto"/>
        </w:rPr>
      </w:pPr>
      <w:r>
        <w:rPr>
          <w:rFonts w:ascii="Arial" w:cs="Arial" w:eastAsia="Arial" w:hAnsi="Arial"/>
          <w:sz w:val="18"/>
          <w:szCs w:val="18"/>
          <w:color w:val="auto"/>
        </w:rPr>
        <w:t>Class A common stock on a greater than one-to-one basis upon conversion of the founder shares at the time of our initial business combination and would become exacerbated to the extent that public stockholders seek redemptions from the trust for their public shares. In addition, because of the anti- dilution protection in the founder shares, any equity or equity-linked securities issued in connection with our initial business combination would be disproportionately dilutive to our Class A common stock.</w:t>
      </w:r>
    </w:p>
    <w:p>
      <w:pPr>
        <w:spacing w:after="0" w:line="185" w:lineRule="exact"/>
        <w:rPr>
          <w:sz w:val="20"/>
          <w:szCs w:val="20"/>
          <w:color w:val="auto"/>
        </w:rPr>
      </w:pPr>
    </w:p>
    <w:p>
      <w:pPr>
        <w:ind w:left="1260" w:right="839"/>
        <w:spacing w:after="0" w:line="310" w:lineRule="auto"/>
        <w:rPr>
          <w:sz w:val="20"/>
          <w:szCs w:val="20"/>
          <w:color w:val="auto"/>
        </w:rPr>
      </w:pPr>
      <w:r>
        <w:rPr>
          <w:rFonts w:ascii="Arial" w:cs="Arial" w:eastAsia="Arial" w:hAnsi="Arial"/>
          <w:sz w:val="15"/>
          <w:szCs w:val="15"/>
          <w:b w:val="1"/>
          <w:b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shares of Class A common stock purchasable upon exercise of a warrant could be decreased, all without your approval.</w:t>
      </w:r>
    </w:p>
    <w:p>
      <w:pPr>
        <w:spacing w:after="0" w:line="58" w:lineRule="exact"/>
        <w:rPr>
          <w:sz w:val="20"/>
          <w:szCs w:val="20"/>
          <w:color w:val="auto"/>
        </w:rPr>
      </w:pPr>
    </w:p>
    <w:p>
      <w:pPr>
        <w:jc w:val="both"/>
        <w:ind w:left="1260" w:right="759" w:firstLine="360"/>
        <w:spacing w:after="0" w:line="252" w:lineRule="auto"/>
        <w:rPr>
          <w:sz w:val="20"/>
          <w:szCs w:val="20"/>
          <w:color w:val="auto"/>
        </w:rPr>
      </w:pPr>
      <w:r>
        <w:rPr>
          <w:rFonts w:ascii="Arial" w:cs="Arial" w:eastAsia="Arial" w:hAnsi="Arial"/>
          <w:sz w:val="17"/>
          <w:szCs w:val="17"/>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set forth in this prospectus,</w:t>
      </w:r>
    </w:p>
    <w:p>
      <w:pPr>
        <w:spacing w:after="0" w:line="2" w:lineRule="exact"/>
        <w:rPr>
          <w:sz w:val="20"/>
          <w:szCs w:val="20"/>
          <w:color w:val="auto"/>
        </w:rPr>
      </w:pPr>
    </w:p>
    <w:p>
      <w:pPr>
        <w:ind w:left="1260" w:right="679" w:firstLine="2"/>
        <w:spacing w:after="0" w:line="250" w:lineRule="auto"/>
        <w:tabs>
          <w:tab w:leader="none" w:pos="1543"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adjusting the provisions relating to cash dividends on shares of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 outstanding public warrants is required to make any change that adversely affects the interests of the registered holders of the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Class A common stock purchasable upon exercise of a warrant.</w:t>
      </w:r>
    </w:p>
    <w:p>
      <w:pPr>
        <w:spacing w:after="0" w:line="181" w:lineRule="exact"/>
        <w:rPr>
          <w:sz w:val="20"/>
          <w:szCs w:val="20"/>
          <w:color w:val="auto"/>
        </w:rPr>
      </w:pPr>
    </w:p>
    <w:p>
      <w:pPr>
        <w:ind w:left="1260" w:right="1219"/>
        <w:spacing w:after="0" w:line="266"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99" w:lineRule="exact"/>
        <w:rPr>
          <w:sz w:val="20"/>
          <w:szCs w:val="20"/>
          <w:color w:val="auto"/>
        </w:rPr>
      </w:pPr>
    </w:p>
    <w:p>
      <w:pPr>
        <w:ind w:left="1260" w:right="719" w:firstLine="360"/>
        <w:spacing w:after="0" w:line="250"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capitalizations, reorganizations, recapitalizations and the like) for any 20 trading days within a 30-trading day period ending on the third trading day prior to proper notice of such redemption provided that on the date we give notice of redemption. We will not redeem the warrants unless an effective registration statement under the Securities Act covering the shares of Class A common stock issuable upon exercise of the warrants is effective and a current prospectus relating to those shares of Class A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you to</w:t>
      </w:r>
    </w:p>
    <w:p>
      <w:pPr>
        <w:spacing w:after="0" w:line="3" w:lineRule="exact"/>
        <w:rPr>
          <w:sz w:val="20"/>
          <w:szCs w:val="20"/>
          <w:color w:val="auto"/>
        </w:rPr>
      </w:pPr>
    </w:p>
    <w:p>
      <w:pPr>
        <w:ind w:left="1260" w:right="759" w:firstLine="2"/>
        <w:spacing w:after="0" w:line="237" w:lineRule="auto"/>
        <w:tabs>
          <w:tab w:leader="none" w:pos="14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for cash so long as they are held by their initial purchasers or their permitted transferees.</w:t>
      </w:r>
    </w:p>
    <w:p>
      <w:pPr>
        <w:spacing w:after="0" w:line="185" w:lineRule="exact"/>
        <w:rPr>
          <w:sz w:val="20"/>
          <w:szCs w:val="20"/>
          <w:color w:val="auto"/>
        </w:rPr>
      </w:pPr>
    </w:p>
    <w:p>
      <w:pPr>
        <w:ind w:left="1260" w:right="719"/>
        <w:spacing w:after="0" w:line="266" w:lineRule="auto"/>
        <w:rPr>
          <w:sz w:val="20"/>
          <w:szCs w:val="20"/>
          <w:color w:val="auto"/>
        </w:rPr>
      </w:pPr>
      <w:r>
        <w:rPr>
          <w:rFonts w:ascii="Arial" w:cs="Arial" w:eastAsia="Arial" w:hAnsi="Arial"/>
          <w:sz w:val="18"/>
          <w:szCs w:val="18"/>
          <w:b w:val="1"/>
          <w:bCs w:val="1"/>
          <w:color w:val="auto"/>
        </w:rPr>
        <w:t>Our warrants may have an adverse effect on the market price of our shares of Class A common stock and make it more difficult to effectuate our initial business combination.</w:t>
      </w:r>
    </w:p>
    <w:p>
      <w:pPr>
        <w:spacing w:after="0" w:line="99"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We will be issuing warrants to purchase 5,000,000 shares of our Class A common stock (or up to 5,750,000 shares of Class A common stock if the underwriters’ over-allotment option is exercised in full) as</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part of the units offered by this prospectus and, simultaneously with the closing of this offering, we will be issuing in a private placement an aggregate of 375,000 private placement units (or up to 405,000 shares of Class A common stock if the underwriters’ over-allotment option is exercised in full), which will have underlying warrants to purchase an aggregate of 187,500 shares of Class A common stock (or up to 202,500 shares of Class A common stock if the underwriters’ over-allotment option is exercised in full), each exercisable to purchase one share of Class A common stock at $11.50 per share. In addition, if our sponsor or an affiliate of our sponsor or certain of our officers and directors makes any working capital loans, such lender may convert those loans into up to an additional 150,000 private placement-equivalent units, at the price of $10.00 per unit. To the extent we issue common stock to effectuate a business transaction, the potential for the issuance of a substantial number of additional shares of Class A common stock upon exercise of these warrants could make us a less attractive acquisition vehicle to a target business. Such warrants, when exercised, will increase the number of issued and outstanding shares of Class A common stock and reduce the value of the Class A common stock issued to complete the business transaction. Therefore, our warrants may make it more difficult to effectuate a business transaction or increase the cost of acquiring the target business.</w:t>
      </w:r>
    </w:p>
    <w:p>
      <w:pPr>
        <w:spacing w:after="0" w:line="178" w:lineRule="exact"/>
        <w:rPr>
          <w:sz w:val="20"/>
          <w:szCs w:val="20"/>
          <w:color w:val="auto"/>
        </w:rPr>
      </w:pPr>
    </w:p>
    <w:p>
      <w:pPr>
        <w:ind w:left="1260" w:right="859"/>
        <w:spacing w:after="0" w:line="312" w:lineRule="auto"/>
        <w:rPr>
          <w:sz w:val="20"/>
          <w:szCs w:val="20"/>
          <w:color w:val="auto"/>
        </w:rPr>
      </w:pPr>
      <w:r>
        <w:rPr>
          <w:rFonts w:ascii="Arial" w:cs="Arial" w:eastAsia="Arial" w:hAnsi="Arial"/>
          <w:sz w:val="17"/>
          <w:szCs w:val="17"/>
          <w:b w:val="1"/>
          <w:bCs w:val="1"/>
          <w:color w:val="auto"/>
        </w:rPr>
        <w:t>Because each unit contains one-half of one warrant and only a whole warrant may be exercised, the units may be worth less than units of other special purpose acquisition companies.</w:t>
      </w:r>
    </w:p>
    <w:p>
      <w:pPr>
        <w:spacing w:after="0" w:line="63"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Each unit contains one-half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shares of Class A common stock to be issued to the warrant holder. This is different from other offerings similar to ours whose units include one common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178" w:lineRule="exact"/>
        <w:rPr>
          <w:sz w:val="20"/>
          <w:szCs w:val="20"/>
          <w:color w:val="auto"/>
        </w:rPr>
      </w:pPr>
    </w:p>
    <w:p>
      <w:pPr>
        <w:ind w:left="1260" w:right="739"/>
        <w:spacing w:after="0" w:line="303" w:lineRule="auto"/>
        <w:rPr>
          <w:sz w:val="20"/>
          <w:szCs w:val="20"/>
          <w:color w:val="auto"/>
        </w:rPr>
      </w:pPr>
      <w:r>
        <w:rPr>
          <w:rFonts w:ascii="Arial" w:cs="Arial" w:eastAsia="Arial" w:hAnsi="Arial"/>
          <w:sz w:val="16"/>
          <w:szCs w:val="16"/>
          <w:b w:val="1"/>
          <w:bCs w:val="1"/>
          <w:color w:val="auto"/>
        </w:rPr>
        <w:t>The determination of the offering price of our units, the size of this offering and terms of the units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87"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87" w:lineRule="exact"/>
        <w:rPr>
          <w:sz w:val="20"/>
          <w:szCs w:val="20"/>
          <w:color w:val="auto"/>
        </w:rPr>
      </w:pPr>
    </w:p>
    <w:p>
      <w:pPr>
        <w:ind w:left="1800" w:right="1499" w:hanging="178"/>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19" w:firstLine="360"/>
        <w:spacing w:after="0" w:line="248" w:lineRule="auto"/>
        <w:rPr>
          <w:sz w:val="20"/>
          <w:szCs w:val="20"/>
          <w:color w:val="auto"/>
        </w:rPr>
      </w:pPr>
      <w:r>
        <w:rPr>
          <w:rFonts w:ascii="Arial" w:cs="Arial" w:eastAsia="Arial" w:hAnsi="Arial"/>
          <w:sz w:val="18"/>
          <w:szCs w:val="18"/>
          <w:color w:val="auto"/>
        </w:rPr>
        <w:t>Although these factors were considered, the determination of our offering size, price and terms of the units is more arbitrary than the pricing of securities of an operating company in a particular industry since we have no historical operations or financial results.</w:t>
      </w:r>
    </w:p>
    <w:p>
      <w:pPr>
        <w:spacing w:after="0" w:line="178" w:lineRule="exact"/>
        <w:rPr>
          <w:sz w:val="20"/>
          <w:szCs w:val="20"/>
          <w:color w:val="auto"/>
        </w:rPr>
      </w:pPr>
    </w:p>
    <w:p>
      <w:pPr>
        <w:ind w:left="1260" w:right="879"/>
        <w:spacing w:after="0" w:line="266"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85"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7"/>
          <w:szCs w:val="17"/>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171" w:lineRule="exact"/>
        <w:rPr>
          <w:sz w:val="20"/>
          <w:szCs w:val="20"/>
          <w:color w:val="auto"/>
        </w:rPr>
      </w:pPr>
    </w:p>
    <w:p>
      <w:pPr>
        <w:ind w:left="1260" w:right="859"/>
        <w:spacing w:after="0" w:line="367" w:lineRule="auto"/>
        <w:rPr>
          <w:sz w:val="20"/>
          <w:szCs w:val="20"/>
          <w:color w:val="auto"/>
        </w:rPr>
      </w:pPr>
      <w:r>
        <w:rPr>
          <w:rFonts w:ascii="Arial" w:cs="Arial" w:eastAsia="Arial" w:hAnsi="Arial"/>
          <w:sz w:val="15"/>
          <w:szCs w:val="15"/>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30"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79" w:lineRule="exact"/>
        <w:rPr>
          <w:sz w:val="20"/>
          <w:szCs w:val="20"/>
          <w:color w:val="auto"/>
        </w:rPr>
      </w:pPr>
    </w:p>
    <w:p>
      <w:pPr>
        <w:ind w:left="1260" w:right="719"/>
        <w:spacing w:after="0" w:line="286" w:lineRule="auto"/>
        <w:rPr>
          <w:sz w:val="20"/>
          <w:szCs w:val="20"/>
          <w:color w:val="auto"/>
        </w:rPr>
      </w:pPr>
      <w:r>
        <w:rPr>
          <w:rFonts w:ascii="Arial" w:cs="Arial" w:eastAsia="Arial" w:hAnsi="Arial"/>
          <w:sz w:val="16"/>
          <w:szCs w:val="16"/>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86"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99" w:lineRule="exact"/>
        <w:rPr>
          <w:sz w:val="20"/>
          <w:szCs w:val="20"/>
          <w:color w:val="auto"/>
        </w:rPr>
      </w:pPr>
    </w:p>
    <w:p>
      <w:pPr>
        <w:ind w:left="1260" w:right="779" w:firstLine="360"/>
        <w:spacing w:after="0" w:line="296"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38" w:lineRule="auto"/>
        <w:rPr>
          <w:sz w:val="20"/>
          <w:szCs w:val="20"/>
          <w:color w:val="auto"/>
        </w:rPr>
      </w:pPr>
      <w:r>
        <w:rPr>
          <w:rFonts w:ascii="Arial" w:cs="Arial" w:eastAsia="Arial" w:hAnsi="Arial"/>
          <w:sz w:val="18"/>
          <w:szCs w:val="18"/>
          <w:color w:val="auto"/>
        </w:rPr>
        <w:t>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13"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30th, or (2) our annual revenues exceeded $100 million during such completed fiscal year and the market value of our common stock held by non-affiliates exceeds $700 million as of the prior June 30th. To the extent we take advantage of such reduced disclosure obligations, it may also make comparison of our financial statements with other public companies difficult or impossible.</w:t>
      </w:r>
    </w:p>
    <w:p>
      <w:pPr>
        <w:spacing w:after="0" w:line="187" w:lineRule="exact"/>
        <w:rPr>
          <w:sz w:val="20"/>
          <w:szCs w:val="20"/>
          <w:color w:val="auto"/>
        </w:rPr>
      </w:pPr>
    </w:p>
    <w:p>
      <w:pPr>
        <w:jc w:val="both"/>
        <w:ind w:left="1260" w:right="719"/>
        <w:spacing w:after="0" w:line="250" w:lineRule="auto"/>
        <w:rPr>
          <w:sz w:val="20"/>
          <w:szCs w:val="20"/>
          <w:color w:val="auto"/>
        </w:rPr>
      </w:pPr>
      <w:r>
        <w:rPr>
          <w:rFonts w:ascii="Arial" w:cs="Arial" w:eastAsia="Arial" w:hAnsi="Arial"/>
          <w:sz w:val="18"/>
          <w:szCs w:val="18"/>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13"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 -Oxley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176" w:lineRule="exact"/>
        <w:rPr>
          <w:sz w:val="20"/>
          <w:szCs w:val="20"/>
          <w:color w:val="auto"/>
        </w:rPr>
      </w:pPr>
    </w:p>
    <w:p>
      <w:pPr>
        <w:jc w:val="both"/>
        <w:ind w:left="1260" w:right="719"/>
        <w:spacing w:after="0" w:line="250"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shares of Class A common stock and could entrench management.</w:t>
      </w:r>
    </w:p>
    <w:p>
      <w:pPr>
        <w:spacing w:after="0" w:line="113" w:lineRule="exact"/>
        <w:rPr>
          <w:sz w:val="20"/>
          <w:szCs w:val="20"/>
          <w:color w:val="auto"/>
        </w:rPr>
      </w:pPr>
    </w:p>
    <w:p>
      <w:pPr>
        <w:ind w:left="1260" w:right="759" w:firstLine="360"/>
        <w:spacing w:after="0"/>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stock, which may make more difficult the removal of management and may discourage transactions that otherwise could involve payment of a premium over prevailing market prices for our securities.</w:t>
      </w:r>
    </w:p>
    <w:p>
      <w:pPr>
        <w:spacing w:after="0" w:line="108" w:lineRule="exact"/>
        <w:rPr>
          <w:sz w:val="20"/>
          <w:szCs w:val="20"/>
          <w:color w:val="auto"/>
        </w:rPr>
      </w:pPr>
    </w:p>
    <w:p>
      <w:pPr>
        <w:ind w:left="1260" w:right="779" w:firstLine="360"/>
        <w:spacing w:after="0" w:line="24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4" w:lineRule="exact"/>
        <w:rPr>
          <w:sz w:val="20"/>
          <w:szCs w:val="20"/>
          <w:color w:val="auto"/>
        </w:rPr>
      </w:pPr>
    </w:p>
    <w:p>
      <w:pPr>
        <w:ind w:left="1260" w:right="959"/>
        <w:spacing w:after="0" w:line="266"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have the effect of discouraging lawsuits against our directors and officers.</w:t>
      </w:r>
    </w:p>
    <w:p>
      <w:pPr>
        <w:spacing w:after="0" w:line="99"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7"/>
          <w:szCs w:val="17"/>
          <w:color w:val="auto"/>
        </w:rPr>
        <w:t>Our amended and restated certificate of incorporation will require, unless we consent in writing to the selection of an alternative forum, that (i) any derivative action or proceeding brought on our behalf, (ii) any</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39"/>
        <w:spacing w:after="0" w:line="252" w:lineRule="auto"/>
        <w:rPr>
          <w:sz w:val="20"/>
          <w:szCs w:val="20"/>
          <w:color w:val="auto"/>
        </w:rPr>
      </w:pPr>
      <w:r>
        <w:rPr>
          <w:rFonts w:ascii="Arial" w:cs="Arial" w:eastAsia="Arial" w:hAnsi="Arial"/>
          <w:sz w:val="17"/>
          <w:szCs w:val="17"/>
          <w:color w:val="auto"/>
        </w:rPr>
        <w:t>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w:t>
      </w:r>
    </w:p>
    <w:p>
      <w:pPr>
        <w:spacing w:after="0" w:line="2" w:lineRule="exact"/>
        <w:rPr>
          <w:sz w:val="20"/>
          <w:szCs w:val="20"/>
          <w:color w:val="auto"/>
        </w:rPr>
      </w:pPr>
    </w:p>
    <w:p>
      <w:pPr>
        <w:ind w:left="1260" w:right="819" w:firstLine="2"/>
        <w:spacing w:after="0" w:line="248" w:lineRule="auto"/>
        <w:tabs>
          <w:tab w:leader="none" w:pos="1569"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1" w:lineRule="exact"/>
        <w:rPr>
          <w:rFonts w:ascii="Arial" w:cs="Arial" w:eastAsia="Arial" w:hAnsi="Arial"/>
          <w:sz w:val="17"/>
          <w:szCs w:val="17"/>
          <w:color w:val="auto"/>
        </w:rPr>
      </w:pPr>
    </w:p>
    <w:p>
      <w:pPr>
        <w:ind w:left="1560" w:hanging="298"/>
        <w:spacing w:after="0" w:line="234" w:lineRule="auto"/>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which is vested in the exclusive jurisdiction of a court or forum other than the Court of Chancery or</w:t>
      </w:r>
    </w:p>
    <w:p>
      <w:pPr>
        <w:ind w:left="1260" w:right="739" w:firstLine="2"/>
        <w:spacing w:after="0" w:line="236" w:lineRule="auto"/>
        <w:tabs>
          <w:tab w:leader="none" w:pos="15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11" w:lineRule="exact"/>
        <w:rPr>
          <w:sz w:val="20"/>
          <w:szCs w:val="20"/>
          <w:color w:val="auto"/>
        </w:rPr>
      </w:pPr>
    </w:p>
    <w:p>
      <w:pPr>
        <w:ind w:left="1260" w:right="759" w:firstLine="360"/>
        <w:spacing w:after="0" w:line="237" w:lineRule="auto"/>
        <w:rPr>
          <w:sz w:val="20"/>
          <w:szCs w:val="20"/>
          <w:color w:val="auto"/>
        </w:rPr>
      </w:pPr>
      <w:r>
        <w:rPr>
          <w:rFonts w:ascii="Arial" w:cs="Arial" w:eastAsia="Arial" w:hAnsi="Arial"/>
          <w:sz w:val="18"/>
          <w:szCs w:val="18"/>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securities shall be deemed to have notice of an consented to these provisions. Although we believe this provision benefits us by providing increased consistency in the application of Delaware law in the types of lawsuits to which it applies, the provision may limit our stockholders’ ability to obtain a favorable judicial forum for disputed with us and may have the effect of discouraging lawsuits against our directors and officers.</w:t>
      </w:r>
    </w:p>
    <w:p>
      <w:pPr>
        <w:spacing w:after="0" w:line="187" w:lineRule="exact"/>
        <w:rPr>
          <w:sz w:val="20"/>
          <w:szCs w:val="20"/>
          <w:color w:val="auto"/>
        </w:rPr>
      </w:pPr>
    </w:p>
    <w:p>
      <w:pPr>
        <w:ind w:left="1260" w:right="1359"/>
        <w:spacing w:after="0" w:line="266" w:lineRule="auto"/>
        <w:rPr>
          <w:sz w:val="20"/>
          <w:szCs w:val="20"/>
          <w:color w:val="auto"/>
        </w:rPr>
      </w:pPr>
      <w:r>
        <w:rPr>
          <w:rFonts w:ascii="Arial" w:cs="Arial" w:eastAsia="Arial" w:hAnsi="Arial"/>
          <w:sz w:val="18"/>
          <w:szCs w:val="18"/>
          <w:b w:val="1"/>
          <w:bCs w:val="1"/>
          <w:color w:val="auto"/>
        </w:rPr>
        <w:t>Cyber incidents or attacks directed at us could result in information theft, data corruption, operational disruption and/or financial loss.</w:t>
      </w:r>
    </w:p>
    <w:p>
      <w:pPr>
        <w:spacing w:after="0" w:line="99"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7" w:lineRule="exact"/>
        <w:rPr>
          <w:sz w:val="20"/>
          <w:szCs w:val="20"/>
          <w:color w:val="auto"/>
        </w:rPr>
      </w:pPr>
    </w:p>
    <w:p>
      <w:pPr>
        <w:ind w:left="1260" w:right="879"/>
        <w:spacing w:after="0" w:line="266" w:lineRule="auto"/>
        <w:rPr>
          <w:sz w:val="20"/>
          <w:szCs w:val="20"/>
          <w:color w:val="auto"/>
        </w:rPr>
      </w:pPr>
      <w:r>
        <w:rPr>
          <w:rFonts w:ascii="Arial" w:cs="Arial" w:eastAsia="Arial" w:hAnsi="Arial"/>
          <w:sz w:val="18"/>
          <w:szCs w:val="18"/>
          <w:b w:val="1"/>
          <w:bCs w:val="1"/>
          <w:color w:val="auto"/>
        </w:rPr>
        <w:t>If we effect our initial business combination with a company located outside of the United States, we would be subject to a variety of additional risks that may adversely affect us.</w:t>
      </w:r>
    </w:p>
    <w:p>
      <w:pPr>
        <w:spacing w:after="0" w:line="99" w:lineRule="exact"/>
        <w:rPr>
          <w:sz w:val="20"/>
          <w:szCs w:val="20"/>
          <w:color w:val="auto"/>
        </w:rPr>
      </w:pPr>
    </w:p>
    <w:p>
      <w:pPr>
        <w:ind w:left="1260" w:right="839" w:firstLine="360"/>
        <w:spacing w:after="0" w:line="262" w:lineRule="auto"/>
        <w:rPr>
          <w:sz w:val="20"/>
          <w:szCs w:val="20"/>
          <w:color w:val="auto"/>
        </w:rPr>
      </w:pPr>
      <w:r>
        <w:rPr>
          <w:rFonts w:ascii="Arial" w:cs="Arial" w:eastAsia="Arial" w:hAnsi="Arial"/>
          <w:sz w:val="17"/>
          <w:szCs w:val="17"/>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91"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59" w:firstLine="360"/>
        <w:spacing w:after="0" w:line="263"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76" w:lineRule="exact"/>
        <w:rPr>
          <w:sz w:val="20"/>
          <w:szCs w:val="20"/>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tax issues, such as tax law changes and variations in tax laws as compared to the United States;</w:t>
      </w:r>
    </w:p>
    <w:p>
      <w:pPr>
        <w:spacing w:after="0" w:line="128" w:lineRule="exact"/>
        <w:rPr>
          <w:rFonts w:ascii="Arial" w:cs="Arial" w:eastAsia="Arial" w:hAnsi="Arial"/>
          <w:sz w:val="17"/>
          <w:szCs w:val="17"/>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corruption;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44"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73" w:lineRule="exact"/>
        <w:rPr>
          <w:sz w:val="20"/>
          <w:szCs w:val="20"/>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117"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62" w:lineRule="exact"/>
        <w:rPr>
          <w:rFonts w:ascii="Arial" w:cs="Arial" w:eastAsia="Arial" w:hAnsi="Arial"/>
          <w:sz w:val="18"/>
          <w:szCs w:val="18"/>
          <w:color w:val="auto"/>
        </w:rPr>
      </w:pPr>
    </w:p>
    <w:p>
      <w:pPr>
        <w:ind w:left="1800" w:right="739" w:hanging="178"/>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17" w:lineRule="exact"/>
        <w:rPr>
          <w:rFonts w:ascii="Arial" w:cs="Arial" w:eastAsia="Arial" w:hAnsi="Arial"/>
          <w:sz w:val="18"/>
          <w:szCs w:val="18"/>
          <w:color w:val="auto"/>
        </w:rPr>
      </w:pPr>
    </w:p>
    <w:p>
      <w:pPr>
        <w:ind w:left="1800" w:right="879" w:hanging="178"/>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62" w:lineRule="exact"/>
        <w:rPr>
          <w:rFonts w:ascii="Arial" w:cs="Arial" w:eastAsia="Arial" w:hAnsi="Arial"/>
          <w:sz w:val="18"/>
          <w:szCs w:val="18"/>
          <w:color w:val="auto"/>
        </w:rPr>
      </w:pPr>
    </w:p>
    <w:p>
      <w:pPr>
        <w:ind w:left="1800" w:right="1199" w:hanging="178"/>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17"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58" w:lineRule="exact"/>
        <w:rPr>
          <w:sz w:val="20"/>
          <w:szCs w:val="20"/>
          <w:color w:val="auto"/>
        </w:rPr>
      </w:pPr>
    </w:p>
    <w:p>
      <w:pPr>
        <w:ind w:left="1260" w:right="759" w:firstLine="36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beginning on page </w:t>
      </w:r>
      <w:hyperlink w:anchor="page34">
        <w:r>
          <w:rPr>
            <w:rFonts w:ascii="Arial" w:cs="Arial" w:eastAsia="Arial" w:hAnsi="Arial"/>
            <w:sz w:val="17"/>
            <w:szCs w:val="17"/>
            <w:u w:val="single" w:color="auto"/>
            <w:color w:val="0000EE"/>
          </w:rPr>
          <w:t>33</w:t>
        </w:r>
      </w:hyperlink>
      <w:r>
        <w:rPr>
          <w:rFonts w:ascii="Arial" w:cs="Arial" w:eastAsia="Arial" w:hAnsi="Arial"/>
          <w:sz w:val="17"/>
          <w:szCs w:val="17"/>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We are offering 10,000,000 units at an offering price of $10.00 per unit. We estimate that the net proceeds of this offering together with the funds we will receive from the sale of the private placement units will be used as set forth in the following table.</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Without Over-</w:t>
            </w:r>
          </w:p>
        </w:tc>
        <w:tc>
          <w:tcPr>
            <w:tcW w:w="10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86"/>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allotment Option</w:t>
            </w:r>
          </w:p>
        </w:tc>
        <w:tc>
          <w:tcPr>
            <w:tcW w:w="10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Exercised</w:t>
            </w:r>
          </w:p>
        </w:tc>
        <w:tc>
          <w:tcPr>
            <w:tcW w:w="0" w:type="dxa"/>
            <w:vAlign w:val="bottom"/>
          </w:tcPr>
          <w:p>
            <w:pPr>
              <w:spacing w:after="0"/>
              <w:rPr>
                <w:sz w:val="1"/>
                <w:szCs w:val="1"/>
                <w:color w:val="auto"/>
              </w:rPr>
            </w:pPr>
          </w:p>
        </w:tc>
      </w:tr>
      <w:tr>
        <w:trPr>
          <w:trHeight w:val="26"/>
        </w:trPr>
        <w:tc>
          <w:tcPr>
            <w:tcW w:w="5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80"/>
              <w:spacing w:after="0" w:line="270" w:lineRule="exact"/>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6"/>
                <w:szCs w:val="26"/>
                <w:color w:val="auto"/>
                <w:vertAlign w:val="superscript"/>
              </w:rPr>
              <w:t>(1)</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100,000,000</w:t>
            </w:r>
          </w:p>
        </w:tc>
        <w:tc>
          <w:tcPr>
            <w:tcW w:w="24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115,000,000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proceeds from private placement units offered in the private</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placement</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60" w:type="dxa"/>
            <w:vAlign w:val="bottom"/>
          </w:tcPr>
          <w:p>
            <w:pPr>
              <w:ind w:left="360"/>
              <w:spacing w:after="0"/>
              <w:rPr>
                <w:sz w:val="20"/>
                <w:szCs w:val="20"/>
                <w:color w:val="auto"/>
              </w:rPr>
            </w:pPr>
            <w:r>
              <w:rPr>
                <w:rFonts w:ascii="Arial" w:cs="Arial" w:eastAsia="Arial" w:hAnsi="Arial"/>
                <w:sz w:val="18"/>
                <w:szCs w:val="18"/>
                <w:color w:val="auto"/>
              </w:rPr>
              <w:t>Total gross proceeds</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103,750,000</w:t>
            </w:r>
          </w:p>
        </w:tc>
        <w:tc>
          <w:tcPr>
            <w:tcW w:w="2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119,050,000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60" w:type="dxa"/>
            <w:vAlign w:val="bottom"/>
            <w:tcBorders>
              <w:top w:val="single" w:sz="8" w:color="CCEEFF"/>
            </w:tcBorders>
            <w:shd w:val="clear" w:color="auto" w:fill="CCEEFF"/>
          </w:tcPr>
          <w:p>
            <w:pPr>
              <w:spacing w:after="0" w:line="270" w:lineRule="exact"/>
              <w:rPr>
                <w:sz w:val="20"/>
                <w:szCs w:val="20"/>
                <w:color w:val="auto"/>
              </w:rPr>
            </w:pPr>
            <w:r>
              <w:rPr>
                <w:rFonts w:ascii="Arial" w:cs="Arial" w:eastAsia="Arial" w:hAnsi="Arial"/>
                <w:sz w:val="18"/>
                <w:szCs w:val="18"/>
                <w:color w:val="auto"/>
              </w:rPr>
              <w:t>Estimated offering expenses</w:t>
            </w:r>
            <w:r>
              <w:rPr>
                <w:rFonts w:ascii="Arial" w:cs="Arial" w:eastAsia="Arial" w:hAnsi="Arial"/>
                <w:sz w:val="26"/>
                <w:szCs w:val="26"/>
                <w:color w:val="auto"/>
                <w:vertAlign w:val="superscript"/>
              </w:rPr>
              <w:t>(2)</w:t>
            </w:r>
          </w:p>
        </w:tc>
        <w:tc>
          <w:tcPr>
            <w:tcW w:w="220" w:type="dxa"/>
            <w:vAlign w:val="bottom"/>
            <w:tcBorders>
              <w:top w:val="single" w:sz="8" w:color="CCEEFF"/>
              <w:right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right w:val="single" w:sz="8" w:color="CCEEFF"/>
            </w:tcBorders>
            <w:shd w:val="clear" w:color="auto" w:fill="CCEEFF"/>
          </w:tcPr>
          <w:p>
            <w:pPr>
              <w:spacing w:after="0"/>
              <w:rPr>
                <w:sz w:val="23"/>
                <w:szCs w:val="23"/>
                <w:color w:val="auto"/>
              </w:rPr>
            </w:pPr>
          </w:p>
        </w:tc>
        <w:tc>
          <w:tcPr>
            <w:tcW w:w="240" w:type="dxa"/>
            <w:vAlign w:val="bottom"/>
            <w:tcBorders>
              <w:top w:val="single" w:sz="8" w:color="CCEEFF"/>
              <w:right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5760" w:type="dxa"/>
            <w:vAlign w:val="bottom"/>
          </w:tcPr>
          <w:p>
            <w:pPr>
              <w:ind w:left="180"/>
              <w:spacing w:after="0" w:line="192" w:lineRule="exact"/>
              <w:rPr>
                <w:sz w:val="20"/>
                <w:szCs w:val="20"/>
                <w:color w:val="auto"/>
              </w:rPr>
            </w:pPr>
            <w:r>
              <w:rPr>
                <w:rFonts w:ascii="Arial" w:cs="Arial" w:eastAsia="Arial" w:hAnsi="Arial"/>
                <w:sz w:val="18"/>
                <w:szCs w:val="18"/>
                <w:color w:val="auto"/>
                <w:w w:val="96"/>
              </w:rPr>
              <w:t>Underwriting commissions (2.0% of gross proceeds from units offered to</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5760" w:type="dxa"/>
            <w:vAlign w:val="bottom"/>
          </w:tcPr>
          <w:p>
            <w:pPr>
              <w:ind w:left="360"/>
              <w:spacing w:after="0" w:line="295" w:lineRule="exact"/>
              <w:rPr>
                <w:sz w:val="20"/>
                <w:szCs w:val="20"/>
                <w:color w:val="auto"/>
              </w:rPr>
            </w:pPr>
            <w:r>
              <w:rPr>
                <w:rFonts w:ascii="Arial" w:cs="Arial" w:eastAsia="Arial" w:hAnsi="Arial"/>
                <w:sz w:val="18"/>
                <w:szCs w:val="18"/>
                <w:color w:val="auto"/>
              </w:rPr>
              <w:t>public, excluding deferred portion)</w:t>
            </w:r>
            <w:r>
              <w:rPr>
                <w:rFonts w:ascii="Arial" w:cs="Arial" w:eastAsia="Arial" w:hAnsi="Arial"/>
                <w:sz w:val="26"/>
                <w:szCs w:val="26"/>
                <w:color w:val="auto"/>
                <w:vertAlign w:val="superscript"/>
              </w:rPr>
              <w:t>(3)</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2,000,000</w:t>
            </w:r>
          </w:p>
        </w:tc>
        <w:tc>
          <w:tcPr>
            <w:tcW w:w="2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fees and expenses</w:t>
            </w:r>
          </w:p>
        </w:tc>
        <w:tc>
          <w:tcPr>
            <w:tcW w:w="2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180"/>
              <w:spacing w:after="0"/>
              <w:rPr>
                <w:sz w:val="20"/>
                <w:szCs w:val="20"/>
                <w:color w:val="auto"/>
              </w:rPr>
            </w:pPr>
            <w:r>
              <w:rPr>
                <w:rFonts w:ascii="Arial" w:cs="Arial" w:eastAsia="Arial" w:hAnsi="Arial"/>
                <w:sz w:val="18"/>
                <w:szCs w:val="18"/>
                <w:color w:val="auto"/>
              </w:rPr>
              <w:t>Printing and engraving expenses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Accounting fees and expenses</w:t>
            </w:r>
          </w:p>
        </w:tc>
        <w:tc>
          <w:tcPr>
            <w:tcW w:w="2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180"/>
              <w:spacing w:after="0"/>
              <w:rPr>
                <w:sz w:val="20"/>
                <w:szCs w:val="20"/>
                <w:color w:val="auto"/>
              </w:rPr>
            </w:pPr>
            <w:r>
              <w:rPr>
                <w:rFonts w:ascii="Arial" w:cs="Arial" w:eastAsia="Arial" w:hAnsi="Arial"/>
                <w:sz w:val="18"/>
                <w:szCs w:val="18"/>
                <w:color w:val="auto"/>
              </w:rPr>
              <w:t>SEC/FINRA Expenses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33,000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Travel and road show</w:t>
            </w:r>
          </w:p>
        </w:tc>
        <w:tc>
          <w:tcPr>
            <w:tcW w:w="2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180"/>
              <w:spacing w:after="0"/>
              <w:rPr>
                <w:sz w:val="20"/>
                <w:szCs w:val="20"/>
                <w:color w:val="auto"/>
              </w:rPr>
            </w:pPr>
            <w:r>
              <w:rPr>
                <w:rFonts w:ascii="Arial" w:cs="Arial" w:eastAsia="Arial" w:hAnsi="Arial"/>
                <w:sz w:val="18"/>
                <w:szCs w:val="18"/>
                <w:color w:val="auto"/>
              </w:rPr>
              <w:t>Nasdaq listing and filing fees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Directors and officers insurance</w:t>
            </w:r>
          </w:p>
        </w:tc>
        <w:tc>
          <w:tcPr>
            <w:tcW w:w="2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Miscellaneous</w:t>
            </w:r>
          </w:p>
        </w:tc>
        <w:tc>
          <w:tcPr>
            <w:tcW w:w="2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412,000</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offering expenses (other than underwriting commissions)</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760" w:type="dxa"/>
            <w:vAlign w:val="bottom"/>
          </w:tcPr>
          <w:p>
            <w:pPr>
              <w:spacing w:after="0"/>
              <w:rPr>
                <w:sz w:val="20"/>
                <w:szCs w:val="20"/>
                <w:color w:val="auto"/>
              </w:rPr>
            </w:pPr>
            <w:r>
              <w:rPr>
                <w:rFonts w:ascii="Arial" w:cs="Arial" w:eastAsia="Arial" w:hAnsi="Arial"/>
                <w:sz w:val="18"/>
                <w:szCs w:val="18"/>
                <w:color w:val="auto"/>
              </w:rPr>
              <w:t>Proceeds after estimated offering expenses</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100,750,000</w:t>
            </w:r>
          </w:p>
        </w:tc>
        <w:tc>
          <w:tcPr>
            <w:tcW w:w="2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115,750,000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CEEFF"/>
          </w:tcPr>
          <w:p>
            <w:pPr>
              <w:spacing w:after="0" w:line="290" w:lineRule="exact"/>
              <w:rPr>
                <w:sz w:val="20"/>
                <w:szCs w:val="20"/>
                <w:color w:val="auto"/>
              </w:rPr>
            </w:pPr>
            <w:r>
              <w:rPr>
                <w:rFonts w:ascii="Arial" w:cs="Arial" w:eastAsia="Arial" w:hAnsi="Arial"/>
                <w:sz w:val="18"/>
                <w:szCs w:val="18"/>
                <w:color w:val="auto"/>
              </w:rPr>
              <w:t>Held in trust account</w:t>
            </w:r>
            <w:r>
              <w:rPr>
                <w:rFonts w:ascii="Arial" w:cs="Arial" w:eastAsia="Arial" w:hAnsi="Arial"/>
                <w:sz w:val="26"/>
                <w:szCs w:val="26"/>
                <w:color w:val="auto"/>
                <w:vertAlign w:val="superscript"/>
              </w:rPr>
              <w:t>(3)</w:t>
            </w: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vMerge w:val="continue"/>
            <w:shd w:val="clear" w:color="auto" w:fill="CCEEFF"/>
          </w:tcPr>
          <w:p>
            <w:pPr>
              <w:spacing w:after="0"/>
              <w:rPr>
                <w:sz w:val="23"/>
                <w:szCs w:val="23"/>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100,000,000</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115,000,000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18"/>
                <w:szCs w:val="18"/>
                <w:color w:val="auto"/>
              </w:rPr>
              <w:t>% of public offering size</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7"/>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Not held in trust account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-539115</wp:posOffset>
            </wp:positionV>
            <wp:extent cx="45777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-882015</wp:posOffset>
            </wp:positionV>
            <wp:extent cx="45777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-2682240</wp:posOffset>
            </wp:positionV>
            <wp:extent cx="45777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-3514090</wp:posOffset>
            </wp:positionV>
            <wp:extent cx="45688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82" w:lineRule="exact"/>
        <w:rPr>
          <w:sz w:val="20"/>
          <w:szCs w:val="20"/>
          <w:color w:val="auto"/>
        </w:rPr>
      </w:pPr>
    </w:p>
    <w:p>
      <w:pPr>
        <w:ind w:left="1260" w:right="839" w:firstLine="360"/>
        <w:spacing w:after="0" w:line="260" w:lineRule="auto"/>
        <w:rPr>
          <w:sz w:val="20"/>
          <w:szCs w:val="20"/>
          <w:color w:val="auto"/>
        </w:rPr>
      </w:pPr>
      <w:r>
        <w:rPr>
          <w:rFonts w:ascii="Arial" w:cs="Arial" w:eastAsia="Arial" w:hAnsi="Arial"/>
          <w:sz w:val="18"/>
          <w:szCs w:val="18"/>
          <w:color w:val="auto"/>
        </w:rPr>
        <w:t>The following table shows the use of the approximately $750,000 of net proceeds not held in the trust account</w:t>
      </w:r>
      <w:r>
        <w:rPr>
          <w:rFonts w:ascii="Arial" w:cs="Arial" w:eastAsia="Arial" w:hAnsi="Arial"/>
          <w:sz w:val="26"/>
          <w:szCs w:val="26"/>
          <w:color w:val="auto"/>
          <w:vertAlign w:val="superscript"/>
        </w:rPr>
        <w:t>(4)</w:t>
      </w:r>
    </w:p>
    <w:p>
      <w:pPr>
        <w:spacing w:after="0" w:line="3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2"/>
              </w:rPr>
              <w:t>% of Total</w:t>
            </w:r>
          </w:p>
        </w:tc>
      </w:tr>
      <w:tr>
        <w:trPr>
          <w:trHeight w:val="25"/>
        </w:trPr>
        <w:tc>
          <w:tcPr>
            <w:tcW w:w="194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accounting, due diligence, travel, and other expenses in connection with any</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6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business combination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21"/>
                <w:szCs w:val="21"/>
                <w:color w:val="auto"/>
              </w:rPr>
            </w:pPr>
          </w:p>
        </w:tc>
      </w:tr>
      <w:tr>
        <w:trPr>
          <w:trHeight w:val="256"/>
        </w:trPr>
        <w:tc>
          <w:tcPr>
            <w:tcW w:w="6660" w:type="dxa"/>
            <w:vAlign w:val="bottom"/>
            <w:gridSpan w:val="3"/>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75,000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Nasdaq and other regulatory fees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2"/>
                <w:szCs w:val="22"/>
                <w:color w:val="auto"/>
              </w:rPr>
            </w:pPr>
          </w:p>
        </w:tc>
      </w:tr>
      <w:tr>
        <w:trPr>
          <w:trHeight w:val="256"/>
        </w:trPr>
        <w:tc>
          <w:tcPr>
            <w:tcW w:w="6660" w:type="dxa"/>
            <w:vAlign w:val="bottom"/>
            <w:gridSpan w:val="3"/>
          </w:tcPr>
          <w:p>
            <w:pPr>
              <w:spacing w:after="0"/>
              <w:rPr>
                <w:sz w:val="20"/>
                <w:szCs w:val="20"/>
                <w:color w:val="auto"/>
              </w:rPr>
            </w:pPr>
            <w:r>
              <w:rPr>
                <w:rFonts w:ascii="Arial" w:cs="Arial" w:eastAsia="Arial" w:hAnsi="Arial"/>
                <w:sz w:val="18"/>
                <w:szCs w:val="18"/>
                <w:color w:val="auto"/>
              </w:rPr>
              <w:t>Payment for office space, utilities, administrative and support services</w:t>
            </w:r>
          </w:p>
        </w:tc>
        <w:tc>
          <w:tcPr>
            <w:tcW w:w="680" w:type="dxa"/>
            <w:vAlign w:val="bottom"/>
          </w:tcPr>
          <w:p>
            <w:pPr>
              <w:jc w:val="right"/>
              <w:spacing w:after="0"/>
              <w:rPr>
                <w:sz w:val="20"/>
                <w:szCs w:val="20"/>
                <w:color w:val="auto"/>
              </w:rPr>
            </w:pPr>
            <w:r>
              <w:rPr>
                <w:rFonts w:ascii="Arial" w:cs="Arial" w:eastAsia="Arial" w:hAnsi="Arial"/>
                <w:sz w:val="18"/>
                <w:szCs w:val="18"/>
                <w:color w:val="auto"/>
              </w:rPr>
              <w:t>240,000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Consulting, travel and miscellaneous expenses incurred during search for initial</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6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business combination target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r>
      <w:tr>
        <w:trPr>
          <w:trHeight w:val="264"/>
        </w:trPr>
        <w:tc>
          <w:tcPr>
            <w:tcW w:w="6660" w:type="dxa"/>
            <w:vAlign w:val="bottom"/>
            <w:gridSpan w:val="3"/>
          </w:tcPr>
          <w:p>
            <w:pPr>
              <w:spacing w:after="0"/>
              <w:rPr>
                <w:sz w:val="20"/>
                <w:szCs w:val="20"/>
                <w:color w:val="auto"/>
              </w:rPr>
            </w:pPr>
            <w:r>
              <w:rPr>
                <w:rFonts w:ascii="Arial" w:cs="Arial" w:eastAsia="Arial" w:hAnsi="Arial"/>
                <w:sz w:val="18"/>
                <w:szCs w:val="18"/>
                <w:color w:val="auto"/>
              </w:rPr>
              <w:t>Working capital to cover miscellaneous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35,000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4.67%</w:t>
            </w:r>
          </w:p>
        </w:tc>
      </w:tr>
      <w:tr>
        <w:trPr>
          <w:trHeight w:val="263"/>
        </w:trPr>
        <w:tc>
          <w:tcPr>
            <w:tcW w:w="6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$750,000</w:t>
            </w:r>
          </w:p>
        </w:tc>
        <w:tc>
          <w:tcPr>
            <w:tcW w:w="8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2"/>
                <w:szCs w:val="22"/>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-256540</wp:posOffset>
            </wp:positionV>
            <wp:extent cx="52120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-1525270</wp:posOffset>
            </wp:positionV>
            <wp:extent cx="48006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800600" cy="8890"/>
                    </a:xfrm>
                    <a:prstGeom prst="rect">
                      <a:avLst/>
                    </a:prstGeom>
                    <a:noFill/>
                  </pic:spPr>
                </pic:pic>
              </a:graphicData>
            </a:graphic>
          </wp:anchor>
        </w:drawing>
      </w:r>
    </w:p>
    <w:p>
      <w:pPr>
        <w:spacing w:after="0" w:line="101" w:lineRule="exact"/>
        <w:rPr>
          <w:sz w:val="20"/>
          <w:szCs w:val="20"/>
          <w:color w:val="auto"/>
        </w:rPr>
      </w:pPr>
    </w:p>
    <w:p>
      <w:pPr>
        <w:ind w:left="1620" w:right="819" w:hanging="358"/>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amounts payable to public stockholders who properly redeem their shares in connection with our successful completion of our initial business combination.</w:t>
      </w:r>
    </w:p>
    <w:p>
      <w:pPr>
        <w:spacing w:after="0" w:line="8" w:lineRule="exact"/>
        <w:rPr>
          <w:rFonts w:ascii="Arial" w:cs="Arial" w:eastAsia="Arial" w:hAnsi="Arial"/>
          <w:sz w:val="18"/>
          <w:szCs w:val="18"/>
          <w:color w:val="auto"/>
        </w:rPr>
      </w:pPr>
    </w:p>
    <w:p>
      <w:pPr>
        <w:ind w:left="1620" w:right="699" w:hanging="358"/>
        <w:spacing w:after="0" w:line="286" w:lineRule="auto"/>
        <w:tabs>
          <w:tab w:leader="none" w:pos="1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portion of the offering expenses have been paid from the proceeds of loans from our sponsor of up to $300,000 as described in this prospectus. These loans will be repaid upon completion of this offering out of the $1,000,000 of offering proceeds that has been allocated for the payment of offering expenses</w:t>
      </w:r>
    </w:p>
    <w:p>
      <w:pPr>
        <w:sectPr>
          <w:pgSz w:w="11900" w:h="16838" w:orient="portrait"/>
          <w:cols w:equalWidth="0" w:num="1">
            <w:col w:w="10139"/>
          </w:cols>
          <w:pgMar w:left="32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39"/>
        <w:spacing w:after="0" w:line="261" w:lineRule="auto"/>
        <w:rPr>
          <w:sz w:val="20"/>
          <w:szCs w:val="20"/>
          <w:color w:val="auto"/>
        </w:rPr>
      </w:pPr>
      <w:r>
        <w:rPr>
          <w:rFonts w:ascii="Arial" w:cs="Arial" w:eastAsia="Arial" w:hAnsi="Arial"/>
          <w:sz w:val="18"/>
          <w:szCs w:val="18"/>
          <w:color w:val="auto"/>
        </w:rPr>
        <w:t>other than underwriting commissions. In the event that offering expenses are less than set forth in this table, any such amounts will be used for post-closing working capital expenses.</w:t>
      </w:r>
    </w:p>
    <w:p>
      <w:pPr>
        <w:spacing w:after="0" w:line="22" w:lineRule="exact"/>
        <w:rPr>
          <w:sz w:val="20"/>
          <w:szCs w:val="20"/>
          <w:color w:val="auto"/>
        </w:rPr>
      </w:pPr>
    </w:p>
    <w:p>
      <w:pPr>
        <w:ind w:left="1620" w:right="699" w:hanging="358"/>
        <w:spacing w:after="0" w:line="253"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underwriters have agreed to defer underwriting commissions of 3.5% of the gross proceeds of this offering. Upon and concurrently with the completion of our initial business combination, up to $3,500,000, which constitutes the underwriters’ deferred commissions (or up to $4,025,000 if the underwriters’ over-allotment option is exercised in full) will be paid to the underwriters from the funds held in the trust account. See “Underwriting” beginning on page </w:t>
      </w:r>
      <w:hyperlink w:anchor="page145">
        <w:r>
          <w:rPr>
            <w:rFonts w:ascii="Arial" w:cs="Arial" w:eastAsia="Arial" w:hAnsi="Arial"/>
            <w:sz w:val="18"/>
            <w:szCs w:val="18"/>
            <w:u w:val="single" w:color="auto"/>
            <w:color w:val="0000EE"/>
          </w:rPr>
          <w:t>144</w:t>
        </w:r>
      </w:hyperlink>
      <w:r>
        <w:rPr>
          <w:rFonts w:ascii="Arial" w:cs="Arial" w:eastAsia="Arial" w:hAnsi="Arial"/>
          <w:sz w:val="18"/>
          <w:szCs w:val="18"/>
          <w:color w:val="auto"/>
        </w:rPr>
        <w:t>.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43" w:lineRule="exact"/>
        <w:rPr>
          <w:rFonts w:ascii="Arial" w:cs="Arial" w:eastAsia="Arial" w:hAnsi="Arial"/>
          <w:sz w:val="18"/>
          <w:szCs w:val="18"/>
          <w:color w:val="auto"/>
        </w:rPr>
      </w:pPr>
    </w:p>
    <w:p>
      <w:pPr>
        <w:ind w:left="1620" w:right="719" w:hanging="358"/>
        <w:spacing w:after="0" w:line="267" w:lineRule="auto"/>
        <w:tabs>
          <w:tab w:leader="none" w:pos="1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We estimate the interest earned on the trust account will be approximately $500,000 per year, assuming an interest rate of 0.5% per year; however, we can provide no assurances regarding this amount.</w:t>
      </w:r>
    </w:p>
    <w:p>
      <w:pPr>
        <w:spacing w:after="0" w:line="110"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7"/>
          <w:szCs w:val="17"/>
          <w:color w:val="auto"/>
        </w:rPr>
        <w:t>Nasdaq rules provide that at least 90% of the gross proceeds from this offering and the sale of the private placement units be deposited in a trust account. Of the $103.75 million in gross proceeds we receive from this offering and the sale of the private placement units described in this prospectus, or</w:t>
      </w:r>
    </w:p>
    <w:p>
      <w:pPr>
        <w:ind w:left="1260" w:right="679"/>
        <w:spacing w:after="0" w:line="248" w:lineRule="auto"/>
        <w:rPr>
          <w:sz w:val="20"/>
          <w:szCs w:val="20"/>
          <w:color w:val="auto"/>
        </w:rPr>
      </w:pPr>
      <w:r>
        <w:rPr>
          <w:rFonts w:ascii="Arial" w:cs="Arial" w:eastAsia="Arial" w:hAnsi="Arial"/>
          <w:sz w:val="17"/>
          <w:szCs w:val="17"/>
          <w:color w:val="auto"/>
        </w:rPr>
        <w:t>$119.05 million if the underwriters’ over- allotment option is exercised in full, $100 million ($10.00 per unit), or $ 115 million if the underwriters’ over- allotment option is exercised in full ($10.00 per unit), will be deposited into a trust account with Continental Stock Transfer &amp; Trust Company acting as trustee, after deducting $2 million in underwriting discounts and commissions payable upon the closing of this offering (or $2.3 million if the underwriters’ over-allotment option is exercised in full) and an aggregate of</w:t>
      </w:r>
    </w:p>
    <w:p>
      <w:pPr>
        <w:spacing w:after="0" w:line="3" w:lineRule="exact"/>
        <w:rPr>
          <w:sz w:val="20"/>
          <w:szCs w:val="20"/>
          <w:color w:val="auto"/>
        </w:rPr>
      </w:pPr>
    </w:p>
    <w:p>
      <w:pPr>
        <w:ind w:left="1260" w:right="699"/>
        <w:spacing w:after="0" w:line="250" w:lineRule="auto"/>
        <w:rPr>
          <w:sz w:val="20"/>
          <w:szCs w:val="20"/>
          <w:color w:val="auto"/>
        </w:rPr>
      </w:pPr>
      <w:r>
        <w:rPr>
          <w:rFonts w:ascii="Arial" w:cs="Arial" w:eastAsia="Arial" w:hAnsi="Arial"/>
          <w:sz w:val="17"/>
          <w:szCs w:val="17"/>
          <w:color w:val="auto"/>
        </w:rPr>
        <w:t>$1.75 million to pay expenses in connection with the closing of this offering and for working capital following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$500,000 per year, assuming an interest rate of 0.5% per year; however, we can provide no assurances regarding this amount. We expect that the interest earned on the trust account will be sufficient to pay income taxes. We will not be permitted to withdraw any of the principal or interest held in the trust account, except for permitted withdrawals, until the earliest of (i) the completion of our initial business combination, (ii) the redemption of our public shares if we do not complete our initial business combination within 18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our initial business combination within 18 months from the closing of this offering or with respect to any other material provisions relating to stockholders’ rights or pre-initial business combination activity.</w:t>
      </w:r>
    </w:p>
    <w:p>
      <w:pPr>
        <w:spacing w:after="0" w:line="115" w:lineRule="exact"/>
        <w:rPr>
          <w:sz w:val="20"/>
          <w:szCs w:val="20"/>
          <w:color w:val="auto"/>
        </w:rPr>
      </w:pPr>
    </w:p>
    <w:p>
      <w:pPr>
        <w:ind w:left="1260" w:right="959" w:firstLine="360"/>
        <w:spacing w:after="0" w:line="291"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2" w:lineRule="auto"/>
        <w:rPr>
          <w:sz w:val="20"/>
          <w:szCs w:val="20"/>
          <w:color w:val="auto"/>
        </w:rPr>
      </w:pPr>
      <w:r>
        <w:rPr>
          <w:rFonts w:ascii="Arial" w:cs="Arial" w:eastAsia="Arial" w:hAnsi="Arial"/>
          <w:sz w:val="18"/>
          <w:szCs w:val="18"/>
          <w:color w:val="auto"/>
        </w:rPr>
        <w:t>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privately or through loans, advances or other indebtedness in connection with our initial business combination, including pursuant to forward purchase agreements we may enter into following consummation of this offering. However, our amended and restated certificate of incorporation provides that, following this offering and prior to the consummation of our initial business combination, we will be prohibited from issuing additional securities that would entitle the holders thereof to (i) receive funds from the trust account or (ii) vote as a class with our public shares (a) on any initial business combination or (b) to approve an amendment to our amended and restated certificate of incorporation to (x) extend the time we have to consummate a business combination beyond 18 months from the closing of this offering or (y) amend the foregoing provisions.</w:t>
      </w:r>
    </w:p>
    <w:p>
      <w:pPr>
        <w:spacing w:after="0" w:line="115"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14" w:lineRule="exact"/>
        <w:rPr>
          <w:sz w:val="20"/>
          <w:szCs w:val="20"/>
          <w:color w:val="auto"/>
        </w:rPr>
      </w:pPr>
    </w:p>
    <w:p>
      <w:pPr>
        <w:ind w:left="1260" w:right="799" w:firstLine="360"/>
        <w:spacing w:after="0" w:line="301" w:lineRule="auto"/>
        <w:rPr>
          <w:sz w:val="20"/>
          <w:szCs w:val="20"/>
          <w:color w:val="auto"/>
        </w:rPr>
      </w:pPr>
      <w:r>
        <w:rPr>
          <w:rFonts w:ascii="Arial" w:cs="Arial" w:eastAsia="Arial" w:hAnsi="Arial"/>
          <w:sz w:val="16"/>
          <w:szCs w:val="16"/>
          <w:color w:val="auto"/>
        </w:rPr>
        <w:t>We will reimburse an affiliate of our sponsor for office space, secretarial and administrative services provided to members of our management team, in an amount not to exceed $10,000 per month in the event such space and/or services are utilized and we do not pay a third party directly for such services. Upon completion of our initial business combination or our liquidation, we will cease paying these monthly fees.</w:t>
      </w:r>
    </w:p>
    <w:p>
      <w:pPr>
        <w:spacing w:after="0" w:line="90"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Prior to the closing of this offering, our sponsor has agreed to loan us up to $300,000 to be used for a portion of the expenses of this offering. These loans are non-interest bearing, unsecured and are due at the earlier of December 31, 2020 or the closing of this offering. The loan will be repaid upon the closing of this offering out of the $1,000,000 of offering proceeds that has been allocated to the payment of offering expenses.</w:t>
      </w:r>
    </w:p>
    <w:p>
      <w:pPr>
        <w:spacing w:after="0" w:line="107"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private placement-equivalent units of the post business combination entity at a price of $10.00 per unit at the option of the lender. The units would be identical to the private placement units.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or decrease the size of this offering pursuant to Rule 462(b) under the Securities Act, we will effect a stock dividend or share contribution back to capital or other appropriate mechanism immediately prior to the consummation of this offering in such amount as to maintain the number of founder shares at 20.0% of our issued and outstanding common stock upon the consummation of this offering, excluding the private placement shares underlying the private placement units.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The difference between the public offering price per share of Class A common stock, assuming no value is attributed to the warrants included in the units we are offering pursuant to this prospectus or the private placement units, and the pro forma net tangible book value per share of our Class A common stock after this offering constitutes the dilution to investors in this offering. Such calculation does not reflect any dilution associated with the sale and exercise of warrants, including the private placement units,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shares of Class A common stock which may be redeemed for cash), by the number of shares of outstanding Class A common stock.</w:t>
      </w:r>
    </w:p>
    <w:p>
      <w:pPr>
        <w:spacing w:after="0" w:line="113"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At June 30, 2020, our net tangible book deficit was $(66,000), or approximately $(0.02) per common share. After giving effect to the sale of 10,000,000 shares of Class A common stock included in the units we are offering by this prospectus (or 11,500,000 shares of Class A common stock if the underwriters’ over-allotment option is exercised in full), the sale of the private placement units and the deduction of underwriting commissions and estimated expenses of this offering, our pro forma net tangible book value at June 30, 2020 would have been $5,000,010 or $1.37 per share (or $5,000,010 or $1.22 per share if the underwriters’ over-allotment option is exercised in full), representing an immediate increase in net tangible book value (as decreased by the value of the 9,227,399 shares of Class A common stock that may be redeemed for cash, or 10,674,899 shares of Class A common stock if the underwriters’ over-allotment option is exercised in full) of $1.39 per share (or $1.24 if the underwriters’ over-allotment option is exercised in full) to our initial stockholders as of the date of this prospectus and an immediate dilution to public stockholders from this offering of $8.63 per share (or $8.78 if the underwriters’ over-allotment option is exercised in full).</w:t>
      </w:r>
    </w:p>
    <w:p>
      <w:pPr>
        <w:spacing w:after="0" w:line="131"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following table illustrates the dilution to the public stockholders on a per-share basis, assuming no value is attributed to the warrants included in the units or the private placement units: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No exercise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628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over-</w:t>
            </w:r>
          </w:p>
        </w:tc>
        <w:tc>
          <w:tcPr>
            <w:tcW w:w="124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86"/>
              </w:rPr>
              <w:t>Exercise of over-</w:t>
            </w:r>
          </w:p>
        </w:tc>
      </w:tr>
      <w:tr>
        <w:trPr>
          <w:trHeight w:val="162"/>
        </w:trPr>
        <w:tc>
          <w:tcPr>
            <w:tcW w:w="62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allotment</w:t>
            </w: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allotment</w:t>
            </w:r>
          </w:p>
        </w:tc>
      </w:tr>
      <w:tr>
        <w:trPr>
          <w:trHeight w:val="186"/>
        </w:trPr>
        <w:tc>
          <w:tcPr>
            <w:tcW w:w="628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option in full</w:t>
            </w:r>
          </w:p>
        </w:tc>
      </w:tr>
      <w:tr>
        <w:trPr>
          <w:trHeight w:val="25"/>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8"/>
              </w:rPr>
              <w:t>10.00</w:t>
            </w:r>
          </w:p>
        </w:tc>
      </w:tr>
      <w:tr>
        <w:trPr>
          <w:trHeight w:val="257"/>
        </w:trPr>
        <w:tc>
          <w:tcPr>
            <w:tcW w:w="62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(0.02)</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(0.02)</w:t>
            </w:r>
          </w:p>
        </w:tc>
      </w:tr>
      <w:tr>
        <w:trPr>
          <w:trHeight w:val="25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w:t>
            </w: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1.24</w:t>
            </w:r>
          </w:p>
        </w:tc>
      </w:tr>
      <w:tr>
        <w:trPr>
          <w:trHeight w:val="242"/>
        </w:trPr>
        <w:tc>
          <w:tcPr>
            <w:tcW w:w="628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 and the sale of the private</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placement units</w:t>
            </w:r>
          </w:p>
        </w:tc>
        <w:tc>
          <w:tcPr>
            <w:tcW w:w="18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1.22</w:t>
            </w:r>
          </w:p>
        </w:tc>
      </w:tr>
      <w:tr>
        <w:trPr>
          <w:trHeight w:val="263"/>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-967740</wp:posOffset>
            </wp:positionV>
            <wp:extent cx="45688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114"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For purposes of presentation, we have reduced our pro forma net tangible book value after this offering (assuming no exercise of the underwriters’ over-allotment option) by $92,273,990 because holders of up to approximately 92.3%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stockholders meeting, including interest earned on the funds held in the trust account (net of permitted withdrawals), divided by the number of shares of Class A common stock sold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79" w:firstLine="360"/>
        <w:spacing w:after="0" w:line="277" w:lineRule="auto"/>
        <w:rPr>
          <w:sz w:val="20"/>
          <w:szCs w:val="20"/>
          <w:color w:val="auto"/>
        </w:rPr>
      </w:pPr>
      <w:r>
        <w:rPr>
          <w:rFonts w:ascii="Arial" w:cs="Arial" w:eastAsia="Arial" w:hAnsi="Arial"/>
          <w:sz w:val="18"/>
          <w:szCs w:val="18"/>
          <w:color w:val="auto"/>
        </w:rPr>
        <w:t>The following table sets forth information with respect to our initial stockholders and the public stockholders: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200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rPr>
              <w:t>Total Consideration</w:t>
            </w: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92"/>
        </w:trPr>
        <w:tc>
          <w:tcPr>
            <w:tcW w:w="19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94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gridSpan w:val="6"/>
            <w:vMerge w:val="continue"/>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7"/>
                <w:szCs w:val="17"/>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7"/>
                <w:szCs w:val="17"/>
                <w:color w:val="auto"/>
              </w:rPr>
            </w:pPr>
          </w:p>
        </w:tc>
        <w:tc>
          <w:tcPr>
            <w:tcW w:w="900" w:type="dxa"/>
            <w:vAlign w:val="bottom"/>
          </w:tcPr>
          <w:p>
            <w:pPr>
              <w:jc w:val="right"/>
              <w:ind w:right="17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2"/>
              </w:rPr>
              <w:t>Percentage</w:t>
            </w: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Initial Stockholders</w:t>
            </w:r>
            <w:r>
              <w:rPr>
                <w:rFonts w:ascii="Arial" w:cs="Arial" w:eastAsia="Arial" w:hAnsi="Arial"/>
                <w:sz w:val="26"/>
                <w:szCs w:val="26"/>
                <w:color w:val="auto"/>
                <w:vertAlign w:val="superscript"/>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12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0.024%</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$0.009</w:t>
            </w:r>
          </w:p>
        </w:tc>
        <w:tc>
          <w:tcPr>
            <w:tcW w:w="0" w:type="dxa"/>
            <w:vAlign w:val="bottom"/>
          </w:tcPr>
          <w:p>
            <w:pPr>
              <w:spacing w:after="0"/>
              <w:rPr>
                <w:sz w:val="1"/>
                <w:szCs w:val="1"/>
                <w:color w:val="auto"/>
              </w:rPr>
            </w:pPr>
          </w:p>
        </w:tc>
      </w:tr>
      <w:tr>
        <w:trPr>
          <w:trHeight w:val="256"/>
        </w:trPr>
        <w:tc>
          <w:tcPr>
            <w:tcW w:w="3380" w:type="dxa"/>
            <w:vAlign w:val="bottom"/>
            <w:gridSpan w:val="2"/>
          </w:tcPr>
          <w:p>
            <w:pPr>
              <w:spacing w:after="0"/>
              <w:rPr>
                <w:sz w:val="20"/>
                <w:szCs w:val="20"/>
                <w:color w:val="auto"/>
              </w:rPr>
            </w:pPr>
            <w:r>
              <w:rPr>
                <w:rFonts w:ascii="Arial" w:cs="Arial" w:eastAsia="Arial" w:hAnsi="Arial"/>
                <w:sz w:val="18"/>
                <w:szCs w:val="18"/>
                <w:color w:val="auto"/>
              </w:rPr>
              <w:t>Private Placement Unitholders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3,750,000</w:t>
            </w:r>
          </w:p>
        </w:tc>
        <w:tc>
          <w:tcPr>
            <w:tcW w:w="1100" w:type="dxa"/>
            <w:vAlign w:val="bottom"/>
            <w:gridSpan w:val="5"/>
          </w:tcPr>
          <w:p>
            <w:pPr>
              <w:jc w:val="right"/>
              <w:ind w:right="160"/>
              <w:spacing w:after="0"/>
              <w:rPr>
                <w:sz w:val="20"/>
                <w:szCs w:val="20"/>
                <w:color w:val="auto"/>
              </w:rPr>
            </w:pPr>
            <w:r>
              <w:rPr>
                <w:rFonts w:ascii="Arial" w:cs="Arial" w:eastAsia="Arial" w:hAnsi="Arial"/>
                <w:sz w:val="18"/>
                <w:szCs w:val="18"/>
                <w:color w:val="auto"/>
              </w:rPr>
              <w:t>3.614%</w:t>
            </w:r>
          </w:p>
        </w:tc>
        <w:tc>
          <w:tcPr>
            <w:tcW w:w="580" w:type="dxa"/>
            <w:vAlign w:val="bottom"/>
          </w:tcPr>
          <w:p>
            <w:pPr>
              <w:ind w:left="2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63"/>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Stockholders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10,000,000</w:t>
            </w:r>
          </w:p>
        </w:tc>
        <w:tc>
          <w:tcPr>
            <w:tcW w:w="340" w:type="dxa"/>
            <w:vAlign w:val="bottom"/>
            <w:gridSpan w:val="2"/>
            <w:shd w:val="clear" w:color="auto" w:fill="CCEEFF"/>
          </w:tcPr>
          <w:p>
            <w:pPr>
              <w:spacing w:after="0"/>
              <w:rPr>
                <w:sz w:val="22"/>
                <w:szCs w:val="22"/>
                <w:color w:val="auto"/>
              </w:rPr>
            </w:pPr>
          </w:p>
        </w:tc>
        <w:tc>
          <w:tcPr>
            <w:tcW w:w="7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100,000,000</w:t>
            </w:r>
          </w:p>
        </w:tc>
        <w:tc>
          <w:tcPr>
            <w:tcW w:w="11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96.362%</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12,875,000</w:t>
            </w:r>
          </w:p>
        </w:tc>
        <w:tc>
          <w:tcPr>
            <w:tcW w:w="340" w:type="dxa"/>
            <w:vAlign w:val="bottom"/>
            <w:gridSpan w:val="2"/>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103,775,000</w:t>
            </w:r>
          </w:p>
        </w:tc>
        <w:tc>
          <w:tcPr>
            <w:tcW w:w="1100" w:type="dxa"/>
            <w:vAlign w:val="bottom"/>
            <w:gridSpan w:val="5"/>
          </w:tcPr>
          <w:p>
            <w:pPr>
              <w:jc w:val="right"/>
              <w:ind w:right="16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-796925</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-796925</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-796925</wp:posOffset>
            </wp:positionV>
            <wp:extent cx="29400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4005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-796925</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01" w:lineRule="exact"/>
        <w:rPr>
          <w:sz w:val="20"/>
          <w:szCs w:val="20"/>
          <w:color w:val="auto"/>
        </w:rPr>
      </w:pPr>
    </w:p>
    <w:p>
      <w:pPr>
        <w:ind w:left="1620" w:right="1059" w:hanging="358"/>
        <w:spacing w:after="0" w:line="27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Assumes that 375,000 founder shares are forfeited after the closing of this offering in the event the underwriters do not exercise their over-allotment option.</w:t>
      </w:r>
    </w:p>
    <w:p>
      <w:pPr>
        <w:spacing w:after="0" w:line="103"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pro forma net tangible book value per share after the offering (assuming that the underwriters do not exercise their over-allotment option) is calculated as follows: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220" w:type="dxa"/>
            <w:vAlign w:val="bottom"/>
            <w:gridSpan w:val="2"/>
          </w:tcPr>
          <w:p>
            <w:pPr>
              <w:spacing w:after="0"/>
              <w:rPr>
                <w:sz w:val="20"/>
                <w:szCs w:val="20"/>
                <w:color w:val="auto"/>
              </w:rPr>
            </w:pPr>
            <w:r>
              <w:rPr>
                <w:rFonts w:ascii="Arial" w:cs="Arial" w:eastAsia="Arial" w:hAnsi="Arial"/>
                <w:sz w:val="18"/>
                <w:szCs w:val="18"/>
                <w:color w:val="auto"/>
              </w:rPr>
              <w:t>Net tangible book value before this offering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70"/>
        </w:trPr>
        <w:tc>
          <w:tcPr>
            <w:tcW w:w="72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Proceeds from this offering and sale of the private placement units, net of expenses</w:t>
            </w:r>
            <w:r>
              <w:rPr>
                <w:rFonts w:ascii="Arial" w:cs="Arial" w:eastAsia="Arial" w:hAnsi="Arial"/>
                <w:sz w:val="26"/>
                <w:szCs w:val="26"/>
                <w:color w:val="auto"/>
                <w:vertAlign w:val="superscript"/>
              </w:rPr>
              <w:t>(1)</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100,750,000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spacing w:after="0"/>
              <w:rPr>
                <w:sz w:val="20"/>
                <w:szCs w:val="20"/>
                <w:color w:val="auto"/>
              </w:rPr>
            </w:pPr>
            <w:r>
              <w:rPr>
                <w:rFonts w:ascii="Arial" w:cs="Arial" w:eastAsia="Arial" w:hAnsi="Arial"/>
                <w:sz w:val="18"/>
                <w:szCs w:val="18"/>
                <w:color w:val="auto"/>
                <w:w w:val="98"/>
              </w:rPr>
              <w:t>Plus: Offering costs accrued for and paid in advance, excluded from net tangible book value</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before this offering</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deferred underwriters’ commissions payable</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220" w:type="dxa"/>
            <w:vAlign w:val="bottom"/>
            <w:gridSpan w:val="2"/>
          </w:tcPr>
          <w:p>
            <w:pPr>
              <w:spacing w:after="0" w:line="205" w:lineRule="exact"/>
              <w:rPr>
                <w:sz w:val="20"/>
                <w:szCs w:val="20"/>
                <w:color w:val="auto"/>
              </w:rPr>
            </w:pPr>
            <w:r>
              <w:rPr>
                <w:rFonts w:ascii="Arial" w:cs="Arial" w:eastAsia="Arial" w:hAnsi="Arial"/>
                <w:sz w:val="18"/>
                <w:szCs w:val="18"/>
                <w:color w:val="auto"/>
                <w:w w:val="97"/>
              </w:rPr>
              <w:t>Less: amount of Class A common stock subject to redemption to maintain net tangible assets</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722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of $5,000,001</w:t>
            </w:r>
            <w:r>
              <w:rPr>
                <w:rFonts w:ascii="Arial" w:cs="Arial" w:eastAsia="Arial" w:hAnsi="Arial"/>
                <w:sz w:val="26"/>
                <w:szCs w:val="26"/>
                <w:color w:val="auto"/>
                <w:vertAlign w:val="superscript"/>
              </w:rPr>
              <w:t>(2)</w:t>
            </w:r>
          </w:p>
        </w:tc>
        <w:tc>
          <w:tcPr>
            <w:tcW w:w="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4"/>
              </w:rPr>
              <w:t>(92,273,990)</w:t>
            </w:r>
          </w:p>
        </w:tc>
        <w:tc>
          <w:tcPr>
            <w:tcW w:w="0" w:type="dxa"/>
            <w:vAlign w:val="bottom"/>
          </w:tcPr>
          <w:p>
            <w:pPr>
              <w:spacing w:after="0"/>
              <w:rPr>
                <w:sz w:val="1"/>
                <w:szCs w:val="1"/>
                <w:color w:val="auto"/>
              </w:rPr>
            </w:pPr>
          </w:p>
        </w:tc>
      </w:tr>
      <w:tr>
        <w:trPr>
          <w:trHeight w:val="257"/>
        </w:trPr>
        <w:tc>
          <w:tcPr>
            <w:tcW w:w="1940" w:type="dxa"/>
            <w:vAlign w:val="bottom"/>
            <w:tcBorders>
              <w:top w:val="single" w:sz="8" w:color="CCEEFF"/>
              <w:bottom w:val="single" w:sz="8" w:color="CCEEFF"/>
            </w:tcBorders>
            <w:shd w:val="clear" w:color="auto" w:fill="CCEEFF"/>
          </w:tcPr>
          <w:p>
            <w:pPr>
              <w:spacing w:after="0"/>
              <w:rPr>
                <w:sz w:val="22"/>
                <w:szCs w:val="22"/>
                <w:color w:val="auto"/>
              </w:rPr>
            </w:pPr>
          </w:p>
        </w:tc>
        <w:tc>
          <w:tcPr>
            <w:tcW w:w="52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2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Class B common stock outstanding prior to this offering</w:t>
            </w:r>
            <w:r>
              <w:rPr>
                <w:rFonts w:ascii="Arial" w:cs="Arial" w:eastAsia="Arial" w:hAnsi="Arial"/>
                <w:sz w:val="26"/>
                <w:szCs w:val="26"/>
                <w:color w:val="auto"/>
                <w:vertAlign w:val="superscript"/>
              </w:rPr>
              <w:t>(3)</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220" w:type="dxa"/>
            <w:vAlign w:val="bottom"/>
            <w:gridSpan w:val="2"/>
          </w:tcPr>
          <w:p>
            <w:pPr>
              <w:spacing w:after="0"/>
              <w:rPr>
                <w:sz w:val="20"/>
                <w:szCs w:val="20"/>
                <w:color w:val="auto"/>
              </w:rPr>
            </w:pPr>
            <w:r>
              <w:rPr>
                <w:rFonts w:ascii="Arial" w:cs="Arial" w:eastAsia="Arial" w:hAnsi="Arial"/>
                <w:sz w:val="18"/>
                <w:szCs w:val="18"/>
                <w:color w:val="auto"/>
              </w:rPr>
              <w:t>Class A common stock included in the units offered</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10,375,000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shares subject to redemption to maintain net tangible assets of $5,000,001</w:t>
            </w:r>
          </w:p>
        </w:tc>
        <w:tc>
          <w:tcPr>
            <w:tcW w:w="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(9,227,399)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9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3,647,601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-1148080</wp:posOffset>
            </wp:positionV>
            <wp:extent cx="45777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114" w:lineRule="exact"/>
        <w:rPr>
          <w:sz w:val="20"/>
          <w:szCs w:val="20"/>
          <w:color w:val="auto"/>
        </w:rPr>
      </w:pPr>
    </w:p>
    <w:p>
      <w:pPr>
        <w:ind w:left="1620" w:right="1039" w:hanging="358"/>
        <w:spacing w:after="0" w:line="325" w:lineRule="auto"/>
        <w:tabs>
          <w:tab w:leader="none" w:pos="1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Expenses applied against gross proceeds include offering expenses of $1,000,000 and underwriting commissions of $2,000,000 (excluding deferred underwriting fees). See “Use of Proceeds.”</w:t>
      </w:r>
    </w:p>
    <w:p>
      <w:pPr>
        <w:spacing w:after="0" w:line="1" w:lineRule="exact"/>
        <w:rPr>
          <w:rFonts w:ascii="Arial" w:cs="Arial" w:eastAsia="Arial" w:hAnsi="Arial"/>
          <w:sz w:val="16"/>
          <w:szCs w:val="16"/>
          <w:color w:val="auto"/>
        </w:rPr>
      </w:pPr>
    </w:p>
    <w:p>
      <w:pPr>
        <w:ind w:left="1620" w:right="699" w:hanging="358"/>
        <w:spacing w:after="0" w:line="267" w:lineRule="auto"/>
        <w:tabs>
          <w:tab w:leader="none" w:pos="1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Class A common stock subject to redemption will be reduced by the amount of any such purchases, increasing the</w:t>
      </w:r>
    </w:p>
    <w:p>
      <w:pPr>
        <w:spacing w:after="0" w:line="4" w:lineRule="exact"/>
        <w:rPr>
          <w:rFonts w:ascii="Arial" w:cs="Arial" w:eastAsia="Arial" w:hAnsi="Arial"/>
          <w:sz w:val="17"/>
          <w:szCs w:val="17"/>
          <w:color w:val="auto"/>
        </w:rPr>
      </w:pPr>
    </w:p>
    <w:p>
      <w:pPr>
        <w:ind w:left="1620" w:right="779"/>
        <w:spacing w:after="0" w:line="260" w:lineRule="auto"/>
        <w:rPr>
          <w:rFonts w:ascii="Arial" w:cs="Arial" w:eastAsia="Arial" w:hAnsi="Arial"/>
          <w:sz w:val="17"/>
          <w:szCs w:val="17"/>
          <w:color w:val="auto"/>
        </w:rPr>
      </w:pPr>
      <w:r>
        <w:rPr>
          <w:rFonts w:ascii="Arial" w:cs="Arial" w:eastAsia="Arial" w:hAnsi="Arial"/>
          <w:sz w:val="18"/>
          <w:szCs w:val="18"/>
          <w:color w:val="auto"/>
        </w:rPr>
        <w:t>pro forma net tangible book value per share. See “Proposed Business — Effecting Our Initial Business Combination — Permitted Purchases of Our Securities.”</w:t>
      </w:r>
    </w:p>
    <w:p>
      <w:pPr>
        <w:spacing w:after="0" w:line="36" w:lineRule="exact"/>
        <w:rPr>
          <w:rFonts w:ascii="Arial" w:cs="Arial" w:eastAsia="Arial" w:hAnsi="Arial"/>
          <w:sz w:val="17"/>
          <w:szCs w:val="17"/>
          <w:color w:val="auto"/>
        </w:rPr>
      </w:pPr>
    </w:p>
    <w:p>
      <w:pPr>
        <w:ind w:left="1620" w:hanging="358"/>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Assumes that 375,000 founder shares are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The following table sets forth our capitalization at June 30, 2020, and as adjusted to give effect to the filing of our amended and restated certificate of incorporation, the sale of our units in this offering and the sale of the private placement units and the application of the estimated net proceeds derived from the sale of such securities, assuming no exercise by the underwriters of their over-allotment option:</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6"/>
          </w:tcPr>
          <w:p>
            <w:pPr>
              <w:ind w:left="50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3"/>
          </w:tcPr>
          <w:p>
            <w:pPr>
              <w:ind w:left="100"/>
              <w:spacing w:after="0"/>
              <w:rPr>
                <w:sz w:val="20"/>
                <w:szCs w:val="20"/>
                <w:color w:val="auto"/>
              </w:rPr>
            </w:pPr>
            <w:r>
              <w:rPr>
                <w:rFonts w:ascii="Arial" w:cs="Arial" w:eastAsia="Arial" w:hAnsi="Arial"/>
                <w:sz w:val="14"/>
                <w:szCs w:val="14"/>
                <w:b w:val="1"/>
                <w:bCs w:val="1"/>
                <w:color w:val="auto"/>
              </w:rPr>
              <w:t>Actual</w:t>
            </w:r>
          </w:p>
        </w:tc>
        <w:tc>
          <w:tcPr>
            <w:tcW w:w="1000" w:type="dxa"/>
            <w:vAlign w:val="bottom"/>
            <w:gridSpan w:val="2"/>
          </w:tcPr>
          <w:p>
            <w:pPr>
              <w:jc w:val="right"/>
              <w:ind w:right="10"/>
              <w:spacing w:after="0" w:line="237" w:lineRule="exact"/>
              <w:rPr>
                <w:sz w:val="20"/>
                <w:szCs w:val="20"/>
                <w:color w:val="auto"/>
              </w:rPr>
            </w:pPr>
            <w:r>
              <w:rPr>
                <w:rFonts w:ascii="Arial" w:cs="Arial" w:eastAsia="Arial" w:hAnsi="Arial"/>
                <w:sz w:val="14"/>
                <w:szCs w:val="14"/>
                <w:b w:val="1"/>
                <w:bCs w:val="1"/>
                <w:color w:val="auto"/>
                <w:w w:val="89"/>
              </w:rPr>
              <w:t>As Adjusted</w:t>
            </w:r>
            <w:r>
              <w:rPr>
                <w:rFonts w:ascii="Arial" w:cs="Arial" w:eastAsia="Arial" w:hAnsi="Arial"/>
                <w:sz w:val="21"/>
                <w:szCs w:val="21"/>
                <w:b w:val="1"/>
                <w:bCs w:val="1"/>
                <w:color w:val="auto"/>
                <w:w w:val="89"/>
                <w:vertAlign w:val="superscript"/>
              </w:rPr>
              <w:t>(1)</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380" w:type="dxa"/>
            <w:vAlign w:val="bottom"/>
            <w:tcBorders>
              <w:top w:val="single" w:sz="8" w:color="CCEEFF"/>
            </w:tcBorders>
            <w:gridSpan w:val="2"/>
            <w:shd w:val="clear" w:color="auto" w:fill="CCEEFF"/>
          </w:tcPr>
          <w:p>
            <w:pPr>
              <w:spacing w:after="0" w:line="263" w:lineRule="exact"/>
              <w:rPr>
                <w:sz w:val="20"/>
                <w:szCs w:val="20"/>
                <w:color w:val="auto"/>
              </w:rPr>
            </w:pPr>
            <w:r>
              <w:rPr>
                <w:rFonts w:ascii="Arial" w:cs="Arial" w:eastAsia="Arial" w:hAnsi="Arial"/>
                <w:sz w:val="18"/>
                <w:szCs w:val="18"/>
                <w:color w:val="auto"/>
              </w:rPr>
              <w:t>Note payable – related party</w:t>
            </w:r>
            <w:r>
              <w:rPr>
                <w:rFonts w:ascii="Arial" w:cs="Arial" w:eastAsia="Arial" w:hAnsi="Arial"/>
                <w:sz w:val="26"/>
                <w:szCs w:val="26"/>
                <w:color w:val="auto"/>
                <w:vertAlign w:val="superscript"/>
              </w:rPr>
              <w:t>(1)</w:t>
            </w:r>
          </w:p>
        </w:tc>
        <w:tc>
          <w:tcPr>
            <w:tcW w:w="2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$25,000</w:t>
            </w: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Arial" w:cs="Arial" w:eastAsia="Arial" w:hAnsi="Arial"/>
                <w:sz w:val="18"/>
                <w:szCs w:val="18"/>
                <w:color w:val="auto"/>
              </w:rPr>
              <w:t>Deferred underwriting commissions</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6400" w:type="dxa"/>
            <w:vAlign w:val="bottom"/>
            <w:gridSpan w:val="3"/>
            <w:shd w:val="clear" w:color="auto" w:fill="CCEEFF"/>
          </w:tcPr>
          <w:p>
            <w:pPr>
              <w:spacing w:after="0" w:line="192" w:lineRule="exact"/>
              <w:rPr>
                <w:sz w:val="20"/>
                <w:szCs w:val="20"/>
                <w:color w:val="auto"/>
              </w:rPr>
            </w:pPr>
            <w:r>
              <w:rPr>
                <w:rFonts w:ascii="Arial" w:cs="Arial" w:eastAsia="Arial" w:hAnsi="Arial"/>
                <w:sz w:val="18"/>
                <w:szCs w:val="18"/>
                <w:color w:val="auto"/>
                <w:w w:val="96"/>
              </w:rPr>
              <w:t>Class A common stock, subject to possible redemption; 0 shares actual; 9,227,399</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6400" w:type="dxa"/>
            <w:vAlign w:val="bottom"/>
            <w:gridSpan w:val="3"/>
            <w:shd w:val="clear" w:color="auto" w:fill="CCEEFF"/>
          </w:tcPr>
          <w:p>
            <w:pPr>
              <w:ind w:left="180"/>
              <w:spacing w:after="0" w:line="295" w:lineRule="exact"/>
              <w:rPr>
                <w:sz w:val="20"/>
                <w:szCs w:val="20"/>
                <w:color w:val="auto"/>
              </w:rPr>
            </w:pPr>
            <w:r>
              <w:rPr>
                <w:rFonts w:ascii="Arial" w:cs="Arial" w:eastAsia="Arial" w:hAnsi="Arial"/>
                <w:sz w:val="18"/>
                <w:szCs w:val="18"/>
                <w:color w:val="auto"/>
              </w:rPr>
              <w:t>shares as adjusted</w:t>
            </w:r>
            <w:r>
              <w:rPr>
                <w:rFonts w:ascii="Arial" w:cs="Arial" w:eastAsia="Arial" w:hAnsi="Arial"/>
                <w:sz w:val="26"/>
                <w:szCs w:val="26"/>
                <w:color w:val="auto"/>
                <w:vertAlign w:val="superscript"/>
              </w:rPr>
              <w:t>(2)</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92,273,990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Arial" w:cs="Arial" w:eastAsia="Arial" w:hAnsi="Arial"/>
                <w:sz w:val="18"/>
                <w:szCs w:val="18"/>
                <w:color w:val="auto"/>
              </w:rPr>
              <w:t>Stockholders’ equity (deficit):</w:t>
            </w: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Preferred stock, $0.0001 par value, 1,000,000 shares authorized; no shares issued</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or outstanding (actual and as adjusted);</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400" w:type="dxa"/>
            <w:vAlign w:val="bottom"/>
            <w:gridSpan w:val="3"/>
          </w:tcPr>
          <w:p>
            <w:pPr>
              <w:spacing w:after="0"/>
              <w:rPr>
                <w:sz w:val="20"/>
                <w:szCs w:val="20"/>
                <w:color w:val="auto"/>
              </w:rPr>
            </w:pPr>
            <w:r>
              <w:rPr>
                <w:rFonts w:ascii="Arial" w:cs="Arial" w:eastAsia="Arial" w:hAnsi="Arial"/>
                <w:sz w:val="18"/>
                <w:szCs w:val="18"/>
                <w:color w:val="auto"/>
              </w:rPr>
              <w:t>Class A common stock, $0.0001 par value, 380,000,000 shares authorized; no</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ind w:left="180"/>
              <w:spacing w:after="0"/>
              <w:rPr>
                <w:sz w:val="20"/>
                <w:szCs w:val="20"/>
                <w:color w:val="auto"/>
              </w:rPr>
            </w:pPr>
            <w:r>
              <w:rPr>
                <w:rFonts w:ascii="Arial" w:cs="Arial" w:eastAsia="Arial" w:hAnsi="Arial"/>
                <w:sz w:val="18"/>
                <w:szCs w:val="18"/>
                <w:color w:val="auto"/>
                <w:w w:val="97"/>
              </w:rPr>
              <w:t>shares issued or outstanding (actual); 1,147,601 shares issued and outstanding</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00" w:type="dxa"/>
            <w:vAlign w:val="bottom"/>
            <w:gridSpan w:val="3"/>
          </w:tcPr>
          <w:p>
            <w:pPr>
              <w:ind w:left="180"/>
              <w:spacing w:after="0"/>
              <w:rPr>
                <w:sz w:val="20"/>
                <w:szCs w:val="20"/>
                <w:color w:val="auto"/>
              </w:rPr>
            </w:pPr>
            <w:r>
              <w:rPr>
                <w:rFonts w:ascii="Arial" w:cs="Arial" w:eastAsia="Arial" w:hAnsi="Arial"/>
                <w:sz w:val="18"/>
                <w:szCs w:val="18"/>
                <w:color w:val="auto"/>
              </w:rPr>
              <w:t>(excluding 9,227,399 shares subject to redemption) (as adjusted)</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Class B common stock, $0.0001 par value, 20,000,000 shares authorized (actual</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8"/>
              </w:rPr>
              <w:t>and as adjusted); 2,875,000 shares issued and outstanding (actual); 2,500,000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(as adjusted)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600" w:type="dxa"/>
            <w:vAlign w:val="bottom"/>
          </w:tcPr>
          <w:p>
            <w:pPr>
              <w:jc w:val="right"/>
              <w:spacing w:after="0"/>
              <w:rPr>
                <w:sz w:val="20"/>
                <w:szCs w:val="20"/>
                <w:color w:val="auto"/>
              </w:rPr>
            </w:pPr>
            <w:r>
              <w:rPr>
                <w:rFonts w:ascii="Arial" w:cs="Arial" w:eastAsia="Arial" w:hAnsi="Arial"/>
                <w:sz w:val="18"/>
                <w:szCs w:val="18"/>
                <w:color w:val="auto"/>
              </w:rPr>
              <w:t>24,712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5,000,645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00" w:type="dxa"/>
            <w:vAlign w:val="bottom"/>
            <w:tcBorders>
              <w:top w:val="single" w:sz="8" w:color="CCEEFF"/>
              <w:bottom w:val="single" w:sz="8" w:color="CCEEFF"/>
            </w:tcBorders>
            <w:gridSpan w:val="3"/>
          </w:tcPr>
          <w:p>
            <w:pPr>
              <w:spacing w:after="0"/>
              <w:rPr>
                <w:sz w:val="20"/>
                <w:szCs w:val="20"/>
                <w:color w:val="auto"/>
              </w:rPr>
            </w:pPr>
            <w:r>
              <w:rPr>
                <w:rFonts w:ascii="Arial" w:cs="Arial" w:eastAsia="Arial" w:hAnsi="Arial"/>
                <w:sz w:val="18"/>
                <w:szCs w:val="18"/>
                <w:color w:val="auto"/>
              </w:rPr>
              <w:t>Total stockholders’ equity</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24,000</w:t>
            </w:r>
          </w:p>
        </w:tc>
        <w:tc>
          <w:tcPr>
            <w:tcW w:w="20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$49,000</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100,774,000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-273685</wp:posOffset>
            </wp:positionV>
            <wp:extent cx="45777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-2776855</wp:posOffset>
            </wp:positionV>
            <wp:extent cx="45688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14" w:lineRule="exact"/>
        <w:rPr>
          <w:sz w:val="20"/>
          <w:szCs w:val="20"/>
          <w:color w:val="auto"/>
        </w:rPr>
      </w:pPr>
    </w:p>
    <w:p>
      <w:pPr>
        <w:ind w:left="1620" w:right="859" w:hanging="358"/>
        <w:spacing w:after="0" w:line="279" w:lineRule="auto"/>
        <w:tabs>
          <w:tab w:leader="none" w:pos="1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sponsor may loan us up to $300,000 under an unsecured promissory note to be used for a portion of the expenses of this offering. The “as adjusted” information gives effect to the repayment of any loans made under this note out of the proceeds from this offering and the sale of the private placement units. As of June 30, 2020, we had borrowed $25,000 under the promissory note.</w:t>
      </w:r>
    </w:p>
    <w:p>
      <w:pPr>
        <w:spacing w:after="0" w:line="22" w:lineRule="exact"/>
        <w:rPr>
          <w:rFonts w:ascii="Arial" w:cs="Arial" w:eastAsia="Arial" w:hAnsi="Arial"/>
          <w:sz w:val="17"/>
          <w:szCs w:val="17"/>
          <w:color w:val="auto"/>
        </w:rPr>
      </w:pPr>
    </w:p>
    <w:p>
      <w:pPr>
        <w:ind w:left="1620" w:right="679" w:hanging="358"/>
        <w:spacing w:after="0" w:line="254"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the completion of our initial business combination, we will provide our public stockholders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(net of permitted withdrawals), divided by the number of then outstanding public shares, subject to the limitations described herein whereby redemptions cannot cause our net tangible assets to be less than $5,000,001.</w:t>
      </w:r>
    </w:p>
    <w:p>
      <w:pPr>
        <w:spacing w:after="0" w:line="59" w:lineRule="exact"/>
        <w:rPr>
          <w:rFonts w:ascii="Arial" w:cs="Arial" w:eastAsia="Arial" w:hAnsi="Arial"/>
          <w:sz w:val="18"/>
          <w:szCs w:val="18"/>
          <w:color w:val="auto"/>
        </w:rPr>
      </w:pPr>
    </w:p>
    <w:p>
      <w:pPr>
        <w:ind w:left="1620" w:right="879" w:hanging="358"/>
        <w:spacing w:after="0" w:line="263"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share amount is prior to any forfeiture of founder shares and as adjusted amount assumes no exercise of the underwriters’ over-allotment option and forfeiture of an aggregate of 375,000 founder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6"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AND RESULTS OF OPERATIONS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We are a blank check company incorporated on June 10, 2020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We intend to effectuate our initial business combination using cash from the proceeds of this offering and the private placement of the private placement units, the proceeds of the sale of our shares in connection with our initial business combination (including pursuant to forward purchase agreements or backstop agreements we may enter into following the consummation of this offering or otherwise), shares issued to the owners of the target, debt issued to bank or other lenders or the owners of the target, or a combination of the foregoing.</w:t>
      </w:r>
    </w:p>
    <w:p>
      <w:pPr>
        <w:spacing w:after="0" w:line="114"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issuance of additional shares in connection with a business combination to the owners of the target or other investors:</w:t>
      </w:r>
    </w:p>
    <w:p>
      <w:pPr>
        <w:spacing w:after="0" w:line="62" w:lineRule="exact"/>
        <w:rPr>
          <w:sz w:val="20"/>
          <w:szCs w:val="20"/>
          <w:color w:val="auto"/>
        </w:rPr>
      </w:pPr>
    </w:p>
    <w:p>
      <w:pPr>
        <w:ind w:left="1800" w:right="899" w:hanging="178"/>
        <w:spacing w:after="0" w:line="259"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common stock resulted in the issuance of Class A common stock on a greater than one-to-one basis upon conversion of the Class B common stock;</w:t>
      </w:r>
    </w:p>
    <w:p>
      <w:pPr>
        <w:spacing w:after="0" w:line="78" w:lineRule="exact"/>
        <w:rPr>
          <w:rFonts w:ascii="Arial" w:cs="Arial" w:eastAsia="Arial" w:hAnsi="Arial"/>
          <w:sz w:val="18"/>
          <w:szCs w:val="18"/>
          <w:color w:val="auto"/>
        </w:rPr>
      </w:pPr>
    </w:p>
    <w:p>
      <w:pPr>
        <w:ind w:left="1800" w:right="1179" w:hanging="178"/>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62" w:lineRule="exact"/>
        <w:rPr>
          <w:rFonts w:ascii="Arial" w:cs="Arial" w:eastAsia="Arial" w:hAnsi="Arial"/>
          <w:sz w:val="18"/>
          <w:szCs w:val="18"/>
          <w:color w:val="auto"/>
        </w:rPr>
      </w:pPr>
    </w:p>
    <w:p>
      <w:pPr>
        <w:ind w:left="1800" w:right="819" w:hanging="178"/>
        <w:spacing w:after="0" w:line="286"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w:t>
      </w:r>
    </w:p>
    <w:p>
      <w:pPr>
        <w:spacing w:after="0" w:line="57" w:lineRule="exact"/>
        <w:rPr>
          <w:rFonts w:ascii="Arial" w:cs="Arial" w:eastAsia="Arial" w:hAnsi="Arial"/>
          <w:sz w:val="17"/>
          <w:szCs w:val="17"/>
          <w:color w:val="auto"/>
        </w:rPr>
      </w:pPr>
    </w:p>
    <w:p>
      <w:pPr>
        <w:ind w:left="1800" w:right="1379" w:hanging="178"/>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158"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62" w:lineRule="exact"/>
        <w:rPr>
          <w:sz w:val="20"/>
          <w:szCs w:val="20"/>
          <w:color w:val="auto"/>
        </w:rPr>
      </w:pPr>
    </w:p>
    <w:p>
      <w:pPr>
        <w:ind w:left="1800" w:right="839" w:hanging="178"/>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62" w:lineRule="exact"/>
        <w:rPr>
          <w:rFonts w:ascii="Arial" w:cs="Arial" w:eastAsia="Arial" w:hAnsi="Arial"/>
          <w:sz w:val="18"/>
          <w:szCs w:val="18"/>
          <w:color w:val="auto"/>
        </w:rPr>
      </w:pPr>
    </w:p>
    <w:p>
      <w:pPr>
        <w:ind w:left="1800" w:right="839" w:hanging="178"/>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immediate payment of all principal and accrued interest, if any, if the debt is payable on demand;</w:t>
      </w:r>
    </w:p>
    <w:p>
      <w:pPr>
        <w:spacing w:after="0" w:line="128" w:lineRule="exact"/>
        <w:rPr>
          <w:rFonts w:ascii="Arial" w:cs="Arial" w:eastAsia="Arial" w:hAnsi="Arial"/>
          <w:sz w:val="17"/>
          <w:szCs w:val="17"/>
          <w:color w:val="auto"/>
        </w:rPr>
      </w:pPr>
    </w:p>
    <w:p>
      <w:pPr>
        <w:ind w:left="1800" w:right="939" w:hanging="178"/>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117" w:lineRule="exact"/>
        <w:rPr>
          <w:rFonts w:ascii="Arial" w:cs="Arial" w:eastAsia="Arial" w:hAnsi="Arial"/>
          <w:sz w:val="18"/>
          <w:szCs w:val="18"/>
          <w:color w:val="auto"/>
        </w:rPr>
      </w:pPr>
    </w:p>
    <w:p>
      <w:pPr>
        <w:ind w:left="1800" w:right="779" w:hanging="178"/>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75" w:lineRule="exact"/>
        <w:rPr>
          <w:rFonts w:ascii="Arial" w:cs="Arial" w:eastAsia="Arial" w:hAnsi="Arial"/>
          <w:sz w:val="18"/>
          <w:szCs w:val="18"/>
          <w:color w:val="auto"/>
        </w:rPr>
      </w:pPr>
    </w:p>
    <w:p>
      <w:pPr>
        <w:ind w:left="1800" w:right="1219" w:hanging="178"/>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62"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ectPr>
          <w:pgSz w:w="11900" w:h="16838" w:orient="portrait"/>
          <w:cols w:equalWidth="0" w:num="1">
            <w:col w:w="10139"/>
          </w:cols>
          <w:pgMar w:left="32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199" w:hanging="178"/>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03"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As indicated in the accompanying financial statements, at June 30, 2020, we had deferred offering costs of $90,000. Further, we expect to incur significant costs in the pursuit of our initial business combination. We cannot assure you that our plans to raise capital or to complete our initial business combination will be successful.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62"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left="1260" w:right="1079" w:firstLine="360"/>
        <w:spacing w:after="0" w:line="248" w:lineRule="auto"/>
        <w:rPr>
          <w:sz w:val="20"/>
          <w:szCs w:val="20"/>
          <w:color w:val="auto"/>
        </w:rPr>
      </w:pPr>
      <w:r>
        <w:rPr>
          <w:rFonts w:ascii="Arial" w:cs="Arial" w:eastAsia="Arial" w:hAnsi="Arial"/>
          <w:sz w:val="18"/>
          <w:szCs w:val="18"/>
          <w:color w:val="auto"/>
        </w:rPr>
        <w:t>Our liquidity needs have been satisfied prior to the completion of this offering through receipt of a $25,000 capital contribution from our sponsor in exchange for the issuance of the founder shares to our sponsor and up to $300,000 in loans available from our sponsor.</w:t>
      </w:r>
    </w:p>
    <w:p>
      <w:pPr>
        <w:spacing w:after="0" w:line="101"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We estimate that the net proceeds from the sale of the units in this offering and the sale of the private placement units for an aggregate purchase price of $103,750,000 (or $119,050,000 if the underwriters’ over-allotment option is exercised in full), after deducting offering expenses of approximately $1,000,000 and underwriting commissions of $2,000,000 (or $2,300,000 if the underwriters’ over-allotment option is exercised in full) (excluding deferred underwriting commissions of $3,500,000, or $4,025,000 if the underwriters’ over-allotment option is exercised in full), will be $100,750,000 (or $115,750,000 if the underwriters’ over-allotment option is exercised in full). $100,000,000 (or $115,000,000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2a- 7 under the Investment Company Act which invest only in direct U.S. government treasury obligations. The remaining approximately $750,000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16"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(excluding deferred underwriting commissions), to complete our initial business combination. We may make permitted withdrawals. We estimate our annual franchise tax obligations, based on the number of shares of our common stock authorized and outstanding after the completion of this offering, to be $200,000, which is the maximum amount of annual franchise taxes payable by us as a Delaware corporation per annum, which we may pay from funds from this offering held outside of the trust account or from interest earned on the funds held in the trust account and released to us for this purpose. Our annual income tax obligations will depend on the amount of interest and other income earned on the amounts held in the trust account.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99" w:firstLine="360"/>
        <w:spacing w:after="0" w:line="257" w:lineRule="auto"/>
        <w:rPr>
          <w:sz w:val="20"/>
          <w:szCs w:val="20"/>
          <w:color w:val="auto"/>
        </w:rPr>
      </w:pPr>
      <w:r>
        <w:rPr>
          <w:rFonts w:ascii="Arial" w:cs="Arial" w:eastAsia="Arial" w:hAnsi="Arial"/>
          <w:sz w:val="17"/>
          <w:szCs w:val="17"/>
          <w:color w:val="auto"/>
        </w:rPr>
        <w:t>Prior to the completion of our initial business combination, we will have available to us the approximately $750,000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94" w:lineRule="exact"/>
        <w:rPr>
          <w:sz w:val="20"/>
          <w:szCs w:val="20"/>
          <w:color w:val="auto"/>
        </w:rPr>
      </w:pPr>
    </w:p>
    <w:p>
      <w:pPr>
        <w:ind w:left="1260" w:right="719" w:firstLine="360"/>
        <w:spacing w:after="0" w:line="251"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placement-equivalent units of the post business combination entity at a price of $ 10.00 per unit at the option of the lender. The units would be identical to the private placement units.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16"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We expect our primary liquidity requirements during that period to include approximately $240,000 for legal, accounting, due diligence, travel and other expenses associated with structuring, negotiating and documenting successful business combinations; $75,000 for legal and accounting fees related to regulatory reporting requirements; $85,000 for Nasdaq and other regulatory fees; $75,000 for consulting, travel and miscellaneous expenses incurred during the search for a business combination target; and approximately $35,000 for general working capital that will be used for miscellaneous expenses and reserves. We will also reimburse an affiliate of our sponsor for office space, secretarial and administrative services provided to members of our management team in an amount not to exceed $10,000 per month in the event such space and/or services are utilized and we do not pay a third party directly for such services.</w:t>
      </w:r>
    </w:p>
    <w:p>
      <w:pPr>
        <w:spacing w:after="0" w:line="116"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 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w:t>
      </w:r>
    </w:p>
    <w:p>
      <w:pPr>
        <w:spacing w:after="0" w:line="99"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do not complete our initial business combination because we do not have</w:t>
      </w:r>
    </w:p>
    <w:p>
      <w:pPr>
        <w:sectPr>
          <w:pgSz w:w="11900" w:h="16838" w:orient="portrait"/>
          <w:cols w:equalWidth="0" w:num="1">
            <w:col w:w="10139"/>
          </w:cols>
          <w:pgMar w:left="32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6" w:name="page77"/>
    <w:bookmarkEnd w:id="7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48" w:lineRule="auto"/>
        <w:rPr>
          <w:sz w:val="20"/>
          <w:szCs w:val="20"/>
          <w:color w:val="auto"/>
        </w:rPr>
      </w:pPr>
      <w:r>
        <w:rPr>
          <w:rFonts w:ascii="Arial" w:cs="Arial" w:eastAsia="Arial" w:hAnsi="Arial"/>
          <w:sz w:val="18"/>
          <w:szCs w:val="18"/>
          <w:color w:val="auto"/>
        </w:rPr>
        <w:t>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Controls and Procedures</w:t>
      </w:r>
    </w:p>
    <w:p>
      <w:pPr>
        <w:spacing w:after="0" w:line="14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16"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72" w:lineRule="exact"/>
        <w:rPr>
          <w:sz w:val="20"/>
          <w:szCs w:val="20"/>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58"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2" w:lineRule="exact"/>
        <w:rPr>
          <w:sz w:val="20"/>
          <w:szCs w:val="20"/>
          <w:color w:val="auto"/>
        </w:rPr>
      </w:pPr>
    </w:p>
    <w:p>
      <w:pPr>
        <w:ind w:left="1260" w:right="1019" w:firstLine="360"/>
        <w:spacing w:after="0" w:line="241" w:lineRule="auto"/>
        <w:rPr>
          <w:sz w:val="20"/>
          <w:szCs w:val="20"/>
          <w:color w:val="auto"/>
        </w:rPr>
      </w:pPr>
      <w:r>
        <w:rPr>
          <w:rFonts w:ascii="Arial" w:cs="Arial" w:eastAsia="Arial" w:hAnsi="Arial"/>
          <w:sz w:val="18"/>
          <w:szCs w:val="18"/>
          <w:color w:val="auto"/>
        </w:rPr>
        <w:t>Once our management’s report on internal controls is complete, we will retain our independent registered public accounting firm to audit and render an opinion on such report when required by Section 404 of the Sarbanes- Oxley Act. The independent registered public accounting firm may identify additional issues concerning a target business’s internal controls while performing their audit of internal control over financial reporting.</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7"/>
          <w:szCs w:val="17"/>
          <w:color w:val="auto"/>
        </w:rPr>
        <w:t>The net proceeds of this offering and the sale of the private placement units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of June 30, 2020, we did not have any off-balance sheet arrangements as defined in Item 303(a)(4)</w:t>
      </w:r>
    </w:p>
    <w:p>
      <w:pPr>
        <w:spacing w:after="0" w:line="23" w:lineRule="exact"/>
        <w:rPr>
          <w:sz w:val="20"/>
          <w:szCs w:val="20"/>
          <w:color w:val="auto"/>
        </w:rPr>
      </w:pPr>
    </w:p>
    <w:p>
      <w:pPr>
        <w:ind w:left="1260" w:right="699" w:firstLine="2"/>
        <w:spacing w:after="0" w:line="271" w:lineRule="auto"/>
        <w:tabs>
          <w:tab w:leader="none" w:pos="1543" w:val="left"/>
        </w:tabs>
        <w:numPr>
          <w:ilvl w:val="0"/>
          <w:numId w:val="38"/>
        </w:numPr>
        <w:rPr>
          <w:rFonts w:ascii="Arial" w:cs="Arial" w:eastAsia="Arial" w:hAnsi="Arial"/>
          <w:sz w:val="17"/>
          <w:szCs w:val="17"/>
          <w:color w:val="auto"/>
        </w:rPr>
      </w:pPr>
      <w:r>
        <w:rPr>
          <w:rFonts w:ascii="Arial" w:cs="Arial" w:eastAsia="Arial" w:hAnsi="Arial"/>
          <w:sz w:val="17"/>
          <w:szCs w:val="17"/>
          <w:color w:val="auto"/>
        </w:rPr>
        <w:t>of Regulation S-K and did not have any commitments or contractual obligations. No unaudited quarterly operating data is included in this prospectus as we have not conducted any operations to date.</w:t>
      </w:r>
    </w:p>
    <w:p>
      <w:pPr>
        <w:sectPr>
          <w:pgSz w:w="11900" w:h="16838" w:orient="portrait"/>
          <w:cols w:equalWidth="0" w:num="1">
            <w:col w:w="10139"/>
          </w:cols>
          <w:pgMar w:left="320" w:top="131" w:right="1440" w:bottom="1440" w:gutter="0" w:footer="0" w:header="0"/>
        </w:sectPr>
      </w:pP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JOBS Act</w:t>
      </w:r>
    </w:p>
    <w:p>
      <w:pPr>
        <w:spacing w:after="0" w:line="148"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1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are a newly organized blank check company incorporated in June 2020 as a Delaware corporation formed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initiated any substantive discussions, directly or indirectly, with any business combination target. We have generated no operating revenues to date and we do not expect that we will generate operating revenues until we consummate our initial business combination.</w:t>
      </w:r>
    </w:p>
    <w:p>
      <w:pPr>
        <w:spacing w:after="0" w:line="129" w:lineRule="exact"/>
        <w:rPr>
          <w:sz w:val="20"/>
          <w:szCs w:val="20"/>
          <w:color w:val="auto"/>
        </w:rPr>
      </w:pPr>
    </w:p>
    <w:p>
      <w:pPr>
        <w:jc w:val="both"/>
        <w:ind w:left="1260" w:right="1099" w:firstLine="360"/>
        <w:spacing w:after="0" w:line="259" w:lineRule="auto"/>
        <w:rPr>
          <w:sz w:val="20"/>
          <w:szCs w:val="20"/>
          <w:color w:val="auto"/>
        </w:rPr>
      </w:pPr>
      <w:r>
        <w:rPr>
          <w:rFonts w:ascii="Arial" w:cs="Arial" w:eastAsia="Arial" w:hAnsi="Arial"/>
          <w:sz w:val="18"/>
          <w:szCs w:val="18"/>
          <w:color w:val="auto"/>
        </w:rPr>
        <w:t>While we may pursue an acquisition opportunity in any business, industry, sector or geographical location, we intend to focus on industries that complement our management team’s background in life sciences and life sciences related industries, and to capitalize on the ability of our management team to identify and acquire a business within those industries.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Our strategy will be to identify, acquire and, after our initial business combination, build, a life sciences or life sciences related business. We intend to focus our investment effort broadly across the entire life sciences industry, which encompasses therapeutics, devices, diagnostics, medical information technology, agrisciences and animal health.</w:t>
      </w:r>
    </w:p>
    <w:p>
      <w:pPr>
        <w:spacing w:after="0" w:line="106"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We were formed by HighCape, a life sciences investment firm with a focus on active investing in commercial stage companies. HighCape typically invests in companies that have FDA cleared products and are at the point of product launch or have already generated revenue for multiple years. HighCape’s expertise in working with companies at this stage of development is what makes it unique. We believe that the experience of HighCape’s partners and advisors and our management team and board of directors will allow us to source, identify and execute an attractive transaction for our stockholders. Collectively, this group has been actively involved in initial public offerings and exits totaling in excess of $5 billion.</w:t>
      </w:r>
    </w:p>
    <w:p>
      <w:pPr>
        <w:spacing w:after="0" w:line="110"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Our management team is led by Kevin Rakin, our chief executive officer, who has more than 30 years of experience in leading, investing and exiting life sciences companies across a wide array of products and services. Mr. Rakin has been a chief executive officer, chairman and a board member for a number of public and private life sciences companies, including Genaissance (merged with Clinical Data and subsequently sold to Forest Laboratories, Inc.), Cyvek, Inc. (sold to Bio-Techne Corporation), Ipsogen SA (sold to Qiagen) and Collagen Matrix, Inc. (sold to Linden Capital Partners). Prior to co-founding HighCape in 2013, Mr. Rakin was the chairman and chief executive officer of ABH. From 2006 – 2011, together with most of the members of the HighCape team, ABH grew from a company with eight employees and no revenue to one with a revenue run rate approaching $176 million per year and over 500 employees. In 2011, ABH was acquired by Shire Plc for $750 million.</w:t>
      </w:r>
    </w:p>
    <w:p>
      <w:pPr>
        <w:spacing w:after="0" w:line="127"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The other member of our management team is Matt Zuga, who will be our chief financial officer. Messrs. Rakin and Zuga co-founded HighCape and have worked on transactions together for more than 20 years. Prior to HighCape, Mr. Zuga was a managing director with Syngenta Ventures Pte Ltd, an investment vehicle of Syngenta Corp. He was also the founder and managing member of Red Abbey, an investment company focused on biotechnology companies. Prior to Red Abbey, Mr. Zuga was a Managing Director and head of life sciences investment banking at Legg Mason.</w:t>
      </w:r>
    </w:p>
    <w:p>
      <w:pPr>
        <w:spacing w:after="0" w:line="111"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We have assembled a group of independent directors who we believe will provide us oversight, governance and extensive experience in sourcing, evaluating and transacting significant life sciences opportunities. Our directors have extensive experience, having served as directors or officers for numerous publicly-listed and privately-owned companies, with acquisitions, divestitures and corporate strategy and implementation, which we believe will significantly benefit us as we evaluate potential acquisition or merger candidates. These directors include:</w:t>
      </w:r>
    </w:p>
    <w:p>
      <w:pPr>
        <w:sectPr>
          <w:pgSz w:w="11900" w:h="16838" w:orient="portrait"/>
          <w:cols w:equalWidth="0" w:num="1">
            <w:col w:w="10139"/>
          </w:cols>
          <w:pgMar w:left="32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79" w:hanging="178"/>
        <w:spacing w:after="0" w:line="266"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David Colpman </w:t>
      </w:r>
      <w:r>
        <w:rPr>
          <w:rFonts w:ascii="Arial" w:cs="Arial" w:eastAsia="Arial" w:hAnsi="Arial"/>
          <w:sz w:val="17"/>
          <w:szCs w:val="17"/>
          <w:color w:val="auto"/>
        </w:rPr>
        <w:t>was the Managing Partner of Colpman Consulting Ltd, a business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consultancy, until March 2020. Since 2014, Colpman Consulting secured transformational deals for Alligator Bioscience AB, Cormorant Pharmaceuticals AB, Agalimmune Ltd., Diaprost AB and Ziylo Ltd. Prior to this, Mr. Colpman was the head of business development for Shire Plc, where he executed on the M&amp;A and licensing strategy which successfully built the company to become a global leader in rare diseases and specialty medicines. Reporting directly to the CEO he led a team of over 20 business development professionals. Notable transactions included the $4.2 billion acquisition of ViroPharma Incorporated and the acquisition of SARcode Bioscience, Inc., which delivered the blockbuster drug Xiidra for Dry Eye. Earlier in his career at Shire Plc he identified and led the acquisition of Transkaryotic Therapies Inc. which went on to become the cornerstone of Shire Plc’s successful rare disease business. He also in-licensed Lialda, which achieved sales of</w:t>
      </w:r>
    </w:p>
    <w:p>
      <w:pPr>
        <w:spacing w:after="0" w:line="7"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8"/>
          <w:szCs w:val="18"/>
          <w:color w:val="auto"/>
        </w:rPr>
        <w:t>$700 million to become sector leader in ulcerative colitis.</w:t>
      </w:r>
    </w:p>
    <w:p>
      <w:pPr>
        <w:spacing w:after="0" w:line="89" w:lineRule="exact"/>
        <w:rPr>
          <w:rFonts w:ascii="Arial" w:cs="Arial" w:eastAsia="Arial" w:hAnsi="Arial"/>
          <w:sz w:val="17"/>
          <w:szCs w:val="17"/>
          <w:color w:val="auto"/>
        </w:rPr>
      </w:pPr>
    </w:p>
    <w:p>
      <w:pPr>
        <w:ind w:left="1800" w:right="679" w:hanging="178"/>
        <w:spacing w:after="0" w:line="260"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Antony Loebel, M.D. </w:t>
      </w:r>
      <w:r>
        <w:rPr>
          <w:rFonts w:ascii="Arial" w:cs="Arial" w:eastAsia="Arial" w:hAnsi="Arial"/>
          <w:sz w:val="17"/>
          <w:szCs w:val="17"/>
          <w:color w:val="auto"/>
        </w:rPr>
        <w:t>is the Chief Executive Officer of Sunovion, the U.S. subsidiary of Sumitomo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Dainippon Pharma Co. Ltd, a company he joined in 2007. Sunovion’s track record of discovery, development and commercialization of important psychiatric, neurological and respiratory therapies has included Latuda</w:t>
      </w:r>
      <w:r>
        <w:rPr>
          <w:rFonts w:ascii="Arial" w:cs="Arial" w:eastAsia="Arial" w:hAnsi="Arial"/>
          <w:sz w:val="25"/>
          <w:szCs w:val="25"/>
          <w:color w:val="auto"/>
          <w:vertAlign w:val="superscript"/>
        </w:rPr>
        <w:t>®</w:t>
      </w:r>
      <w:r>
        <w:rPr>
          <w:rFonts w:ascii="Arial" w:cs="Arial" w:eastAsia="Arial" w:hAnsi="Arial"/>
          <w:sz w:val="17"/>
          <w:szCs w:val="17"/>
          <w:color w:val="auto"/>
        </w:rPr>
        <w:t>, Brovana</w:t>
      </w:r>
      <w:r>
        <w:rPr>
          <w:rFonts w:ascii="Arial" w:cs="Arial" w:eastAsia="Arial" w:hAnsi="Arial"/>
          <w:sz w:val="25"/>
          <w:szCs w:val="25"/>
          <w:color w:val="auto"/>
          <w:vertAlign w:val="superscript"/>
        </w:rPr>
        <w:t>®</w:t>
      </w:r>
      <w:r>
        <w:rPr>
          <w:rFonts w:ascii="Arial" w:cs="Arial" w:eastAsia="Arial" w:hAnsi="Arial"/>
          <w:sz w:val="17"/>
          <w:szCs w:val="17"/>
          <w:color w:val="auto"/>
        </w:rPr>
        <w:t>, Aptiom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Lonhala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Magnair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Inhalation Solution and, most recently, KYNMOBI™ sublingual film. His prior industry experience includes seven years in drug development and medical affairs roles at Pfizer. He serves as an Executive Leadership Team member of Sunovion and an Executive Officer of Sumitomo Dainippon Pharma Co., Ltd., the parent company of Sunovion. Dr. Loebel also serves on the Pharmaceutical Research and Manufacturers of America (PhRMA) Board of Directors and previously served on the Massachusetts Biotechnology Council (MassBio) Board of Directors. For his achievements in advancing new treatments for central nervous system (CNS) disorders, Dr. Loebel received the 2015 Award for Leadership from the International Society for CNS Drug Development and the 2019 CNS Summit Leadership Award. Selected by PharmaVOICE in 2019 and 2013 as one of the “100 Most Inspiring People” in the pharmaceutical industry.</w:t>
      </w:r>
    </w:p>
    <w:p>
      <w:pPr>
        <w:spacing w:after="0" w:line="81" w:lineRule="exact"/>
        <w:rPr>
          <w:rFonts w:ascii="Arial" w:cs="Arial" w:eastAsia="Arial" w:hAnsi="Arial"/>
          <w:sz w:val="17"/>
          <w:szCs w:val="17"/>
          <w:color w:val="auto"/>
        </w:rPr>
      </w:pPr>
    </w:p>
    <w:p>
      <w:pPr>
        <w:ind w:left="1800" w:right="679" w:hanging="178"/>
        <w:spacing w:after="0" w:line="253"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Robert Taub </w:t>
      </w:r>
      <w:r>
        <w:rPr>
          <w:rFonts w:ascii="Arial" w:cs="Arial" w:eastAsia="Arial" w:hAnsi="Arial"/>
          <w:sz w:val="18"/>
          <w:szCs w:val="18"/>
          <w:color w:val="auto"/>
        </w:rPr>
        <w:t>has more than four decades of business experience in the biopharmaceutical and medtech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Mr. Taub is the Co-Founder and Chairman of the Board of Nyxoah, a private company which is developing implants to treat Obstructive Sleep Apnea and recently received an approximately $25 million investment from investors including ResMed Inc. Prior to this, Mr. Taub was the Chairman of Neuroderm, a Nasdaq listed biotech company that was sold to Mitsubishi-Tanabe for $1.1 billion in 2017. Mr. Taub also founded and served as President, Chief Executive Officer and a member of the board of directors of Omrix, a biopharmaceutical company that marketed biological products for the biosurgical and immunotherapy markets and which was acquired by Johnson &amp; Johnson in 2008, following a listing on Nasdaq in 2006.</w:t>
      </w:r>
    </w:p>
    <w:p>
      <w:pPr>
        <w:spacing w:after="0" w:line="129" w:lineRule="exact"/>
        <w:rPr>
          <w:sz w:val="20"/>
          <w:szCs w:val="20"/>
          <w:color w:val="auto"/>
        </w:rPr>
      </w:pPr>
    </w:p>
    <w:p>
      <w:pPr>
        <w:ind w:left="1260" w:right="719" w:firstLine="360"/>
        <w:spacing w:after="0" w:line="262" w:lineRule="auto"/>
        <w:rPr>
          <w:sz w:val="20"/>
          <w:szCs w:val="20"/>
          <w:color w:val="auto"/>
        </w:rPr>
      </w:pPr>
      <w:r>
        <w:rPr>
          <w:rFonts w:ascii="Arial" w:cs="Arial" w:eastAsia="Arial" w:hAnsi="Arial"/>
          <w:sz w:val="17"/>
          <w:szCs w:val="17"/>
          <w:color w:val="auto"/>
        </w:rPr>
        <w:t>We believe our management team is well positioned to take advantage of the growing set of acquisition opportunities in the life sciences industry and that our contacts and relationships, ranging from owners of private and public companies, private equity funds, venture capital firms, investment bankers, attorneys, accountants and business brokers will allow us to generate an attractive transaction for our stockholders.</w:t>
      </w:r>
    </w:p>
    <w:p>
      <w:pPr>
        <w:spacing w:after="0" w:line="105" w:lineRule="exact"/>
        <w:rPr>
          <w:sz w:val="20"/>
          <w:szCs w:val="20"/>
          <w:color w:val="auto"/>
        </w:rPr>
      </w:pPr>
    </w:p>
    <w:p>
      <w:pPr>
        <w:ind w:left="1260" w:right="799" w:firstLine="360"/>
        <w:spacing w:after="0" w:line="237" w:lineRule="auto"/>
        <w:rPr>
          <w:sz w:val="20"/>
          <w:szCs w:val="20"/>
          <w:color w:val="auto"/>
        </w:rPr>
      </w:pPr>
      <w:r>
        <w:rPr>
          <w:rFonts w:ascii="Arial" w:cs="Arial" w:eastAsia="Arial" w:hAnsi="Arial"/>
          <w:sz w:val="18"/>
          <w:szCs w:val="18"/>
          <w:color w:val="auto"/>
        </w:rPr>
        <w:t>Our founder, HighCape, is a life sciences investment firm with approximately $145 million in assets under management as of June 30, 2020. Since its founding in 2013, HighCape has focused exclusively on commercial stage life sciences companies and has made five investments, each time as the lead investor. In total the companies in the HighCape portfolio have attracted in excess of $500 million of invested capital. Mr. Rakin served as the chairman of two of the portfolio companies. A fundamental element of the HighCape strategy is limiting investments to one to two per year, thus allowing for a rigorous selection process and the team to engage with each company to drive stockholder value creation. This approach has been successful, as demonstrated by the fact that two portfolio companies have already exited and a third has completed an Initial Public Offering. In October of 2019, Cheetah Medical, Inc. completed its acquisition by Baxter International Inc. for a total deal value of $230 million (including up to $ 30M in milestone payments), while in November of 2019, TELA Bio, Inc. (Nasdaq: TELA) completed an IPO. In December of 2019, ZipLine Medical, Inc. was acquired by a global medical device company for an undisclosed amount.</w:t>
      </w:r>
    </w:p>
    <w:p>
      <w:pPr>
        <w:spacing w:after="0" w:line="110"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The rapid progress of HighCape from a concept in 2013 to a proven investment firm today has been driven by four key fundamentals that form the foundation for the firm’s day to day operations:</w:t>
      </w:r>
    </w:p>
    <w:p>
      <w:pPr>
        <w:sectPr>
          <w:pgSz w:w="11900" w:h="16838" w:orient="portrait"/>
          <w:cols w:equalWidth="0" w:num="1">
            <w:col w:w="10139"/>
          </w:cols>
          <w:pgMar w:left="320" w:top="131"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0" w:name="page81"/>
    <w:bookmarkEnd w:id="8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The Team</w:t>
      </w:r>
    </w:p>
    <w:p>
      <w:pPr>
        <w:spacing w:after="0" w:line="144" w:lineRule="exact"/>
        <w:rPr>
          <w:sz w:val="20"/>
          <w:szCs w:val="20"/>
          <w:color w:val="auto"/>
        </w:rPr>
      </w:pPr>
    </w:p>
    <w:p>
      <w:pPr>
        <w:jc w:val="both"/>
        <w:ind w:left="1260" w:right="779" w:firstLine="360"/>
        <w:spacing w:after="0" w:line="248" w:lineRule="auto"/>
        <w:rPr>
          <w:sz w:val="20"/>
          <w:szCs w:val="20"/>
          <w:color w:val="auto"/>
        </w:rPr>
      </w:pPr>
      <w:r>
        <w:rPr>
          <w:rFonts w:ascii="Arial" w:cs="Arial" w:eastAsia="Arial" w:hAnsi="Arial"/>
          <w:sz w:val="18"/>
          <w:szCs w:val="18"/>
          <w:color w:val="auto"/>
        </w:rPr>
        <w:t>The HighCape partners have worked together for as long as 22 years in some instances and during that time have built a level of mutual trust and respect that facilitates a highly efficient level of interaction with each other and the portfolio companies.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Relationships</w:t>
      </w:r>
    </w:p>
    <w:p>
      <w:pPr>
        <w:spacing w:after="0" w:line="158" w:lineRule="exact"/>
        <w:rPr>
          <w:sz w:val="20"/>
          <w:szCs w:val="20"/>
          <w:color w:val="auto"/>
        </w:rPr>
      </w:pPr>
    </w:p>
    <w:p>
      <w:pPr>
        <w:ind w:left="1260" w:right="859" w:firstLine="360"/>
        <w:spacing w:after="0" w:line="243" w:lineRule="auto"/>
        <w:rPr>
          <w:sz w:val="20"/>
          <w:szCs w:val="20"/>
          <w:color w:val="auto"/>
        </w:rPr>
      </w:pPr>
      <w:r>
        <w:rPr>
          <w:rFonts w:ascii="Arial" w:cs="Arial" w:eastAsia="Arial" w:hAnsi="Arial"/>
          <w:sz w:val="18"/>
          <w:szCs w:val="18"/>
          <w:color w:val="auto"/>
        </w:rPr>
        <w:t>The firm has nurtured deep relationships across the industry based on years of creating, building and exiting multiple life sciences companies. The firm’s relationships extend to investment bankers, venture capital firms, industry consultants and numerous management teams. This myriad of connections provides numerous proprietary investment opportunities.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Partnership</w:t>
      </w:r>
    </w:p>
    <w:p>
      <w:pPr>
        <w:spacing w:after="0" w:line="158"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The distinctive background of each HighCape partner as well as an intentionally focused investment approach allows the firm to truly partner with portfolio companies. Aside from board-level involvement, the partners routinely assist portfolio companies with strategic planning across a wide range of functional areas, capital formation strategies and planning, assisting with identifying and recruiting key leadership positions and providing business development/transaction assistance.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Breadth of Experience and Execution Capabilities</w:t>
      </w:r>
    </w:p>
    <w:p>
      <w:pPr>
        <w:spacing w:after="0" w:line="144" w:lineRule="exact"/>
        <w:rPr>
          <w:sz w:val="20"/>
          <w:szCs w:val="20"/>
          <w:color w:val="auto"/>
        </w:rPr>
      </w:pPr>
    </w:p>
    <w:p>
      <w:pPr>
        <w:ind w:left="1260" w:right="759" w:firstLine="360"/>
        <w:spacing w:after="0" w:line="243" w:lineRule="auto"/>
        <w:rPr>
          <w:sz w:val="20"/>
          <w:szCs w:val="20"/>
          <w:color w:val="auto"/>
        </w:rPr>
      </w:pPr>
      <w:r>
        <w:rPr>
          <w:rFonts w:ascii="Arial" w:cs="Arial" w:eastAsia="Arial" w:hAnsi="Arial"/>
          <w:sz w:val="18"/>
          <w:szCs w:val="18"/>
          <w:color w:val="auto"/>
        </w:rPr>
        <w:t>The HighCape team has a unique breadth of industry experience and functional expertise. With a combined &gt;150 years of industry knowledge and backgrounds ranging from banking and finance to product development to building world-class commercial organizations, the HighCape team brings to each transaction an unusually deep level of industry and functional expertise.</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expect to receive significant input and support from the HighCape team and advisors as we identify,</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pursue, evaluate and complete our initial business combination. The HighCape team members include</w:t>
      </w:r>
    </w:p>
    <w:p>
      <w:pPr>
        <w:ind w:left="1260"/>
        <w:spacing w:after="0" w:line="234" w:lineRule="auto"/>
        <w:rPr>
          <w:sz w:val="20"/>
          <w:szCs w:val="20"/>
          <w:color w:val="auto"/>
        </w:rPr>
      </w:pPr>
      <w:r>
        <w:rPr>
          <w:rFonts w:ascii="Arial" w:cs="Arial" w:eastAsia="Arial" w:hAnsi="Arial"/>
          <w:sz w:val="18"/>
          <w:szCs w:val="18"/>
          <w:color w:val="auto"/>
        </w:rPr>
        <w:t>Jennifer Barretta, a former head of Human Resources, Charles Hart, Ph.D., a former Chief Scientific</w:t>
      </w:r>
    </w:p>
    <w:p>
      <w:pPr>
        <w:ind w:left="1260"/>
        <w:spacing w:after="0" w:line="235" w:lineRule="auto"/>
        <w:rPr>
          <w:sz w:val="20"/>
          <w:szCs w:val="20"/>
          <w:color w:val="auto"/>
        </w:rPr>
      </w:pPr>
      <w:r>
        <w:rPr>
          <w:rFonts w:ascii="Arial" w:cs="Arial" w:eastAsia="Arial" w:hAnsi="Arial"/>
          <w:sz w:val="18"/>
          <w:szCs w:val="18"/>
          <w:color w:val="auto"/>
        </w:rPr>
        <w:t>Officer, Carol Reed, M.D., a former Chief Medical Officer, and Dean Tozer, a former Chief Marketing</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Officer. The HighCape advisors include Seth Rudnick M.D., former head of Canaan Partners’ life sciences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team, Jon Soderstrom, Ph.D., managing director of the Yale Office of Cooperative Research, Kevin O’</w:t>
      </w:r>
    </w:p>
    <w:p>
      <w:pPr>
        <w:ind w:left="1260"/>
        <w:spacing w:after="0"/>
        <w:rPr>
          <w:sz w:val="20"/>
          <w:szCs w:val="20"/>
          <w:color w:val="auto"/>
        </w:rPr>
      </w:pPr>
      <w:r>
        <w:rPr>
          <w:rFonts w:ascii="Arial" w:cs="Arial" w:eastAsia="Arial" w:hAnsi="Arial"/>
          <w:sz w:val="17"/>
          <w:szCs w:val="17"/>
          <w:color w:val="auto"/>
        </w:rPr>
        <w:t>Boyle, the former chief financial officer of ABH and NuVasive, Inc. and Christopher Wright, an investment</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professional. Collectively, the HighCape team and advisors have worked together for decades with</w:t>
      </w:r>
    </w:p>
    <w:p>
      <w:pPr>
        <w:ind w:left="1260"/>
        <w:spacing w:after="0"/>
        <w:rPr>
          <w:sz w:val="20"/>
          <w:szCs w:val="20"/>
          <w:color w:val="auto"/>
        </w:rPr>
      </w:pPr>
      <w:r>
        <w:rPr>
          <w:rFonts w:ascii="Arial" w:cs="Arial" w:eastAsia="Arial" w:hAnsi="Arial"/>
          <w:sz w:val="17"/>
          <w:szCs w:val="17"/>
          <w:color w:val="auto"/>
        </w:rPr>
        <w:t>Messrs. Rakin and Zuga in various executive and investing capacities. The biographies of HighCape’s team</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advisors are detailed below.</w:t>
      </w:r>
    </w:p>
    <w:p>
      <w:pPr>
        <w:spacing w:after="0" w:line="128" w:lineRule="exact"/>
        <w:rPr>
          <w:sz w:val="20"/>
          <w:szCs w:val="20"/>
          <w:color w:val="auto"/>
        </w:rPr>
      </w:pPr>
    </w:p>
    <w:p>
      <w:pPr>
        <w:ind w:left="1260" w:right="759" w:firstLine="360"/>
        <w:spacing w:after="0"/>
        <w:rPr>
          <w:sz w:val="20"/>
          <w:szCs w:val="20"/>
          <w:color w:val="auto"/>
        </w:rPr>
      </w:pPr>
      <w:r>
        <w:rPr>
          <w:rFonts w:ascii="Arial" w:cs="Arial" w:eastAsia="Arial" w:hAnsi="Arial"/>
          <w:sz w:val="18"/>
          <w:szCs w:val="18"/>
          <w:b w:val="1"/>
          <w:bCs w:val="1"/>
          <w:i w:val="1"/>
          <w:iCs w:val="1"/>
          <w:color w:val="auto"/>
        </w:rPr>
        <w:t xml:space="preserve">Jennifer Barretta. </w:t>
      </w:r>
      <w:r>
        <w:rPr>
          <w:rFonts w:ascii="Arial" w:cs="Arial" w:eastAsia="Arial" w:hAnsi="Arial"/>
          <w:sz w:val="18"/>
          <w:szCs w:val="18"/>
          <w:color w:val="auto"/>
        </w:rPr>
        <w:t>Since April 2014, Ms. Barretta has been a partner at HighCape, and brings 20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human resources experience. From 2011 to 2012, Ms. Barretta was the vice president of Human Resources for SRM. Prior to that, Ms. Barretta served as vice president of ABH from 2006 until its acquisition by SRM in 2011, where she led human resources until August 2012. Prior to ABH, Ms. Barretta was Director of Human Resources at Genaissance until its merger with Clinical Data in 2005. Ms. Barretta received a B.S. from Syracuse University.</w:t>
      </w:r>
    </w:p>
    <w:p>
      <w:pPr>
        <w:spacing w:after="0" w:line="108" w:lineRule="exact"/>
        <w:rPr>
          <w:sz w:val="20"/>
          <w:szCs w:val="20"/>
          <w:color w:val="auto"/>
        </w:rPr>
      </w:pPr>
    </w:p>
    <w:p>
      <w:pPr>
        <w:ind w:left="1260" w:right="799" w:firstLine="360"/>
        <w:spacing w:after="0" w:line="238" w:lineRule="auto"/>
        <w:rPr>
          <w:sz w:val="20"/>
          <w:szCs w:val="20"/>
          <w:color w:val="auto"/>
        </w:rPr>
      </w:pPr>
      <w:r>
        <w:rPr>
          <w:rFonts w:ascii="Arial" w:cs="Arial" w:eastAsia="Arial" w:hAnsi="Arial"/>
          <w:sz w:val="18"/>
          <w:szCs w:val="18"/>
          <w:b w:val="1"/>
          <w:bCs w:val="1"/>
          <w:i w:val="1"/>
          <w:iCs w:val="1"/>
          <w:color w:val="auto"/>
        </w:rPr>
        <w:t xml:space="preserve">Charles Hart, Ph.D. </w:t>
      </w:r>
      <w:r>
        <w:rPr>
          <w:rFonts w:ascii="Arial" w:cs="Arial" w:eastAsia="Arial" w:hAnsi="Arial"/>
          <w:sz w:val="18"/>
          <w:szCs w:val="18"/>
          <w:color w:val="auto"/>
        </w:rPr>
        <w:t>Since April 2014, Dr. Hart has been an operating partner at HighCape, and brings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35 years of research and development experience in the biotechnology field. From 2011 to 2013, Dr. Hart was the vice president of research of SRM. Prior to that, Dr. Hart served as chief scientific officer of ABH from 2008 until its acquisition by SRM. He also served as the vice president and chief scientific officer at BioMimetic, a company focused on the development of products for the treatment of musculoskeletal injuries, from 2004 to 2008. Before BioMimetic, he had spent 21 years at ZymoGenetics, Inc., a biotech company. Dr. Hart has authored over 60 scientific publications and holds over 45 U.S. patents. He received a Ph.D. from the University of Washington, a M.S. from Oregon State University and a B.S. from the University of California at Davis.</w:t>
      </w:r>
    </w:p>
    <w:p>
      <w:pPr>
        <w:spacing w:after="0" w:line="124" w:lineRule="exact"/>
        <w:rPr>
          <w:sz w:val="20"/>
          <w:szCs w:val="20"/>
          <w:color w:val="auto"/>
        </w:rPr>
      </w:pPr>
    </w:p>
    <w:p>
      <w:pPr>
        <w:ind w:left="1260" w:right="919" w:firstLine="360"/>
        <w:spacing w:after="0" w:line="294" w:lineRule="auto"/>
        <w:rPr>
          <w:sz w:val="20"/>
          <w:szCs w:val="20"/>
          <w:color w:val="auto"/>
        </w:rPr>
      </w:pPr>
      <w:r>
        <w:rPr>
          <w:rFonts w:ascii="Arial" w:cs="Arial" w:eastAsia="Arial" w:hAnsi="Arial"/>
          <w:sz w:val="16"/>
          <w:szCs w:val="16"/>
          <w:b w:val="1"/>
          <w:bCs w:val="1"/>
          <w:i w:val="1"/>
          <w:iCs w:val="1"/>
          <w:color w:val="auto"/>
        </w:rPr>
        <w:t xml:space="preserve">Carol Reed, M.D. </w:t>
      </w:r>
      <w:r>
        <w:rPr>
          <w:rFonts w:ascii="Arial" w:cs="Arial" w:eastAsia="Arial" w:hAnsi="Arial"/>
          <w:sz w:val="16"/>
          <w:szCs w:val="16"/>
          <w:color w:val="auto"/>
        </w:rPr>
        <w:t>Since April 2014, Dr. Reed has been an operating partner at HighCape, and brings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twenty years of experience in drug and device development in the areas of pulmonary diseases, psychiatry, cardiology, gastroenterology and infectious diseases, in addition to ten years’ experience as a</w:t>
      </w:r>
    </w:p>
    <w:p>
      <w:pPr>
        <w:spacing w:after="0" w:line="3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39" w:lineRule="auto"/>
        <w:rPr>
          <w:sz w:val="20"/>
          <w:szCs w:val="20"/>
          <w:color w:val="auto"/>
        </w:rPr>
      </w:pPr>
      <w:r>
        <w:rPr>
          <w:rFonts w:ascii="Arial" w:cs="Arial" w:eastAsia="Arial" w:hAnsi="Arial"/>
          <w:sz w:val="18"/>
          <w:szCs w:val="18"/>
          <w:color w:val="auto"/>
        </w:rPr>
        <w:t>physician in the practice of pulmonary and critical care medicine from 1989 to 1999. From 1999 to 2005, Dr. Reed was the vice president, medical affairs at Genaissance Pharmaceuticals. Following that, Dr. Reed was the chief medical officer and executive vice president of Clinical Data from 2005 to 2011, and the senior vice president of Medical Affairs at Synthetic Biologics, Inc. from 2011 to 2014. Dr. Reed received her M.D. from Rush Medical College in Chicago and an M.S. in Biology from the University of Illinois at Chicago. She is a Fellow at the American College of Physicians and the American College of Chest Physicians.</w:t>
      </w:r>
    </w:p>
    <w:p>
      <w:pPr>
        <w:spacing w:after="0" w:line="11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7"/>
          <w:szCs w:val="17"/>
          <w:b w:val="1"/>
          <w:bCs w:val="1"/>
          <w:i w:val="1"/>
          <w:iCs w:val="1"/>
          <w:color w:val="auto"/>
        </w:rPr>
        <w:t xml:space="preserve">Dean Tozer. </w:t>
      </w:r>
      <w:r>
        <w:rPr>
          <w:rFonts w:ascii="Arial" w:cs="Arial" w:eastAsia="Arial" w:hAnsi="Arial"/>
          <w:sz w:val="17"/>
          <w:szCs w:val="17"/>
          <w:color w:val="auto"/>
        </w:rPr>
        <w:t>Since April 2014, Mr. Tozer has been a partner at High Cape, and brings 25 years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in the global healthcare industry. From March 2014 to January 2016, Mr. Tozer served as executive vice president and chief commercial officer and then the president and chief executive officer of Nuo Therapeutics, Inc. Prior to joining Nuo Therapeutics, Inc., he was the senior vice president of corporate development for SRM, which acquired ABH in 2011, where he had been a senior vice president. Prior to these roles, he spent 10 years in the global pharmaceutical industry. Mr. Tozer is currently on the board of BLDG Active, Inc., and he received a Bachelor of Commerce from Saint Mary’s University in Halifax, Nova Scotia and a Certified Management Accountant designation in Ontario, Canada.</w:t>
      </w:r>
    </w:p>
    <w:p>
      <w:pPr>
        <w:spacing w:after="0" w:line="113"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6"/>
          <w:szCs w:val="16"/>
          <w:b w:val="1"/>
          <w:bCs w:val="1"/>
          <w:i w:val="1"/>
          <w:iCs w:val="1"/>
          <w:color w:val="auto"/>
        </w:rPr>
        <w:t xml:space="preserve">Seth Rudnick, M.D. </w:t>
      </w:r>
      <w:r>
        <w:rPr>
          <w:rFonts w:ascii="Arial" w:cs="Arial" w:eastAsia="Arial" w:hAnsi="Arial"/>
          <w:sz w:val="16"/>
          <w:szCs w:val="16"/>
          <w:color w:val="auto"/>
        </w:rPr>
        <w:t>Since January 2014, Dr. Rudnick has been an advisor to HighCape. Dr. Rudnick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extensive expertise in oncology, drug discovery and development, and healthcare investments. From 1999 until his retirement in 2013, Dr. Rudnick was a general partner at Canaan Partners, where he built the global venture capital firm’s capability in biopharmaceutical investing. Prior to joining Canaan, he was the Chief Executive Officer and Chairman of CytoTherapeutics, Inc., a developer of cell therapies to combat chronic diseases. From 1986 to 1991, he was a founder of and head of research and development at Johnson</w:t>
      </w:r>
    </w:p>
    <w:p>
      <w:pPr>
        <w:spacing w:after="0" w:line="3" w:lineRule="exact"/>
        <w:rPr>
          <w:sz w:val="20"/>
          <w:szCs w:val="20"/>
          <w:color w:val="auto"/>
        </w:rPr>
      </w:pPr>
    </w:p>
    <w:p>
      <w:pPr>
        <w:ind w:left="1260" w:right="1499" w:firstLine="2"/>
        <w:spacing w:after="0" w:line="243" w:lineRule="auto"/>
        <w:tabs>
          <w:tab w:leader="none" w:pos="14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Johnson’s biotechnology company, Ortho Biotech, Inc., and from 1982 to 1986, he was head of pharmaceutical development at Biogen N.V.</w:t>
      </w:r>
    </w:p>
    <w:p>
      <w:pPr>
        <w:spacing w:after="0" w:line="118"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7"/>
          <w:szCs w:val="17"/>
          <w:color w:val="auto"/>
        </w:rPr>
        <w:t>Dr. Rudnick started his career as a faculty member in Medical Oncology and Epidemiology at the University of North Carolina in Chapel Hill. He was a Yale Fellow and Robert Wood Johnson scholar in medical oncology. He earned his medical degree at the University of Virginia and holds a B.A. in history from the University of Pennsylvania. He currently serves as a board member of Liquidia Technologies and G1 Therapeutics and was formerly Chairman of the Board for both companies.</w:t>
      </w:r>
    </w:p>
    <w:p>
      <w:pPr>
        <w:spacing w:after="0" w:line="93"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7"/>
          <w:szCs w:val="17"/>
          <w:b w:val="1"/>
          <w:bCs w:val="1"/>
          <w:i w:val="1"/>
          <w:iCs w:val="1"/>
          <w:color w:val="auto"/>
        </w:rPr>
        <w:t xml:space="preserve">Kevin O’Boyle. </w:t>
      </w:r>
      <w:r>
        <w:rPr>
          <w:rFonts w:ascii="Arial" w:cs="Arial" w:eastAsia="Arial" w:hAnsi="Arial"/>
          <w:sz w:val="17"/>
          <w:szCs w:val="17"/>
          <w:color w:val="auto"/>
        </w:rPr>
        <w:t>Since May 2020, Mr. O’Boyle has been an advisor to HighCape. He has over 20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executive management experience in the medical device industry. Mr. O’Boyle currently serves as a director of Wright Medical Group N.V., GenMark Diagnostics, Inc., Nevro Corp. and Sientra, Inc.</w:t>
      </w:r>
    </w:p>
    <w:p>
      <w:pPr>
        <w:ind w:left="1260" w:right="779"/>
        <w:spacing w:after="0" w:line="248" w:lineRule="auto"/>
        <w:rPr>
          <w:sz w:val="20"/>
          <w:szCs w:val="20"/>
          <w:color w:val="auto"/>
        </w:rPr>
      </w:pPr>
      <w:r>
        <w:rPr>
          <w:rFonts w:ascii="Arial" w:cs="Arial" w:eastAsia="Arial" w:hAnsi="Arial"/>
          <w:sz w:val="17"/>
          <w:szCs w:val="17"/>
          <w:color w:val="auto"/>
        </w:rPr>
        <w:t>Mr. O’Boyle served as the Senior Vice President and Chief Financial Officer of ABH from December 2010 until it was acquired in July 2011. From January 2003 until December 2009, Mr. O’Boyle served as Chief Financial Officer of NuVasive, Inc. Prior to that, Mr. O’Boyle served in various leadership positions during his six years with ChromaVision Medical Systems, Inc., including as its Chief Financial Officer and Chief Operating Officer. Before that, Mr. O’Boyle spent seven years with Albert Fisher Group PLC, an international food company, where he held several leadership positions including Chief Financial Officer and Senior Vice President of Operations. Mr. O’Boyle previously served as a director of each Zeltiq Aesthetics Inc., from July 2011 until it was acquired in April 2017, Durata Therapeutics, Inc., from</w:t>
      </w:r>
    </w:p>
    <w:p>
      <w:pPr>
        <w:spacing w:after="0" w:line="4" w:lineRule="exact"/>
        <w:rPr>
          <w:sz w:val="20"/>
          <w:szCs w:val="20"/>
          <w:color w:val="auto"/>
        </w:rPr>
      </w:pPr>
    </w:p>
    <w:p>
      <w:pPr>
        <w:ind w:left="1260" w:right="699"/>
        <w:spacing w:after="0" w:line="238" w:lineRule="auto"/>
        <w:rPr>
          <w:sz w:val="20"/>
          <w:szCs w:val="20"/>
          <w:color w:val="auto"/>
        </w:rPr>
      </w:pPr>
      <w:r>
        <w:rPr>
          <w:rFonts w:ascii="Arial" w:cs="Arial" w:eastAsia="Arial" w:hAnsi="Arial"/>
          <w:sz w:val="18"/>
          <w:szCs w:val="18"/>
          <w:color w:val="auto"/>
        </w:rPr>
        <w:t>April 2012 until it was acquired in November 2014, and NeoTract, Inc., from April 2017 until it was acquired in October 2017. Mr. O’Boyle received a Bachelor of Science in Accounting from Rochester Institute of Technology and successfully completed the Executive Management Program at the University of California Los Angeles, John E Anderson Graduate School of Business.</w:t>
      </w:r>
    </w:p>
    <w:p>
      <w:pPr>
        <w:spacing w:after="0" w:line="121"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b w:val="1"/>
          <w:bCs w:val="1"/>
          <w:i w:val="1"/>
          <w:iCs w:val="1"/>
          <w:color w:val="auto"/>
        </w:rPr>
        <w:t xml:space="preserve">Jon Soderstrom, Ph.D. </w:t>
      </w:r>
      <w:r>
        <w:rPr>
          <w:rFonts w:ascii="Arial" w:cs="Arial" w:eastAsia="Arial" w:hAnsi="Arial"/>
          <w:sz w:val="17"/>
          <w:szCs w:val="17"/>
          <w:color w:val="auto"/>
        </w:rPr>
        <w:t>Since December 2019, Dr. Soderstrom has been an advisor to HighCape.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Soderstrom is managing director of technology commercialization and faculty innovation at Yale University’s Office of Cooperative Research, responsible for working with leadership and faculty across the university to facilitate, support and enhance the protection, commercial translation, and dissemination of intellectual property developed through Yale research, and for overseeing operations toward that goal. He is also responsible for facilitating a robust ecosystem that supports faculty entrepreneurship.</w:t>
      </w:r>
    </w:p>
    <w:p>
      <w:pPr>
        <w:spacing w:after="0" w:line="108" w:lineRule="exact"/>
        <w:rPr>
          <w:sz w:val="20"/>
          <w:szCs w:val="20"/>
          <w:color w:val="auto"/>
        </w:rPr>
      </w:pPr>
    </w:p>
    <w:p>
      <w:pPr>
        <w:ind w:left="1260" w:right="779" w:firstLine="360"/>
        <w:spacing w:after="0" w:line="262" w:lineRule="auto"/>
        <w:rPr>
          <w:sz w:val="20"/>
          <w:szCs w:val="20"/>
          <w:color w:val="auto"/>
        </w:rPr>
      </w:pPr>
      <w:r>
        <w:rPr>
          <w:rFonts w:ascii="Arial" w:cs="Arial" w:eastAsia="Arial" w:hAnsi="Arial"/>
          <w:sz w:val="17"/>
          <w:szCs w:val="17"/>
          <w:color w:val="auto"/>
        </w:rPr>
        <w:t>Dr. Soderstrom has helped form 25 new ventures, including Molecular Staging, Inc. (acquired by Qiagen), Agilix Labs, Inc., Achillion Pharmaceuticals, Inc. (NASQ: ACHN), PhytoCeutica, Inc. (acquired by Kadmon Corporation), Protometrix Inc. (acquired by Invitrogen Corporation), Iconic Therapeutics, Inc., Applied Spine Technologies Inc., HistoRx, Inc. (acquired by Genoptix, Inc.), VaxInnate Corporation,</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99"/>
        <w:spacing w:after="0" w:line="248" w:lineRule="auto"/>
        <w:rPr>
          <w:sz w:val="20"/>
          <w:szCs w:val="20"/>
          <w:color w:val="auto"/>
        </w:rPr>
      </w:pPr>
      <w:r>
        <w:rPr>
          <w:rFonts w:ascii="Arial" w:cs="Arial" w:eastAsia="Arial" w:hAnsi="Arial"/>
          <w:sz w:val="18"/>
          <w:szCs w:val="18"/>
          <w:color w:val="auto"/>
        </w:rPr>
        <w:t>Affomix Corporation (acquired by Illumina, Inc.), Kolltan Pharmaceuticals, Inc. (acquired by Celldex Therapeutics, Inc.), Arvinas, Inc. (NASQ: ARVN) and Artizan Biosciences, Inc. Collectively, these companies have raised over $500 million in professional venture capital.</w:t>
      </w:r>
    </w:p>
    <w:p>
      <w:pPr>
        <w:spacing w:after="0" w:line="101"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7"/>
          <w:szCs w:val="17"/>
          <w:color w:val="auto"/>
        </w:rPr>
        <w:t>Previously, Dr. Soderstrom was the director of program development for Oak Ridge National Laboratory after serving for 10 years as director of technology licensing for Martin Marietta Energy Systems, Inc. In the Office of Technology Applications, he directed a group of 10 professionals responsible for negotiating license contracts and cooperative research and development agreements. Dr. Soderstrom received his Ph.D. from Northwestern University in 1980 and his B.A. from Hope College in 1976.</w:t>
      </w:r>
    </w:p>
    <w:p>
      <w:pPr>
        <w:spacing w:after="0" w:line="106"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b w:val="1"/>
          <w:bCs w:val="1"/>
          <w:i w:val="1"/>
          <w:iCs w:val="1"/>
          <w:color w:val="auto"/>
        </w:rPr>
        <w:t xml:space="preserve">Christopher Wright. </w:t>
      </w:r>
      <w:r>
        <w:rPr>
          <w:rFonts w:ascii="Arial" w:cs="Arial" w:eastAsia="Arial" w:hAnsi="Arial"/>
          <w:sz w:val="18"/>
          <w:szCs w:val="18"/>
          <w:color w:val="auto"/>
        </w:rPr>
        <w:t>Since January 2014, Mr. Wright has been an advisor to HighCape. Christopher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Wright has been a director of Merifin Capital NV, a private European family owned investment firm since 1987. Until mid-2003, he also served as Head of Global Private Equity Partners and CEO of Dresdner Kleinwort Capital and was a Group Board Member of Dresdner Kleinwort based in NYC, London and Frankfurt. He served as Chairman of various investment funds prior to and following the latter’s integration with Allianz SE. He was subsequently Acting Global Head of Private Equity and Infrastructure Investments at Standard Bank of South Africa Ltd from 2005 to 2006.</w:t>
      </w:r>
    </w:p>
    <w:p>
      <w:pPr>
        <w:spacing w:after="0" w:line="123" w:lineRule="exact"/>
        <w:rPr>
          <w:sz w:val="20"/>
          <w:szCs w:val="20"/>
          <w:color w:val="auto"/>
        </w:rPr>
      </w:pPr>
    </w:p>
    <w:p>
      <w:pPr>
        <w:ind w:left="1260" w:right="739" w:firstLine="360"/>
        <w:spacing w:after="0" w:line="237" w:lineRule="auto"/>
        <w:rPr>
          <w:sz w:val="20"/>
          <w:szCs w:val="20"/>
          <w:color w:val="auto"/>
        </w:rPr>
      </w:pPr>
      <w:r>
        <w:rPr>
          <w:rFonts w:ascii="Arial" w:cs="Arial" w:eastAsia="Arial" w:hAnsi="Arial"/>
          <w:sz w:val="18"/>
          <w:szCs w:val="18"/>
          <w:color w:val="auto"/>
        </w:rPr>
        <w:t>He was until 2014 non-executive Chairman of Maxcess International Corporation (an industrial controls business), and a founding board member of IDOX Plc, a leader in e-government software in the UK. He is co-founder and member of the board executive committee of Roper Technologies Inc (NYSE listed, S+P 500, large-cap diversified software, medtech and instrumentation company) whose audit committee he currently chairs. He is Chairman of YIMEI Capital, an asset management firm, based in Shanghai. He served until 2005 on the board of Genaissance. Mr. Wright is Emeritus Director of Campbell Lutyens &amp; Co. Ltd, a leading private equity and infrastructure focused investment banking firm based in London. He serves on the board of the UK charity, The Sutton Trust, and is an Advisory Director of the Scientific Exploration Society in the UK. He is a Fellow of the Royal Geographical Society and of the Royal Society of Arts. Mr. Wright was educated at Oxford University and holds a Certified Diploma in Accounting and Finance from ACCA. He is Honorary Fellow, Corpus Christi College, Oxford and serves as a member of its Endowment Investment Committee.</w:t>
      </w:r>
    </w:p>
    <w:p>
      <w:pPr>
        <w:spacing w:after="0" w:line="112"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The past performance of the members of our management team, HighCape or their affiliates is not a guarantee that we will be able to identify a suitable candidate for our initial business combination or of success with respect to any business combination we may consummate. You should not rely on the historical record of the performance of our management, HighCape or any of its affiliates’ performance as indicative of our future performance.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Competitive Advantages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intend to capitalize on the following competitive advantages in our pursuit of a target company: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Our Ability to Provide Counsel and Position a Company for Success in the Public Market</w:t>
      </w:r>
    </w:p>
    <w:p>
      <w:pPr>
        <w:spacing w:after="0" w:line="158" w:lineRule="exact"/>
        <w:rPr>
          <w:sz w:val="20"/>
          <w:szCs w:val="20"/>
          <w:color w:val="auto"/>
        </w:rPr>
      </w:pPr>
    </w:p>
    <w:p>
      <w:pPr>
        <w:ind w:left="1260" w:right="719" w:firstLine="360"/>
        <w:spacing w:after="0" w:line="276" w:lineRule="auto"/>
        <w:rPr>
          <w:sz w:val="20"/>
          <w:szCs w:val="20"/>
          <w:color w:val="auto"/>
        </w:rPr>
      </w:pPr>
      <w:r>
        <w:rPr>
          <w:rFonts w:ascii="Arial" w:cs="Arial" w:eastAsia="Arial" w:hAnsi="Arial"/>
          <w:sz w:val="16"/>
          <w:szCs w:val="16"/>
          <w:color w:val="auto"/>
        </w:rPr>
        <w:t>We believe our greatest competitive advantage comes from HighCape’s partners’ extensive background and experience. The HighCape partners have been chief executive officers, board members, investors and executive leaders with years of experience in almost every phase and function of life sciences companies. These experiences bridge both public and private settings. We believe a target management team will see tremendous value in partnering with a firm that can say “we have truly sat in your seat” and, through that, help management with the transition issues from running a private company to managing a public entity.</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Proactive and Proprietary Transaction Sourcing</w:t>
      </w:r>
    </w:p>
    <w:p>
      <w:pPr>
        <w:spacing w:after="0" w:line="144" w:lineRule="exact"/>
        <w:rPr>
          <w:sz w:val="20"/>
          <w:szCs w:val="20"/>
          <w:color w:val="auto"/>
        </w:rPr>
      </w:pPr>
    </w:p>
    <w:p>
      <w:pPr>
        <w:jc w:val="both"/>
        <w:ind w:left="1260" w:right="1139" w:firstLine="360"/>
        <w:spacing w:after="0" w:line="291" w:lineRule="auto"/>
        <w:rPr>
          <w:sz w:val="20"/>
          <w:szCs w:val="20"/>
          <w:color w:val="auto"/>
        </w:rPr>
      </w:pPr>
      <w:r>
        <w:rPr>
          <w:rFonts w:ascii="Arial" w:cs="Arial" w:eastAsia="Arial" w:hAnsi="Arial"/>
          <w:sz w:val="17"/>
          <w:szCs w:val="17"/>
          <w:color w:val="auto"/>
        </w:rPr>
        <w:t>Our management team believes that its leading market reputation, proactive approach to sourcing transactions, and extensive network of relationships will provide proprietary investment opportunities.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Execution and Structuring Capability</w:t>
      </w:r>
    </w:p>
    <w:p>
      <w:pPr>
        <w:spacing w:after="0" w:line="158" w:lineRule="exact"/>
        <w:rPr>
          <w:sz w:val="20"/>
          <w:szCs w:val="20"/>
          <w:color w:val="auto"/>
        </w:rPr>
      </w:pPr>
    </w:p>
    <w:p>
      <w:pPr>
        <w:jc w:val="center"/>
        <w:ind w:left="1540" w:right="40"/>
        <w:spacing w:after="0" w:line="291" w:lineRule="auto"/>
        <w:rPr>
          <w:sz w:val="20"/>
          <w:szCs w:val="20"/>
          <w:color w:val="auto"/>
        </w:rPr>
      </w:pPr>
      <w:r>
        <w:rPr>
          <w:rFonts w:ascii="Arial" w:cs="Arial" w:eastAsia="Arial" w:hAnsi="Arial"/>
          <w:sz w:val="17"/>
          <w:szCs w:val="17"/>
          <w:color w:val="auto"/>
        </w:rPr>
        <w:t>Our management team believes that its industry expertise and reputation allow them to source and complete transactions possessing structural attributes that create an attractive investment thesis. These types</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color w:val="auto"/>
        </w:rPr>
        <w:t>of transactions are typically complex and require creativity, industry knowledge and expertise, rigorous due diligence, and extensive negotiation and documentation.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Focused Experience Across Public and Private Opportunities</w:t>
      </w:r>
    </w:p>
    <w:p>
      <w:pPr>
        <w:spacing w:after="0" w:line="14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Our management team combines deep experience in public and private transactions. Mr. Rakin has more than 30 years of experience as a chief executive officer and board member in both private and public companies, while Mr. Zuga similarly has more than 30 years in the banking and investing arena. Additionally, the entire HighCape team have more than 100 years years combined experience sourcing, leading and transacting both public and private opportunities. We believe this versatility of experience and understanding of both public and private markets will allow our team to identify companies that could make successful public market candidates and prepare them to make the transition to strong publicly-traded companies.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Significant Value-Add Capability</w:t>
      </w:r>
    </w:p>
    <w:p>
      <w:pPr>
        <w:spacing w:after="0" w:line="15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believe that the life sciences sector expertise and broad network of relationships of our management team will allow them to add significant value after consummation of an initial transaction. We anticipate that our team will be involved with a target company in a number of capacities, including: (i) assisting in setting strategic direction and priorities; (ii) designing specific performance improvement projects;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 helping to identify and recruit managers; (iv) advising on acquisition and financing transactions;</w:t>
      </w:r>
    </w:p>
    <w:p>
      <w:pPr>
        <w:spacing w:after="0" w:line="9" w:lineRule="exact"/>
        <w:rPr>
          <w:sz w:val="20"/>
          <w:szCs w:val="20"/>
          <w:color w:val="auto"/>
        </w:rPr>
      </w:pPr>
    </w:p>
    <w:p>
      <w:pPr>
        <w:ind w:left="1260" w:right="699" w:firstLine="2"/>
        <w:spacing w:after="0" w:line="253" w:lineRule="auto"/>
        <w:tabs>
          <w:tab w:leader="none" w:pos="1529"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contributing market information; and (vi) developing a targeted investor relations program. Furthermore, our management team is also experienced in navigating complex reimbursement and regulatory issues that many companies in healthcare manage over time. Our management believes that its ability to identify and execute value creation initiatives has been an essential driver of past performance and will remain central to its acquisition strategy.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Industry Opportunity</w:t>
      </w:r>
    </w:p>
    <w:p>
      <w:pPr>
        <w:spacing w:after="0" w:line="162"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While we may acquire a business in any industry, our focus will be in the life sciences industry in the United States and other developed countries. We believe the life sciences industry is attractive for a number of reasons: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Large Target Market</w:t>
      </w:r>
    </w:p>
    <w:p>
      <w:pPr>
        <w:spacing w:after="0" w:line="144"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The life sciences industry represents an enormous target market. Total U.S. national health expenditure exceeds $3 trillion, and the Center for Medicare and Medicaid Services has estimated that total healthcare spending will approach 20% of total U.S. Gross Domestic Product over the coming years. The number of private companies in the life sciences industry is significant, with over 30,000 firms focused on various sub-sectors of the healthcare value chain in the United States alone. The market dynamics are similar in Europe and other developed countries.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Broad Universe of Potential Targets</w:t>
      </w:r>
    </w:p>
    <w:p>
      <w:pPr>
        <w:spacing w:after="0" w:line="158" w:lineRule="exact"/>
        <w:rPr>
          <w:sz w:val="20"/>
          <w:szCs w:val="20"/>
          <w:color w:val="auto"/>
        </w:rPr>
      </w:pPr>
    </w:p>
    <w:p>
      <w:pPr>
        <w:ind w:left="1260" w:right="699" w:firstLine="360"/>
        <w:spacing w:after="0" w:line="296" w:lineRule="auto"/>
        <w:rPr>
          <w:sz w:val="20"/>
          <w:szCs w:val="20"/>
          <w:color w:val="auto"/>
        </w:rPr>
      </w:pPr>
      <w:r>
        <w:rPr>
          <w:rFonts w:ascii="Arial" w:cs="Arial" w:eastAsia="Arial" w:hAnsi="Arial"/>
          <w:sz w:val="16"/>
          <w:szCs w:val="16"/>
          <w:color w:val="auto"/>
        </w:rPr>
        <w:t>We intend to focus our investment effort broadly across the life sciences industry, which encompasses therapeutics, devices, diagnostics and animal health. We believe that our investment and operating expertise in healthcare across multiple industry verticals will give us a large, addressable universe of potential targets. The diversity of the target universe and the number of largely uncorrelated sub-sectors maximizes that likelihood that our management team will be able to identify and execute an attractive transaction.</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Limited Competition</w:t>
      </w:r>
    </w:p>
    <w:p>
      <w:pPr>
        <w:spacing w:after="0" w:line="15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Our management team believes that the complexity of the life sciences industry acts as a barrier to entry, requiring investors to have significant knowledge and expertise to identify and appropriately analyze investment opportunities. Technical, clinical and scientific knowledge, an understanding of the reimbursement environment and regulatory landscape, complex valuation methodologies, specialized accounting treatments, and regulatory and political considerations may deter competition from generalist firms.</w:t>
      </w:r>
    </w:p>
    <w:p>
      <w:pPr>
        <w:sectPr>
          <w:pgSz w:w="11900" w:h="16838" w:orient="portrait"/>
          <w:cols w:equalWidth="0" w:num="1">
            <w:col w:w="10139"/>
          </w:cols>
          <w:pgMar w:left="320" w:top="131"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4" w:name="page85"/>
    <w:bookmarkEnd w:id="8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Favorable Trends</w:t>
      </w:r>
    </w:p>
    <w:p>
      <w:pPr>
        <w:spacing w:after="0" w:line="144"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7"/>
          <w:szCs w:val="17"/>
          <w:color w:val="auto"/>
        </w:rPr>
        <w:t>Total global healthcare expenditure has grown at a pace substantially above the global economy in the recent past, and this growth is projected to continue over the years to come, which we anticipate will include an aging population, increased prevalence of chronic disease and improved access to healthcare. While the size of healthcare spending has grown and will continue to grow, this expense has put significant pressure on payers, including federal and state governments as well as individuals. This dynamic provides opportunities to life sciences companies with innovative approaches that provide better clinical outcomes and also bend the cost curve for payers. The HighCape team has extensive experience in identifying, growing and exiting exactly these types of companies.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Acquisition Criteria</w:t>
      </w:r>
    </w:p>
    <w:p>
      <w:pPr>
        <w:spacing w:after="0" w:line="162" w:lineRule="exact"/>
        <w:rPr>
          <w:sz w:val="20"/>
          <w:szCs w:val="20"/>
          <w:color w:val="auto"/>
        </w:rPr>
      </w:pPr>
    </w:p>
    <w:p>
      <w:pPr>
        <w:ind w:left="1260" w:right="859" w:firstLine="360"/>
        <w:spacing w:after="0" w:line="243" w:lineRule="auto"/>
        <w:rPr>
          <w:sz w:val="20"/>
          <w:szCs w:val="20"/>
          <w:color w:val="auto"/>
        </w:rPr>
      </w:pPr>
      <w:r>
        <w:rPr>
          <w:rFonts w:ascii="Arial" w:cs="Arial" w:eastAsia="Arial" w:hAnsi="Arial"/>
          <w:sz w:val="18"/>
          <w:szCs w:val="18"/>
          <w:color w:val="auto"/>
        </w:rPr>
        <w:t>Consistent with our strategy, we have identified the following general criteria and guidelines that we believe are important in evaluating prospective target businesses. We will use these criteria and guidelines in evaluating acquisition opportunities, but we may decide to enter into our initial business combination with a target business that does not meet these criteria and guidelines.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Life Sciences Businesses</w:t>
      </w:r>
    </w:p>
    <w:p>
      <w:pPr>
        <w:spacing w:after="0" w:line="158"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color w:val="auto"/>
        </w:rPr>
        <w:t>We believe that the life sciences segment provides the greatest number of opportunities for investment and is consistent with HighCape’s historical investment history. This segment is where we believe we also have the strongest network to identify the greatest number of attractive opportunities and we believe the larger market capitalization and public float of the resulting company will be more attractive to our investors.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Companies with Revenue and Earnings Growth or Potential for Revenue and Earnings Growth</w:t>
      </w:r>
    </w:p>
    <w:p>
      <w:pPr>
        <w:spacing w:after="0" w:line="144" w:lineRule="exact"/>
        <w:rPr>
          <w:sz w:val="20"/>
          <w:szCs w:val="20"/>
          <w:color w:val="auto"/>
        </w:rPr>
      </w:pPr>
    </w:p>
    <w:p>
      <w:pPr>
        <w:jc w:val="both"/>
        <w:ind w:left="1260" w:right="719" w:firstLine="360"/>
        <w:spacing w:after="0" w:line="243" w:lineRule="auto"/>
        <w:rPr>
          <w:sz w:val="20"/>
          <w:szCs w:val="20"/>
          <w:color w:val="auto"/>
        </w:rPr>
      </w:pPr>
      <w:r>
        <w:rPr>
          <w:rFonts w:ascii="Arial" w:cs="Arial" w:eastAsia="Arial" w:hAnsi="Arial"/>
          <w:sz w:val="18"/>
          <w:szCs w:val="18"/>
          <w:color w:val="auto"/>
        </w:rPr>
        <w:t>We will seek to acquire one or more businesses that have achieved or have the potential for significant revenue and earnings growth through a combination of organic growth, synergistic add- on acquisitions, new product markets and geographies, increased production capacity, expense reduction and increased operating leverage.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Companies with, or with the Potential for, Strong Free Cash Flow Generation</w:t>
      </w:r>
    </w:p>
    <w:p>
      <w:pPr>
        <w:spacing w:after="0" w:line="158"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We will seek to acquire one or more businesses that already have, or have the potential to generate, consistent, stable and recurring free cash flow when their product or products have achieved an appropriate level of market penetration.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Strong Competitive Position</w:t>
      </w:r>
    </w:p>
    <w:p>
      <w:pPr>
        <w:spacing w:after="0" w:line="158"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We intend to focus on acquisition targets that have a leading, growing or niche market position in their respective industries. We will analyze the strengths and weaknesses of target businesses relative to their competitors. We will seek to acquire one or more businesses that demonstrate advantages when compared to their competitors, which may help to protect their market position and profitability.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Experienced Management Team</w:t>
      </w:r>
    </w:p>
    <w:p>
      <w:pPr>
        <w:spacing w:after="0" w:line="144"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We will seek to acquire one or more businesses with a complete, experienced management team that provides a platform for us to further develop the acquired business’s management capabilities. We will seek to partner with a potential target’s management team and expect that the operating and financial abilities of our executive team and board will complement their own capabilities.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Benefit from Being a Public Company</w:t>
      </w:r>
    </w:p>
    <w:p>
      <w:pPr>
        <w:spacing w:after="0" w:line="158"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We intend to acquire one or more businesses that will benefit from being publicly traded and can effectively utilize the broader access to capital and the public profile that are associated with being a publicly traded company. We will focus on companies that have proven technology or products, with strong supporting data, near and long term milestones and strong fundamentals. We do not intend to acquire start-up companies or companies without a path to long-term profitability.</w:t>
      </w:r>
    </w:p>
    <w:p>
      <w:pPr>
        <w:sectPr>
          <w:pgSz w:w="11900" w:h="16838" w:orient="portrait"/>
          <w:cols w:equalWidth="0" w:num="1">
            <w:col w:w="10139"/>
          </w:cols>
          <w:pgMar w:left="32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a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or tender offer materials, as applicable, that we would file with the SEC. In evaluating a prospective target business, we expect to conduct a due diligence review which may encompass, among other things, meetings with incumbent management and employees, document reviews, interviews of customers and suppliers, inspections of facilities, as well as reviewing financial and other information which will be made available to us.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ind w:left="1260" w:right="819" w:firstLine="360"/>
        <w:spacing w:after="0"/>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our officers or our directors. In the event we seek to complete our initial business combination with a business that is affiliated with our sponsor, our officers or our directors, we, or a committee of independent and disinterested directors, will obtain an opinion from an independent investment banking firm that is a member of FINRA, or from an independent accounting firm, that such an initial business combination is fair to our company from a financial point of view.</w:t>
      </w:r>
    </w:p>
    <w:p>
      <w:pPr>
        <w:spacing w:after="0" w:line="122"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color w:val="auto"/>
        </w:rPr>
        <w:t>Members of our management team may directly or indirectly own our securities following this offering and, accordingly, they may have a conflict of interest in determining whether a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2" w:lineRule="exact"/>
        <w:rPr>
          <w:sz w:val="20"/>
          <w:szCs w:val="20"/>
          <w:color w:val="auto"/>
        </w:rPr>
      </w:pPr>
    </w:p>
    <w:p>
      <w:pPr>
        <w:ind w:left="1260" w:right="739" w:firstLine="360"/>
        <w:spacing w:after="0" w:line="237" w:lineRule="auto"/>
        <w:rPr>
          <w:sz w:val="20"/>
          <w:szCs w:val="20"/>
          <w:color w:val="auto"/>
        </w:rPr>
      </w:pPr>
      <w:r>
        <w:rPr>
          <w:rFonts w:ascii="Arial" w:cs="Arial" w:eastAsia="Arial" w:hAnsi="Arial"/>
          <w:sz w:val="18"/>
          <w:szCs w:val="18"/>
          <w:color w:val="auto"/>
        </w:rPr>
        <w:t>HighCape manages several investment vehicles. Each of our officers and directors presently has, and any of them in the future may have additional, fiduciary or contractual obligations to another entity, including public and private funds under the management of HighCape and their respective portfolio companies, pursuant to which such officer or director is or will be required to present a business combination opportunity to such entity. In addition, existing and future funds managed by HighCape and their respective portfolio companies may compete with us for business combination opportunities and, if such opportunities are pursued by such entities, we may be precluded from pursuing such opportunities.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entity, and may only decide to present it to us if such entity rejects the opportunity and consummating the same would not violate any restrictive covenants to which such officers and directors are subject.</w:t>
      </w:r>
    </w:p>
    <w:p>
      <w:pPr>
        <w:spacing w:after="0" w:line="110"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While our sponsor and its affiliates will not have any duty to offer acquisition opportunities to us, our sponsor and its affiliates may become aware of a potential transaction that is an attractive opportunity for us, which it may decide to share with us. Conflicts may arise from HighCape’s involvement with our company, as well as from actions undertaken by HighCape or any of its affiliates for their own account. When acting for their own account, HighCape or any of its affiliates may take commercial steps which may have an adverse effect on us. Any of HighCape’s or its affiliates’ other activities may, individually or in the aggregate, have an adverse effect on us, and the interests of HighCape or any of its affiliates may at times be averse to ours.</w:t>
      </w:r>
    </w:p>
    <w:p>
      <w:pPr>
        <w:spacing w:after="0" w:line="126"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We do not believe, however, that the fiduciary, contractual or other obligations or duties of our officers or directors, or our sponsor and its affiliates, will materially affect our ability to complete our initial business combination.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Business Combination</w:t>
      </w:r>
    </w:p>
    <w:p>
      <w:pPr>
        <w:spacing w:after="0" w:line="162" w:lineRule="exact"/>
        <w:rPr>
          <w:sz w:val="20"/>
          <w:szCs w:val="20"/>
          <w:color w:val="auto"/>
        </w:rPr>
      </w:pPr>
    </w:p>
    <w:p>
      <w:pPr>
        <w:ind w:left="1260" w:right="759" w:firstLine="360"/>
        <w:spacing w:after="0" w:line="294"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We refer to this as</w:t>
      </w:r>
    </w:p>
    <w:p>
      <w:pPr>
        <w:sectPr>
          <w:pgSz w:w="11900" w:h="16838" w:orient="portrait"/>
          <w:cols w:equalWidth="0" w:num="1">
            <w:col w:w="10139"/>
          </w:cols>
          <w:pgMar w:left="320" w:top="131" w:right="1440" w:bottom="1440" w:gutter="0" w:footer="0" w:header="0"/>
        </w:sectPr>
      </w:pPr>
    </w:p>
    <w:p>
      <w:pPr>
        <w:spacing w:after="0" w:line="32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rPr>
          <w:sz w:val="20"/>
          <w:szCs w:val="20"/>
          <w:color w:val="auto"/>
        </w:rPr>
      </w:pPr>
      <w:r>
        <w:rPr>
          <w:rFonts w:ascii="Arial" w:cs="Arial" w:eastAsia="Arial" w:hAnsi="Arial"/>
          <w:sz w:val="18"/>
          <w:szCs w:val="18"/>
          <w:color w:val="auto"/>
        </w:rPr>
        <w:t>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108" w:lineRule="exact"/>
        <w:rPr>
          <w:sz w:val="20"/>
          <w:szCs w:val="20"/>
          <w:color w:val="auto"/>
        </w:rPr>
      </w:pPr>
    </w:p>
    <w:p>
      <w:pPr>
        <w:ind w:left="1260" w:right="699" w:firstLine="360"/>
        <w:spacing w:after="0" w:line="250"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 transaction company owns or acquires 50% or more of the outstanding voting securities of the target or otherwise acquires a controlling interest in the target business sufficient for it not to be required to register as an investment company under the Investment Company Act. Even if the post- 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the target businesses.</w:t>
      </w:r>
    </w:p>
    <w:p>
      <w:pPr>
        <w:spacing w:after="0" w:line="125" w:lineRule="exact"/>
        <w:rPr>
          <w:sz w:val="20"/>
          <w:szCs w:val="20"/>
          <w:color w:val="auto"/>
        </w:rPr>
      </w:pPr>
    </w:p>
    <w:p>
      <w:pPr>
        <w:ind w:left="1260" w:right="779" w:firstLine="360"/>
        <w:spacing w:after="0" w:line="241" w:lineRule="auto"/>
        <w:rPr>
          <w:sz w:val="20"/>
          <w:szCs w:val="20"/>
          <w:color w:val="auto"/>
        </w:rPr>
      </w:pPr>
      <w:r>
        <w:rPr>
          <w:rFonts w:ascii="Arial" w:cs="Arial" w:eastAsia="Arial" w:hAnsi="Arial"/>
          <w:sz w:val="18"/>
          <w:szCs w:val="18"/>
          <w:color w:val="auto"/>
        </w:rPr>
        <w:t>Prior to the date of this prospectus, we will file a Registration Statement on Form 8 -A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22"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We may pursue an initial business combination opportunity jointly with our sponsor, HighCape or one or more of its affiliates and/or investors in HighCape or one of its affiliates. Any such parties may co-invest with us in the target business at the time of our initial business combination, or we could raise additional proceeds to complete the acquisition by issuing to such parties a class of equity or equity-linked securities. Any such issuance of equity or equity-linked securities would, on a fully diluted basis, reduce</w:t>
      </w:r>
    </w:p>
    <w:p>
      <w:pPr>
        <w:spacing w:after="0" w:line="3"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the percentage ownership of our then-existing stockholders. Notwithstanding the foregoing, pursuant to the anti-dilution provisions of our Class B common stock, issuances or deemed issuances of Class A common stock or equity-linked securities would result in an adjustment to the ratio at which shares of Class B common stock shall convert into shares of Class A common stock such that our initial stockholders and their permitted transferees, if any, would retain their aggregate percentage ownership at 20% of the sum of the total number of all shares of common stock outstanding upon completion of this offering (excluding the private placement shares underlying the private placement units) plus all shares of Class A common stock and equity-linked securities issued or deemed issued in connection with the business combination (excluding any shares or equity-linked securities issued, or to be issued, to any seller in the business combination), unless the holders of a majority of the then-outstanding shares of Class B common stock agree to waive such adjustment with respect to such issuance or deemed issuance at the time thereof. Neither our sponsor nor HighCape, nor any of their respective affiliates, have an obligation to make any such investment, and may compete with us for potential business combinations.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Status as a Public Company</w:t>
      </w:r>
    </w:p>
    <w:p>
      <w:pPr>
        <w:spacing w:after="0" w:line="148"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w:t>
      </w:r>
    </w:p>
    <w:p>
      <w:pPr>
        <w:sectPr>
          <w:pgSz w:w="11900" w:h="16838" w:orient="portrait"/>
          <w:cols w:equalWidth="0" w:num="1">
            <w:col w:w="10139"/>
          </w:cols>
          <w:pgMar w:left="32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53" w:lineRule="auto"/>
        <w:rPr>
          <w:sz w:val="20"/>
          <w:szCs w:val="20"/>
          <w:color w:val="auto"/>
        </w:rPr>
      </w:pPr>
      <w:r>
        <w:rPr>
          <w:rFonts w:ascii="Arial" w:cs="Arial" w:eastAsia="Arial" w:hAnsi="Arial"/>
          <w:sz w:val="17"/>
          <w:szCs w:val="17"/>
          <w:color w:val="auto"/>
        </w:rPr>
        <w:t>the owners of the target business may, for example, exchange their shares of stock in the target business for our Class A common stock (or shares of a new holding company) or for a combination of our Class A common stock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and market and other uncertainties in the initial public offering process, including underwriting discounts and commissions, marketing and road show efforts that may not be present to the same extent in connection with a business combination with us.</w:t>
      </w:r>
    </w:p>
    <w:p>
      <w:pPr>
        <w:spacing w:after="0" w:line="103"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7"/>
          <w:szCs w:val="17"/>
          <w:color w:val="auto"/>
        </w:rPr>
        <w:t>Furthermore, once a proposed initial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 additional means of providing management incentives consistent with stockholders’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13"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stockholder approval of any proposed initial business combination, negatively.</w:t>
      </w:r>
    </w:p>
    <w:p>
      <w:pPr>
        <w:spacing w:after="0" w:line="120"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7"/>
          <w:szCs w:val="17"/>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w:t>
      </w:r>
    </w:p>
    <w:p>
      <w:pPr>
        <w:ind w:left="1520" w:hanging="258"/>
        <w:spacing w:after="0"/>
        <w:tabs>
          <w:tab w:leader="none" w:pos="1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which we are deemed to be a large accelerated filer, which means the market value of our Class A</w:t>
      </w:r>
    </w:p>
    <w:p>
      <w:pPr>
        <w:spacing w:after="0" w:line="7" w:lineRule="exact"/>
        <w:rPr>
          <w:rFonts w:ascii="Arial" w:cs="Arial" w:eastAsia="Arial" w:hAnsi="Arial"/>
          <w:sz w:val="17"/>
          <w:szCs w:val="17"/>
          <w:color w:val="auto"/>
        </w:rPr>
      </w:pPr>
    </w:p>
    <w:p>
      <w:pPr>
        <w:ind w:left="1260" w:right="799"/>
        <w:spacing w:after="0" w:line="239" w:lineRule="auto"/>
        <w:rPr>
          <w:rFonts w:ascii="Arial" w:cs="Arial" w:eastAsia="Arial" w:hAnsi="Arial"/>
          <w:sz w:val="17"/>
          <w:szCs w:val="17"/>
          <w:color w:val="auto"/>
        </w:rPr>
      </w:pPr>
      <w:r>
        <w:rPr>
          <w:rFonts w:ascii="Arial" w:cs="Arial" w:eastAsia="Arial" w:hAnsi="Arial"/>
          <w:sz w:val="18"/>
          <w:szCs w:val="18"/>
          <w:color w:val="auto"/>
        </w:rPr>
        <w:t>common stock that is held by non-affiliates exceeds $700 million as of the prior June 30th, and (2) the date on which we have issued more than $1.0 billion in non-convertible debt securities during the prior three-year period.</w:t>
      </w:r>
    </w:p>
    <w:p>
      <w:pPr>
        <w:spacing w:after="0" w:line="108" w:lineRule="exact"/>
        <w:rPr>
          <w:sz w:val="20"/>
          <w:szCs w:val="20"/>
          <w:color w:val="auto"/>
        </w:rPr>
      </w:pPr>
    </w:p>
    <w:p>
      <w:pPr>
        <w:ind w:left="1260" w:right="879" w:firstLine="360"/>
        <w:spacing w:after="0" w:line="239"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30th, or (2) our annual revenues exceeded $100 million during such completed fiscal year and the market value of our common stock held by non-affiliates exceeds $700 million as of the prior June 30th.</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Position</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With funds available for a business combination initially in the amount of $96,500,000 (assuming no redemptions), after payment of $3,500,000 of deferred underwriting fees (or $ 110,975,000 (assuming no redemptions) after payment of $4,025,000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General</w:t>
      </w:r>
    </w:p>
    <w:p>
      <w:pPr>
        <w:spacing w:after="0" w:line="158"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following this offering. We intend to effectuate our initial business combination using cash from the</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5" w:lineRule="auto"/>
        <w:rPr>
          <w:sz w:val="20"/>
          <w:szCs w:val="20"/>
          <w:color w:val="auto"/>
        </w:rPr>
      </w:pPr>
      <w:r>
        <w:rPr>
          <w:rFonts w:ascii="Arial" w:cs="Arial" w:eastAsia="Arial" w:hAnsi="Arial"/>
          <w:sz w:val="17"/>
          <w:szCs w:val="17"/>
          <w:color w:val="auto"/>
        </w:rPr>
        <w:t>proceeds of this offering and the private placement of the private placement units, the proceeds of the sale of our shares in connection with our initial business combination (including pursuant to forward purchase agreements or backstop agreements we may enter into following the consummation of this offering or otherwise), shares issued to the owners of the target, debt issued to bank or other lenders or the owners of the target,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99" w:lineRule="exact"/>
        <w:rPr>
          <w:sz w:val="20"/>
          <w:szCs w:val="20"/>
          <w:color w:val="auto"/>
        </w:rPr>
      </w:pPr>
    </w:p>
    <w:p>
      <w:pPr>
        <w:ind w:left="1260" w:right="839" w:firstLine="360"/>
        <w:spacing w:after="0" w:line="239" w:lineRule="auto"/>
        <w:rPr>
          <w:sz w:val="20"/>
          <w:szCs w:val="20"/>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common stock,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23"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We have not selected any specific business combination target and we have not, nor has anyone on our behalf, engaged in any substantive discussions, directly or indirectly, with any business combination target with respect to an initial business combination with us.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24"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Sources of Target Businesses</w:t>
      </w:r>
    </w:p>
    <w:p>
      <w:pPr>
        <w:spacing w:after="0" w:line="148"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7"/>
          <w:szCs w:val="17"/>
          <w:color w:val="auto"/>
        </w:rPr>
        <w:t>We believe our management team’s significant operating and transaction experience and relationships will provide us with a substantial number of potential initial business combination targets. Over the course of their careers, the members of our management team have developed a broad network of contacts and corporate relationships around the world, which includes private equity firms, venture capitalists and entrepreneurs. This network has grown through the activities of our management team sourcing, acquiring and financing businesses, the reputation of our management team for integrity and fair dealing with sellers, financing sources and target management teams and the experience of our management team in executing transactions under varying economic and financial market conditions. In addition, members of our management team have developed contacts from serving on the boards of directors of public companies.</w:t>
      </w:r>
    </w:p>
    <w:p>
      <w:pPr>
        <w:spacing w:after="0" w:line="116"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color w:val="auto"/>
        </w:rPr>
        <w:t>This network has provided our management team with a flow of referrals that has resulted in numerous transactions which were proprietary or where a limited group of investors were invited to participate in the sale process. We believe that the network of contacts and relationships of our management team will provide us important sources of investment opportunities. In addition, we anticipate that target business combination candidates will be brought to our attention from various unaffiliated sources, including investment market participants, private equity funds and large business enterprises seeking to divest non-core assets or divisions.</w:t>
      </w:r>
    </w:p>
    <w:p>
      <w:pPr>
        <w:spacing w:after="0" w:line="123" w:lineRule="exact"/>
        <w:rPr>
          <w:sz w:val="20"/>
          <w:szCs w:val="20"/>
          <w:color w:val="auto"/>
        </w:rPr>
      </w:pPr>
    </w:p>
    <w:p>
      <w:pPr>
        <w:ind w:left="1260" w:right="759" w:firstLine="360"/>
        <w:spacing w:after="0" w:line="243" w:lineRule="auto"/>
        <w:rPr>
          <w:sz w:val="20"/>
          <w:szCs w:val="20"/>
          <w:color w:val="auto"/>
        </w:rPr>
      </w:pPr>
      <w:r>
        <w:rPr>
          <w:rFonts w:ascii="Arial" w:cs="Arial" w:eastAsia="Arial" w:hAnsi="Arial"/>
          <w:sz w:val="18"/>
          <w:szCs w:val="18"/>
          <w:color w:val="auto"/>
        </w:rPr>
        <w:t>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1" w:lineRule="auto"/>
        <w:rPr>
          <w:sz w:val="20"/>
          <w:szCs w:val="20"/>
          <w:color w:val="auto"/>
        </w:rPr>
      </w:pPr>
      <w:r>
        <w:rPr>
          <w:rFonts w:ascii="Arial" w:cs="Arial" w:eastAsia="Arial" w:hAnsi="Arial"/>
          <w:sz w:val="17"/>
          <w:szCs w:val="17"/>
          <w:color w:val="auto"/>
        </w:rPr>
        <w:t>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In addition, commencing on the date of this prospectus, we will pay our sponsor $ 10,000 per month for office space, secretarial and administrative services provided to members of our management team. Any such payments prior to our initial business combination will be made from funds held outside the trust account. Other than the foregoing, there will be no finder’s fees, reimbursement, consulting fee,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w:t>
      </w:r>
    </w:p>
    <w:p>
      <w:pPr>
        <w:spacing w:after="0" w:line="104"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w:t>
      </w:r>
    </w:p>
    <w:p>
      <w:pPr>
        <w:spacing w:after="0" w:line="112"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units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3"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99"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Evaluation of a Target Business and Structuring of Our Initial Business Combination</w:t>
      </w:r>
    </w:p>
    <w:p>
      <w:pPr>
        <w:spacing w:after="0" w:line="162" w:lineRule="exact"/>
        <w:rPr>
          <w:sz w:val="20"/>
          <w:szCs w:val="20"/>
          <w:color w:val="auto"/>
        </w:rPr>
      </w:pPr>
    </w:p>
    <w:p>
      <w:pPr>
        <w:ind w:left="1260" w:right="819" w:firstLine="360"/>
        <w:spacing w:after="0" w:line="324" w:lineRule="auto"/>
        <w:rPr>
          <w:sz w:val="20"/>
          <w:szCs w:val="20"/>
          <w:color w:val="auto"/>
        </w:rPr>
      </w:pPr>
      <w:r>
        <w:rPr>
          <w:rFonts w:ascii="Arial" w:cs="Arial" w:eastAsia="Arial" w:hAnsi="Arial"/>
          <w:sz w:val="16"/>
          <w:szCs w:val="16"/>
          <w:color w:val="auto"/>
        </w:rPr>
        <w:t>In evaluating a prospective target business, we expect to conduct a due diligence review which may encompass, among other things, meetings with incumbent management and employees, document reviews,</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9" w:lineRule="auto"/>
        <w:rPr>
          <w:sz w:val="20"/>
          <w:szCs w:val="20"/>
          <w:color w:val="auto"/>
        </w:rPr>
      </w:pPr>
      <w:r>
        <w:rPr>
          <w:rFonts w:ascii="Arial" w:cs="Arial" w:eastAsia="Arial" w:hAnsi="Arial"/>
          <w:sz w:val="18"/>
          <w:szCs w:val="18"/>
          <w:color w:val="auto"/>
        </w:rPr>
        <w:t>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06"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Lack of Business Diversification</w:t>
      </w:r>
    </w:p>
    <w:p>
      <w:pPr>
        <w:spacing w:after="0" w:line="162"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84" w:lineRule="exact"/>
        <w:rPr>
          <w:sz w:val="20"/>
          <w:szCs w:val="20"/>
          <w:color w:val="auto"/>
        </w:rPr>
      </w:pPr>
    </w:p>
    <w:p>
      <w:pPr>
        <w:ind w:left="1800" w:right="819" w:hanging="178"/>
        <w:spacing w:after="0" w:line="263"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75" w:lineRule="exact"/>
        <w:rPr>
          <w:rFonts w:ascii="Arial" w:cs="Arial" w:eastAsia="Arial" w:hAnsi="Arial"/>
          <w:sz w:val="18"/>
          <w:szCs w:val="18"/>
          <w:color w:val="auto"/>
        </w:rPr>
      </w:pPr>
    </w:p>
    <w:p>
      <w:pPr>
        <w:ind w:left="1800" w:right="959" w:hanging="178"/>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162"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14" w:lineRule="exact"/>
        <w:rPr>
          <w:sz w:val="20"/>
          <w:szCs w:val="20"/>
          <w:color w:val="auto"/>
        </w:rPr>
      </w:pPr>
    </w:p>
    <w:p>
      <w:pPr>
        <w:ind w:left="1260" w:right="1099" w:firstLine="360"/>
        <w:spacing w:after="0" w:line="286"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84"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May Not Have the Ability to Approve Our Initial Business Combination</w:t>
      </w:r>
    </w:p>
    <w:p>
      <w:pPr>
        <w:spacing w:after="0" w:line="162"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subject to the provisions of our amended and restated certificate of incorporation. However, we will seek stockholder approval if it is required by law or applicable stock exchange rule, or we may decide to seek stockholder approval for business or other legal reasons.</w:t>
      </w:r>
    </w:p>
    <w:p>
      <w:pPr>
        <w:sectPr>
          <w:pgSz w:w="11900" w:h="16838" w:orient="portrait"/>
          <w:cols w:equalWidth="0" w:num="1">
            <w:col w:w="10139"/>
          </w:cols>
          <w:pgMar w:left="320" w:top="131"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Presented in the table below is a graphic explanation of the types of initial business combinations we may consider and whether stockholder approval is currently required under Delaware law for each such transaction.</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Whether</w:t>
            </w:r>
          </w:p>
        </w:tc>
      </w:tr>
      <w:tr>
        <w:trPr>
          <w:trHeight w:val="162"/>
        </w:trPr>
        <w:tc>
          <w:tcPr>
            <w:tcW w:w="6520" w:type="dxa"/>
            <w:vAlign w:val="bottom"/>
          </w:tcPr>
          <w:p>
            <w:pPr>
              <w:spacing w:after="0"/>
              <w:rPr>
                <w:sz w:val="14"/>
                <w:szCs w:val="14"/>
                <w:color w:val="auto"/>
              </w:rPr>
            </w:pPr>
          </w:p>
        </w:tc>
        <w:tc>
          <w:tcPr>
            <w:tcW w:w="96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88"/>
              </w:rPr>
              <w:t>Stockholder</w:t>
            </w:r>
          </w:p>
        </w:tc>
      </w:t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Approval Is</w:t>
            </w:r>
          </w:p>
        </w:tc>
      </w:tr>
      <w:tr>
        <w:trPr>
          <w:trHeight w:val="186"/>
        </w:trPr>
        <w:tc>
          <w:tcPr>
            <w:tcW w:w="6520" w:type="dxa"/>
            <w:vAlign w:val="bottom"/>
          </w:tcPr>
          <w:p>
            <w:pPr>
              <w:spacing w:after="0"/>
              <w:rPr>
                <w:sz w:val="20"/>
                <w:szCs w:val="20"/>
                <w:color w:val="auto"/>
              </w:rPr>
            </w:pPr>
            <w:r>
              <w:rPr>
                <w:rFonts w:ascii="Arial" w:cs="Arial" w:eastAsia="Arial" w:hAnsi="Arial"/>
                <w:sz w:val="14"/>
                <w:szCs w:val="14"/>
                <w:b w:val="1"/>
                <w:bCs w:val="1"/>
                <w:color w:val="auto"/>
              </w:rPr>
              <w:t>Type of Transaction</w:t>
            </w: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Required</w:t>
            </w:r>
          </w:p>
        </w:tc>
      </w:tr>
      <w:tr>
        <w:trPr>
          <w:trHeight w:val="26"/>
        </w:trPr>
        <w:tc>
          <w:tcPr>
            <w:tcW w:w="6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w:t>
            </w:r>
          </w:p>
        </w:tc>
      </w:tr>
      <w:tr>
        <w:trPr>
          <w:trHeight w:val="257"/>
        </w:trPr>
        <w:tc>
          <w:tcPr>
            <w:tcW w:w="6520" w:type="dxa"/>
            <w:vAlign w:val="bottom"/>
          </w:tcPr>
          <w:p>
            <w:pPr>
              <w:spacing w:after="0"/>
              <w:rPr>
                <w:sz w:val="20"/>
                <w:szCs w:val="20"/>
                <w:color w:val="auto"/>
              </w:rPr>
            </w:pPr>
            <w:r>
              <w:rPr>
                <w:rFonts w:ascii="Arial" w:cs="Arial" w:eastAsia="Arial" w:hAnsi="Arial"/>
                <w:sz w:val="18"/>
                <w:szCs w:val="18"/>
                <w:color w:val="auto"/>
              </w:rPr>
              <w:t>Purchase of stock of target not involving a merger with the company</w:t>
            </w:r>
          </w:p>
        </w:tc>
        <w:tc>
          <w:tcPr>
            <w:tcW w:w="220" w:type="dxa"/>
            <w:vAlign w:val="bottom"/>
          </w:tcPr>
          <w:p>
            <w:pPr>
              <w:spacing w:after="0"/>
              <w:rPr>
                <w:sz w:val="22"/>
                <w:szCs w:val="22"/>
                <w:color w:val="auto"/>
              </w:rPr>
            </w:pPr>
          </w:p>
        </w:tc>
        <w:tc>
          <w:tcPr>
            <w:tcW w:w="740" w:type="dxa"/>
            <w:vAlign w:val="bottom"/>
          </w:tcPr>
          <w:p>
            <w:pPr>
              <w:ind w:left="280"/>
              <w:spacing w:after="0"/>
              <w:rPr>
                <w:sz w:val="20"/>
                <w:szCs w:val="20"/>
                <w:color w:val="auto"/>
              </w:rPr>
            </w:pPr>
            <w:r>
              <w:rPr>
                <w:rFonts w:ascii="Arial" w:cs="Arial" w:eastAsia="Arial" w:hAnsi="Arial"/>
                <w:sz w:val="18"/>
                <w:szCs w:val="18"/>
                <w:color w:val="auto"/>
              </w:rPr>
              <w:t>No</w:t>
            </w:r>
          </w:p>
        </w:tc>
      </w:tr>
      <w:tr>
        <w:trPr>
          <w:trHeight w:val="25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Merger of target into a subsidiary of the company</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w:t>
            </w:r>
          </w:p>
        </w:tc>
      </w:tr>
      <w:tr>
        <w:trPr>
          <w:trHeight w:val="257"/>
        </w:trPr>
        <w:tc>
          <w:tcPr>
            <w:tcW w:w="6520" w:type="dxa"/>
            <w:vAlign w:val="bottom"/>
          </w:tcPr>
          <w:p>
            <w:pPr>
              <w:spacing w:after="0"/>
              <w:rPr>
                <w:sz w:val="20"/>
                <w:szCs w:val="20"/>
                <w:color w:val="auto"/>
              </w:rPr>
            </w:pPr>
            <w:r>
              <w:rPr>
                <w:rFonts w:ascii="Arial" w:cs="Arial" w:eastAsia="Arial" w:hAnsi="Arial"/>
                <w:sz w:val="18"/>
                <w:szCs w:val="18"/>
                <w:color w:val="auto"/>
              </w:rPr>
              <w:t>Merger of the company with a target</w:t>
            </w:r>
          </w:p>
        </w:tc>
        <w:tc>
          <w:tcPr>
            <w:tcW w:w="2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-659765</wp:posOffset>
            </wp:positionV>
            <wp:extent cx="137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4" w:lineRule="exact"/>
        <w:rPr>
          <w:sz w:val="20"/>
          <w:szCs w:val="20"/>
          <w:color w:val="auto"/>
        </w:rPr>
      </w:pPr>
    </w:p>
    <w:p>
      <w:pPr>
        <w:ind w:left="1260" w:right="1519" w:firstLine="360"/>
        <w:spacing w:after="0" w:line="277" w:lineRule="auto"/>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62" w:lineRule="exact"/>
        <w:rPr>
          <w:sz w:val="20"/>
          <w:szCs w:val="20"/>
          <w:color w:val="auto"/>
        </w:rPr>
      </w:pPr>
    </w:p>
    <w:p>
      <w:pPr>
        <w:ind w:left="1800" w:right="1119" w:hanging="178"/>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issue shares of common stock that will be equal to or in excess of 20% of the number of our shares of common stock then outstanding (other than in a public offering);</w:t>
      </w:r>
    </w:p>
    <w:p>
      <w:pPr>
        <w:spacing w:after="0" w:line="62" w:lineRule="exact"/>
        <w:rPr>
          <w:rFonts w:ascii="Arial" w:cs="Arial" w:eastAsia="Arial" w:hAnsi="Arial"/>
          <w:sz w:val="18"/>
          <w:szCs w:val="18"/>
          <w:color w:val="auto"/>
        </w:rPr>
      </w:pPr>
    </w:p>
    <w:p>
      <w:pPr>
        <w:ind w:left="1800" w:right="979" w:hanging="178"/>
        <w:spacing w:after="0" w:line="25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of our directors, officers or substantial stockholders (as defined by Nasdaq rules) has a 5% or greater interest earned on the trust account (or such persons collectively have a 10% or greater interest), directly or indirectly, in the target business or assets to be acquired or otherwise and the present or potential issuance of common stock could result in an increase in outstanding common stock or voting power of 5% or more; or</w:t>
      </w:r>
    </w:p>
    <w:p>
      <w:pPr>
        <w:spacing w:after="0" w:line="79"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issuance or potential issuance of common stock will result in our undergoing a change of control.</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16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affiliates may purchase shares or public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in the trust account will be used to purchase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04"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In the event that our sponsor, initial stockholders,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10" w:lineRule="exact"/>
        <w:rPr>
          <w:sz w:val="20"/>
          <w:szCs w:val="20"/>
          <w:color w:val="auto"/>
        </w:rPr>
      </w:pPr>
    </w:p>
    <w:p>
      <w:pPr>
        <w:ind w:left="1260" w:right="839" w:firstLine="360"/>
        <w:spacing w:after="0" w:line="253" w:lineRule="auto"/>
        <w:rPr>
          <w:sz w:val="20"/>
          <w:szCs w:val="20"/>
          <w:color w:val="auto"/>
        </w:rPr>
      </w:pPr>
      <w:r>
        <w:rPr>
          <w:rFonts w:ascii="Arial" w:cs="Arial" w:eastAsia="Arial" w:hAnsi="Arial"/>
          <w:sz w:val="18"/>
          <w:szCs w:val="18"/>
          <w:color w:val="auto"/>
        </w:rPr>
        <w:t>The purpose of any such purchases of shares could be to (i) vote such shares in favor of the business combination and thereby increase the likelihood of obtaining stockholder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may be reduced and the number of beneficial holders of our securities may be reduced, which may make it difficult to maintain or obtain the quotation, listing or trading of our securities on a national securities exchange.</w:t>
      </w:r>
    </w:p>
    <w:p>
      <w:pPr>
        <w:spacing w:after="0" w:line="107" w:lineRule="exact"/>
        <w:rPr>
          <w:sz w:val="20"/>
          <w:szCs w:val="20"/>
          <w:color w:val="auto"/>
        </w:rPr>
      </w:pPr>
    </w:p>
    <w:p>
      <w:pPr>
        <w:ind w:left="1260" w:right="679" w:firstLine="360"/>
        <w:spacing w:after="0" w:line="249" w:lineRule="auto"/>
        <w:rPr>
          <w:sz w:val="20"/>
          <w:szCs w:val="20"/>
          <w:color w:val="auto"/>
        </w:rPr>
      </w:pPr>
      <w:r>
        <w:rPr>
          <w:rFonts w:ascii="Arial" w:cs="Arial" w:eastAsia="Arial" w:hAnsi="Arial"/>
          <w:sz w:val="17"/>
          <w:szCs w:val="17"/>
          <w:color w:val="auto"/>
        </w:rPr>
        <w:t>Our sponsor, initial stockholders, officers, directors and/or their affiliates anticipate that they may identify the stockholders with whom our initial stockholders, officers, directors or their affiliates may pursue privately negotiated purchases by either the stockholders contacting us directly or by our receipt of redemption requests submitted by stockholders (in the case of Class A common stock) following our mailing of proxy materials in connection with our initial business combination. To the extent that our sponsor, officers, directors, advisors or their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but only if such shares have not already been voted at the stockholder meeting related to our initial business combination. Our sponsor, executive officers, directors, advisors or any of their affiliates will select which stockholders to purchase shares from based on a negotiated price and number of shares and any other factors that they may deem relevant, and will only purchase shares if such purchases comply with Regulation M under the Exchange Act and the other federal securities laws. Our sponsor, officers, directors and/or their affiliates will be restricted from making purchases of shares if the purchases would violate Section 9(a)(2) or</w:t>
      </w:r>
    </w:p>
    <w:p>
      <w:pPr>
        <w:spacing w:after="0" w:line="11" w:lineRule="exact"/>
        <w:rPr>
          <w:sz w:val="20"/>
          <w:szCs w:val="20"/>
          <w:color w:val="auto"/>
        </w:rPr>
      </w:pPr>
    </w:p>
    <w:p>
      <w:pPr>
        <w:ind w:left="1260" w:right="759"/>
        <w:spacing w:after="0" w:line="303" w:lineRule="auto"/>
        <w:rPr>
          <w:sz w:val="20"/>
          <w:szCs w:val="20"/>
          <w:color w:val="auto"/>
        </w:rPr>
      </w:pPr>
      <w:r>
        <w:rPr>
          <w:rFonts w:ascii="Arial" w:cs="Arial" w:eastAsia="Arial" w:hAnsi="Arial"/>
          <w:sz w:val="16"/>
          <w:szCs w:val="16"/>
          <w:color w:val="auto"/>
        </w:rPr>
        <w:t>Rule 10b-5 of the Exchange Act. We expect any such purchases will be reported pursuant to Section 13 and Section 16 of the Exchange Act to the extent such purchases are subject to such reporting requirements.</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Redemption Rights for Public Stockholders upon Completion of Our Initial Business Combination</w:t>
      </w:r>
    </w:p>
    <w:p>
      <w:pPr>
        <w:spacing w:after="0" w:line="173"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may hold in connection with the completion of our initial business combination.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Redemptions</w:t>
      </w:r>
    </w:p>
    <w:p>
      <w:pPr>
        <w:spacing w:after="0" w:line="162"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in connection with such initial business combination, and all shares of Class A common stock submitted for redemption will be returned to the holders thereof.</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Manner of Conducting Redemptions</w:t>
      </w:r>
    </w:p>
    <w:p>
      <w:pPr>
        <w:spacing w:after="0" w:line="148"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either (i) in connection with a stockholder meeting called to approve the initial business combination or (ii) without a stockholder vote by means of a tender offer. The decision as to whether we will seek stockholder approval of a proposed initial business combination or conduct a tender offer will be made by us, solely in our discretion, and will be based on a</w:t>
      </w:r>
    </w:p>
    <w:p>
      <w:pPr>
        <w:sectPr>
          <w:pgSz w:w="11900" w:h="16838" w:orient="portrait"/>
          <w:cols w:equalWidth="0" w:num="1">
            <w:col w:w="10139"/>
          </w:cols>
          <w:pgMar w:left="32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4" w:lineRule="auto"/>
        <w:rPr>
          <w:sz w:val="20"/>
          <w:szCs w:val="20"/>
          <w:color w:val="auto"/>
        </w:rPr>
      </w:pPr>
      <w:r>
        <w:rPr>
          <w:rFonts w:ascii="Arial" w:cs="Arial" w:eastAsia="Arial" w:hAnsi="Arial"/>
          <w:sz w:val="18"/>
          <w:szCs w:val="18"/>
          <w:color w:val="auto"/>
        </w:rPr>
        <w:t>variety of factors such as the timing of the transaction and whether the terms of the transaction would require us to seek stockholder approval under applicable law or stock exchange listing requirements.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14"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will be contained in provisions of our amended and restated certificate of incorporation and will apply whether or not we maintain our registration under the Exchange Act or our listing on Nasdaq. Such provisions may be amended if approved by holders of 65% of our common stock entitled to vote thereon.</w:t>
      </w:r>
    </w:p>
    <w:p>
      <w:pPr>
        <w:spacing w:after="0" w:line="120"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If we provide our public stockholders with the opportunity to redeem their public shares in connection with a stockholder meeting, we will:</w:t>
      </w:r>
    </w:p>
    <w:p>
      <w:pPr>
        <w:spacing w:after="0" w:line="62" w:lineRule="exact"/>
        <w:rPr>
          <w:sz w:val="20"/>
          <w:szCs w:val="20"/>
          <w:color w:val="auto"/>
        </w:rPr>
      </w:pPr>
    </w:p>
    <w:p>
      <w:pPr>
        <w:jc w:val="both"/>
        <w:ind w:left="1800" w:right="799" w:hanging="178"/>
        <w:spacing w:after="0" w:line="26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89" w:lineRule="exact"/>
        <w:rPr>
          <w:rFonts w:ascii="Arial" w:cs="Arial" w:eastAsia="Arial" w:hAnsi="Arial"/>
          <w:sz w:val="18"/>
          <w:szCs w:val="18"/>
          <w:color w:val="auto"/>
        </w:rPr>
      </w:pPr>
    </w:p>
    <w:p>
      <w:pPr>
        <w:ind w:left="1800" w:hanging="178"/>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44"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this offering (including in open market and privately-negotiated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and private placement shares, we would need only 3,562,501, or 35.6%, of the 10,000,000 public shares sold in this offering to be voted in favor of an initial business combination (assuming all outstanding shares are voted) in order to have our initial business combination approved (assuming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122"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w:t>
      </w:r>
    </w:p>
    <w:p>
      <w:pPr>
        <w:spacing w:after="0" w:line="62" w:lineRule="exact"/>
        <w:rPr>
          <w:sz w:val="20"/>
          <w:szCs w:val="20"/>
          <w:color w:val="auto"/>
        </w:rPr>
      </w:pPr>
    </w:p>
    <w:p>
      <w:pPr>
        <w:ind w:left="1800" w:right="1039" w:hanging="178"/>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75" w:lineRule="exact"/>
        <w:rPr>
          <w:rFonts w:ascii="Arial" w:cs="Arial" w:eastAsia="Arial" w:hAnsi="Arial"/>
          <w:sz w:val="18"/>
          <w:szCs w:val="18"/>
          <w:color w:val="auto"/>
        </w:rPr>
      </w:pPr>
    </w:p>
    <w:p>
      <w:pPr>
        <w:jc w:val="both"/>
        <w:ind w:left="1800" w:right="719" w:hanging="178"/>
        <w:spacing w:after="0" w:line="259"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06"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48" w:lineRule="auto"/>
        <w:rPr>
          <w:sz w:val="20"/>
          <w:szCs w:val="20"/>
          <w:color w:val="auto"/>
        </w:rPr>
      </w:pPr>
      <w:r>
        <w:rPr>
          <w:rFonts w:ascii="Arial" w:cs="Arial" w:eastAsia="Arial" w:hAnsi="Arial"/>
          <w:sz w:val="18"/>
          <w:szCs w:val="18"/>
          <w:color w:val="auto"/>
        </w:rPr>
        <w:t>shares in an amount that would cause our net tangible assets to be less than $5,000,001. If public stockholders tender more shares than we have offered to purchase, we will withdraw the tender offer and not complete the initial business combination.</w:t>
      </w:r>
    </w:p>
    <w:p>
      <w:pPr>
        <w:spacing w:after="0" w:line="101"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or our sponsor will terminate any plan established in accordance with Rule 10b5- 1 to purchase shares of our Class A common stock in the open market, in order to comply with Rule 14e-5 under the Exchange Act.</w:t>
      </w:r>
    </w:p>
    <w:p>
      <w:pPr>
        <w:spacing w:after="0" w:line="120"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116"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w:t>
      </w:r>
    </w:p>
    <w:p>
      <w:pPr>
        <w:spacing w:after="0" w:line="176" w:lineRule="exact"/>
        <w:rPr>
          <w:sz w:val="20"/>
          <w:szCs w:val="20"/>
          <w:color w:val="auto"/>
        </w:rPr>
      </w:pPr>
    </w:p>
    <w:p>
      <w:pPr>
        <w:ind w:left="1260" w:right="1099"/>
        <w:spacing w:after="0" w:line="266" w:lineRule="auto"/>
        <w:rPr>
          <w:sz w:val="20"/>
          <w:szCs w:val="20"/>
          <w:color w:val="auto"/>
        </w:rPr>
      </w:pPr>
      <w:r>
        <w:rPr>
          <w:rFonts w:ascii="Arial" w:cs="Arial" w:eastAsia="Arial" w:hAnsi="Arial"/>
          <w:sz w:val="18"/>
          <w:szCs w:val="18"/>
          <w:b w:val="1"/>
          <w:bCs w:val="1"/>
          <w:color w:val="auto"/>
        </w:rPr>
        <w:t>Limitation on Redemption Upon Completion of Our Initial Business Combination If We Seek Stockholder Approval</w:t>
      </w:r>
    </w:p>
    <w:p>
      <w:pPr>
        <w:spacing w:after="0" w:line="85"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We believe this restriction will discourage stockholders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if such holder’s shares are not purchased by us, our sponsor or our management at a premium to the then-current market price or on other undesirable terms. By limiting our stockholders’ ability to redeem no more than 20% of the shares sold in this offering without our prior consent,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However, we would not be restricting our stockholders’ ability to vote all of their shares (including Excess Shares) for or against our initial business combination.</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Delivering Stock Certificates in Connection with the Exercise of Redemption Rights</w:t>
      </w:r>
    </w:p>
    <w:p>
      <w:pPr>
        <w:spacing w:after="0" w:line="148"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As described above, 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stockholder fails to comply with these or any other procedures disclosed in the proxy or tender offer materials, as applicable, its shares may not be redeemed. Given the relatively short exercise period, it is advisable for stockholders to use electronic delivery of their public shares.</w:t>
      </w:r>
    </w:p>
    <w:p>
      <w:pPr>
        <w:spacing w:after="0" w:line="112" w:lineRule="exact"/>
        <w:rPr>
          <w:sz w:val="20"/>
          <w:szCs w:val="20"/>
          <w:color w:val="auto"/>
        </w:rPr>
      </w:pPr>
    </w:p>
    <w:p>
      <w:pPr>
        <w:ind w:left="1260" w:right="719" w:firstLine="360"/>
        <w:spacing w:after="0" w:line="239" w:lineRule="auto"/>
        <w:rPr>
          <w:sz w:val="20"/>
          <w:szCs w:val="20"/>
          <w:color w:val="auto"/>
        </w:rPr>
      </w:pPr>
      <w:r>
        <w:rPr>
          <w:rFonts w:ascii="Arial" w:cs="Arial" w:eastAsia="Arial" w:hAnsi="Arial"/>
          <w:sz w:val="18"/>
          <w:szCs w:val="18"/>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123"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Any request to redeem such shares, once made, may be withdrawn at any time up to the date set forth in the proxy materials or tender offer documents,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10"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20" w:lineRule="exact"/>
        <w:rPr>
          <w:sz w:val="20"/>
          <w:szCs w:val="20"/>
          <w:color w:val="auto"/>
        </w:rPr>
      </w:pPr>
    </w:p>
    <w:p>
      <w:pPr>
        <w:ind w:left="1260" w:right="1059" w:firstLine="360"/>
        <w:spacing w:after="0" w:line="248" w:lineRule="auto"/>
        <w:rPr>
          <w:sz w:val="20"/>
          <w:szCs w:val="20"/>
          <w:color w:val="auto"/>
        </w:rPr>
      </w:pPr>
      <w:r>
        <w:rPr>
          <w:rFonts w:ascii="Arial" w:cs="Arial" w:eastAsia="Arial" w:hAnsi="Arial"/>
          <w:sz w:val="18"/>
          <w:szCs w:val="18"/>
          <w:color w:val="auto"/>
        </w:rPr>
        <w:t>If our initial proposed initial business combination is not completed, we may continue to try to complete an initial business combination with a different target until 18 months from the closing of this offering.</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162"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Our amended and restated certificate of incorporation provides that we will have only 18 months from the closing of this offering to complete our initial business combination. If we do not complete our initial business combination within such 18-month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w:t>
      </w:r>
    </w:p>
    <w:p>
      <w:pPr>
        <w:sectPr>
          <w:pgSz w:w="11900" w:h="16838" w:orient="portrait"/>
          <w:cols w:equalWidth="0" w:num="1">
            <w:col w:w="10139"/>
          </w:cols>
          <w:pgMar w:left="320" w:top="131"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39" w:lineRule="auto"/>
        <w:rPr>
          <w:sz w:val="20"/>
          <w:szCs w:val="20"/>
          <w:color w:val="auto"/>
        </w:rPr>
      </w:pPr>
      <w:r>
        <w:rPr>
          <w:rFonts w:ascii="Arial" w:cs="Arial" w:eastAsia="Arial" w:hAnsi="Arial"/>
          <w:sz w:val="18"/>
          <w:szCs w:val="18"/>
          <w:color w:val="auto"/>
        </w:rPr>
        <w:t>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18-month time period.</w:t>
      </w:r>
    </w:p>
    <w:p>
      <w:pPr>
        <w:spacing w:after="0" w:line="110" w:lineRule="exact"/>
        <w:rPr>
          <w:sz w:val="20"/>
          <w:szCs w:val="20"/>
          <w:color w:val="auto"/>
        </w:rPr>
      </w:pPr>
    </w:p>
    <w:p>
      <w:pPr>
        <w:ind w:left="1260" w:right="959" w:firstLine="360"/>
        <w:spacing w:after="0" w:line="255" w:lineRule="auto"/>
        <w:rPr>
          <w:sz w:val="20"/>
          <w:szCs w:val="20"/>
          <w:color w:val="auto"/>
        </w:rPr>
      </w:pPr>
      <w:r>
        <w:rPr>
          <w:rFonts w:ascii="Arial" w:cs="Arial" w:eastAsia="Arial" w:hAnsi="Arial"/>
          <w:sz w:val="17"/>
          <w:szCs w:val="17"/>
          <w:color w:val="auto"/>
        </w:rPr>
        <w:t>Our initial stockholders, sponsor, officers and directors have entered into a letter agreement with us, pursuant to which they have waived their rights to liquidating distributions from the trust account with respect to any founder shares they hold if we fail to complete our initial business combination within</w:t>
      </w:r>
    </w:p>
    <w:p>
      <w:pPr>
        <w:ind w:left="1260" w:right="739"/>
        <w:spacing w:after="0" w:line="238" w:lineRule="auto"/>
        <w:rPr>
          <w:sz w:val="20"/>
          <w:szCs w:val="20"/>
          <w:color w:val="auto"/>
        </w:rPr>
      </w:pPr>
      <w:r>
        <w:rPr>
          <w:rFonts w:ascii="Arial" w:cs="Arial" w:eastAsia="Arial" w:hAnsi="Arial"/>
          <w:sz w:val="18"/>
          <w:szCs w:val="18"/>
          <w:color w:val="auto"/>
        </w:rPr>
        <w:t>18 months from the closing of this offering. However, if our initial stockholders, sponsor or management team acquire public shares in or after this offering, they will be entitled to liquidating distributions from the trust account with respect to such public shares if we fail to complete our initial business combination within the allotted 18-month time period.</w:t>
      </w:r>
    </w:p>
    <w:p>
      <w:pPr>
        <w:spacing w:after="0" w:line="121"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Our initial stockholders, sponsor, officers and directors have agreed, pursuant to a letter agreement with us, that they will not propose any amendment to our amended and restated certificate of incorporation to modify the substance or timing of our obligation to redeem 100% of our public shares if we do not complete our initial business combination within 18 months from the closing of this offering or with respect to any other material provisions relating to stockholders’ rights or pre-initial business combination activity, unless we provide our public stockholders with the opportunity to redeem their public shares upon approval of any such amendment at a per-share price, payable in cash, equal to the aggregate amount then on deposit in the trust account, including interest earned on the funds held in the trust account (net of permitted withdrawals), divided by the number of then outstanding public shares. However, we may not redeem our public shares in an amount that would cause our 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113"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10"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units, other than the proceeds deposited in the trust account, and without taking into account interest, if any, earned on the trust account and any tax payments or expenses for the dissolution of the trust, the per-share redemption amount received by stockholders upon our dissolution would be approximately $10.00.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26"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7"/>
          <w:szCs w:val="17"/>
          <w:color w:val="auto"/>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0" w:lineRule="auto"/>
        <w:rPr>
          <w:sz w:val="20"/>
          <w:szCs w:val="20"/>
          <w:color w:val="auto"/>
        </w:rPr>
      </w:pPr>
      <w:r>
        <w:rPr>
          <w:rFonts w:ascii="Arial" w:cs="Arial" w:eastAsia="Arial" w:hAnsi="Arial"/>
          <w:sz w:val="17"/>
          <w:szCs w:val="17"/>
          <w:color w:val="auto"/>
        </w:rPr>
        <w:t>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of this offering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00"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spacing w:after="0" w:line="128"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$1,000,000 from the proceeds of this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59"/>
        <w:spacing w:after="0" w:line="261" w:lineRule="auto"/>
        <w:rPr>
          <w:sz w:val="20"/>
          <w:szCs w:val="20"/>
          <w:color w:val="auto"/>
        </w:rPr>
      </w:pPr>
      <w:r>
        <w:rPr>
          <w:rFonts w:ascii="Arial" w:cs="Arial" w:eastAsia="Arial" w:hAnsi="Arial"/>
          <w:sz w:val="18"/>
          <w:szCs w:val="18"/>
          <w:color w:val="auto"/>
        </w:rPr>
        <w:t>less than our estimate of $1,000,000, the amount of funds we intend to be held outside the trust account would increase by a corresponding amount.</w:t>
      </w:r>
    </w:p>
    <w:p>
      <w:pPr>
        <w:spacing w:after="0" w:line="90"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the funds in our trust account distributed to our public stockholders upon the redemption of our public shares in the event we do not complete our initial business combination within 18 months from the closing of this offering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16"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Furthermore, if the pro rata portion of the funds in our trust account distributed to our public stockholders upon the redemption of our public shares in the event we do not complete our initial business combination within 18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do not complete our initial business combination within 18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18th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328" w:lineRule="exact"/>
        <w:rPr>
          <w:sz w:val="20"/>
          <w:szCs w:val="20"/>
          <w:color w:val="auto"/>
        </w:rPr>
      </w:pPr>
    </w:p>
    <w:p>
      <w:pPr>
        <w:ind w:left="1260" w:right="679" w:firstLine="360"/>
        <w:spacing w:after="0" w:line="236" w:lineRule="auto"/>
        <w:rPr>
          <w:sz w:val="20"/>
          <w:szCs w:val="20"/>
          <w:color w:val="auto"/>
        </w:rPr>
      </w:pPr>
      <w:r>
        <w:rPr>
          <w:rFonts w:ascii="Arial" w:cs="Arial" w:eastAsia="Arial" w:hAnsi="Arial"/>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1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Our public stockholders will be entitled to receive funds from the trust account only (i) in the event of the redemption of our public shares if we do not complete our initial business combination within 18 months from the closing of this offering, (ii) in connection with a stockholder vote to amend our amended and restated certificate of incorporation to modify the substance or timing of our obligation to redeem 100% of our public shares if we do not complete our initial business combination within 18 months from the closing of this offering or with respect to any other material provisions relating to stockholders’ rights or pre-initial business combination activity or (iii) if they redeem their respective shares for cash upon the completion of our initial business combination. In no other circumstances will a stockholder have any right or interest of any kind to or in the trust account. In the event we seek stockholder approval in connection with our initial business combination, a stockholder’s voting in connection with the business combination alone will not result in a stockholder’s redeeming its shares to us for an applicable pro rata share of the trust account. Such stockholder must have also exercised its redemption rights described above. These provisions of our amended and restated certificate of incorporation, like all provisions of our amended and restated certificate of incorporation, may be amended with a stockholder vote.</w:t>
      </w:r>
    </w:p>
    <w:p>
      <w:pPr>
        <w:spacing w:after="0" w:line="117"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Comparison of Redemption or Purchase Prices in Connection with Our Initial Business Combination and if We Fail to Complete Our Initial Business Combination.</w:t>
      </w:r>
    </w:p>
    <w:p>
      <w:pPr>
        <w:spacing w:after="0" w:line="103" w:lineRule="exact"/>
        <w:rPr>
          <w:sz w:val="20"/>
          <w:szCs w:val="20"/>
          <w:color w:val="auto"/>
        </w:rPr>
      </w:pPr>
    </w:p>
    <w:p>
      <w:pPr>
        <w:jc w:val="both"/>
        <w:ind w:left="1260" w:right="739" w:firstLine="360"/>
        <w:spacing w:after="0" w:line="263"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do not complete our initial business combination within 18 months from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Arial" w:cs="Arial" w:eastAsia="Arial" w:hAnsi="Arial"/>
          <w:sz w:val="14"/>
          <w:szCs w:val="14"/>
          <w:b w:val="1"/>
          <w:bCs w:val="1"/>
          <w:color w:val="auto"/>
        </w:rPr>
        <w:t>Redemptions in Connection</w:t>
      </w:r>
    </w:p>
    <w:p>
      <w:pPr>
        <w:spacing w:after="0" w:line="17" w:lineRule="exact"/>
        <w:rPr>
          <w:sz w:val="20"/>
          <w:szCs w:val="20"/>
          <w:color w:val="auto"/>
        </w:rPr>
      </w:pPr>
    </w:p>
    <w:p>
      <w:pPr>
        <w:ind w:left="3580"/>
        <w:spacing w:after="0"/>
        <w:tabs>
          <w:tab w:leader="none" w:pos="5500" w:val="left"/>
        </w:tabs>
        <w:rPr>
          <w:sz w:val="20"/>
          <w:szCs w:val="20"/>
          <w:color w:val="auto"/>
        </w:rPr>
      </w:pPr>
      <w:r>
        <w:rPr>
          <w:rFonts w:ascii="Arial" w:cs="Arial" w:eastAsia="Arial" w:hAnsi="Arial"/>
          <w:sz w:val="14"/>
          <w:szCs w:val="14"/>
          <w:b w:val="1"/>
          <w:bCs w:val="1"/>
          <w:color w:val="auto"/>
        </w:rPr>
        <w:t>with our Initial Business</w:t>
      </w:r>
      <w:r>
        <w:rPr>
          <w:sz w:val="20"/>
          <w:szCs w:val="20"/>
          <w:color w:val="auto"/>
        </w:rPr>
        <w:tab/>
      </w:r>
      <w:r>
        <w:rPr>
          <w:rFonts w:ascii="Arial" w:cs="Arial" w:eastAsia="Arial" w:hAnsi="Arial"/>
          <w:sz w:val="12"/>
          <w:szCs w:val="12"/>
          <w:b w:val="1"/>
          <w:bCs w:val="1"/>
          <w:color w:val="auto"/>
        </w:rPr>
        <w:t>Other Permitted Purchases of</w:t>
      </w:r>
    </w:p>
    <w:p>
      <w:pPr>
        <w:spacing w:after="0" w:line="1" w:lineRule="exact"/>
        <w:rPr>
          <w:sz w:val="20"/>
          <w:szCs w:val="20"/>
          <w:color w:val="auto"/>
        </w:rPr>
      </w:pPr>
    </w:p>
    <w:p>
      <w:pPr>
        <w:jc w:val="both"/>
        <w:ind w:left="3920"/>
        <w:spacing w:after="0"/>
        <w:tabs>
          <w:tab w:leader="none" w:pos="5500" w:val="left"/>
        </w:tabs>
        <w:rPr>
          <w:sz w:val="20"/>
          <w:szCs w:val="20"/>
          <w:color w:val="auto"/>
        </w:rPr>
      </w:pPr>
      <w:r>
        <w:rPr>
          <w:rFonts w:ascii="Arial" w:cs="Arial" w:eastAsia="Arial" w:hAnsi="Arial"/>
          <w:sz w:val="14"/>
          <w:szCs w:val="14"/>
          <w:b w:val="1"/>
          <w:bCs w:val="1"/>
          <w:color w:val="auto"/>
        </w:rPr>
        <w:t>Combination</w:t>
      </w:r>
      <w:r>
        <w:rPr>
          <w:sz w:val="20"/>
          <w:szCs w:val="20"/>
          <w:color w:val="auto"/>
        </w:rPr>
        <w:tab/>
      </w:r>
      <w:r>
        <w:rPr>
          <w:rFonts w:ascii="Arial" w:cs="Arial" w:eastAsia="Arial" w:hAnsi="Arial"/>
          <w:sz w:val="14"/>
          <w:szCs w:val="14"/>
          <w:b w:val="1"/>
          <w:bCs w:val="1"/>
          <w:color w:val="auto"/>
        </w:rPr>
        <w:t>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22225</wp:posOffset>
            </wp:positionV>
            <wp:extent cx="25374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9"/>
        <w:spacing w:after="0" w:line="260"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7620</wp:posOffset>
            </wp:positionV>
            <wp:extent cx="12001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7320" w:space="340"/>
            <w:col w:w="2479"/>
          </w:cols>
          <w:pgMar w:left="320" w:top="131" w:right="1440" w:bottom="1440" w:gutter="0" w:footer="0" w:header="0"/>
        </w:sectPr>
      </w:pPr>
    </w:p>
    <w:p>
      <w:pPr>
        <w:ind w:left="1260"/>
        <w:spacing w:after="0"/>
        <w:tabs>
          <w:tab w:leader="none" w:pos="3340" w:val="left"/>
        </w:tabs>
        <w:rPr>
          <w:sz w:val="20"/>
          <w:szCs w:val="20"/>
          <w:color w:val="auto"/>
        </w:rPr>
      </w:pPr>
      <w:r>
        <w:rPr>
          <w:rFonts w:ascii="Arial" w:cs="Arial" w:eastAsia="Arial" w:hAnsi="Arial"/>
          <w:sz w:val="18"/>
          <w:szCs w:val="18"/>
          <w:color w:val="auto"/>
        </w:rPr>
        <w:t>Calculation of</w:t>
      </w:r>
      <w:r>
        <w:rPr>
          <w:sz w:val="20"/>
          <w:szCs w:val="20"/>
          <w:color w:val="auto"/>
        </w:rPr>
        <w:tab/>
      </w:r>
      <w:r>
        <w:rPr>
          <w:rFonts w:ascii="Arial" w:cs="Arial" w:eastAsia="Arial" w:hAnsi="Arial"/>
          <w:sz w:val="16"/>
          <w:szCs w:val="16"/>
          <w:color w:val="auto"/>
        </w:rPr>
        <w:t>Redemptions at the time</w:t>
      </w:r>
    </w:p>
    <w:p>
      <w:pPr>
        <w:spacing w:after="0" w:line="23" w:lineRule="exact"/>
        <w:rPr>
          <w:sz w:val="20"/>
          <w:szCs w:val="20"/>
          <w:color w:val="auto"/>
        </w:rPr>
      </w:pPr>
    </w:p>
    <w:p>
      <w:pPr>
        <w:ind w:left="1480"/>
        <w:spacing w:after="0"/>
        <w:tabs>
          <w:tab w:leader="none" w:pos="3340" w:val="left"/>
        </w:tabs>
        <w:rPr>
          <w:sz w:val="20"/>
          <w:szCs w:val="20"/>
          <w:color w:val="auto"/>
        </w:rPr>
      </w:pPr>
      <w:r>
        <w:rPr>
          <w:rFonts w:ascii="Arial" w:cs="Arial" w:eastAsia="Arial" w:hAnsi="Arial"/>
          <w:sz w:val="18"/>
          <w:szCs w:val="18"/>
          <w:color w:val="auto"/>
        </w:rPr>
        <w:t>redemption price</w:t>
      </w:r>
      <w:r>
        <w:rPr>
          <w:sz w:val="20"/>
          <w:szCs w:val="20"/>
          <w:color w:val="auto"/>
        </w:rPr>
        <w:tab/>
      </w:r>
      <w:r>
        <w:rPr>
          <w:rFonts w:ascii="Arial" w:cs="Arial" w:eastAsia="Arial" w:hAnsi="Arial"/>
          <w:sz w:val="17"/>
          <w:szCs w:val="17"/>
          <w:color w:val="auto"/>
        </w:rPr>
        <w:t>of our initial business</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combination may be</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made pursuant to a</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tender offer or in</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connection with a</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stockholder vote. The</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redemption price will be</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the same whether we</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conduct redemptions</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pursuant to a tender</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offer or in connection</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with a stockholder vote.</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In either case, our public</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stockholders may</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redeem their public</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shares for cash equal to</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the aggregate amount</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then on deposit in the</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trust account calculated</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as of two business days</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prior to the</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consummation of the</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initial business</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combination (which is</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initially anticipated to</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be $10.00 per share),</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including interest earned</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on the funds held in the</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trust account (net of</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permitted withdrawals),</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divided by the number</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of then outstanding</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public shares, subject to</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the limitation that no</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redemptions will take</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place if all of the</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redemptions would</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cause our net tangible</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assets to be less than</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$5,000,001.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Arial" w:cs="Arial" w:eastAsia="Arial" w:hAnsi="Arial"/>
          <w:sz w:val="18"/>
          <w:szCs w:val="18"/>
          <w:color w:val="auto"/>
        </w:rPr>
        <w:t>If we seek stockholder approval of our initial business combination, our initial stockholders, directors, officers, advisors or their affiliates may purchase shares in privately negotiated transactions or in the open market either prior to or following completion of our initial business combination. There is no limit to the prices that our initial stockholders, directors, officers, advisors or their affiliates may pay in these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20" w:lineRule="exact"/>
        <w:rPr>
          <w:sz w:val="20"/>
          <w:szCs w:val="20"/>
          <w:color w:val="auto"/>
        </w:rPr>
      </w:pPr>
      <w:r>
        <w:rPr>
          <w:sz w:val="20"/>
          <w:szCs w:val="20"/>
          <w:color w:val="auto"/>
        </w:rPr>
        <w:br w:type="column"/>
      </w:r>
    </w:p>
    <w:p>
      <w:pPr>
        <w:ind w:right="899"/>
        <w:spacing w:after="0" w:line="271" w:lineRule="auto"/>
        <w:rPr>
          <w:sz w:val="20"/>
          <w:szCs w:val="20"/>
          <w:color w:val="auto"/>
        </w:rPr>
      </w:pPr>
      <w:r>
        <w:rPr>
          <w:rFonts w:ascii="Arial" w:cs="Arial" w:eastAsia="Arial" w:hAnsi="Arial"/>
          <w:sz w:val="17"/>
          <w:szCs w:val="17"/>
          <w:color w:val="auto"/>
        </w:rPr>
        <w:t>If we do not complete our initial business combination within</w:t>
      </w:r>
    </w:p>
    <w:p>
      <w:pPr>
        <w:ind w:right="699"/>
        <w:spacing w:after="0" w:line="266" w:lineRule="auto"/>
        <w:rPr>
          <w:sz w:val="20"/>
          <w:szCs w:val="20"/>
          <w:color w:val="auto"/>
        </w:rPr>
      </w:pPr>
      <w:r>
        <w:rPr>
          <w:rFonts w:ascii="Arial" w:cs="Arial" w:eastAsia="Arial" w:hAnsi="Arial"/>
          <w:sz w:val="17"/>
          <w:szCs w:val="17"/>
          <w:color w:val="auto"/>
        </w:rPr>
        <w:t>18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(net of permitted withdrawals and up to $100,000 of interest to pay dissolution expenses), divided by the number of then outstanding public shares.</w:t>
      </w:r>
    </w:p>
    <w:p>
      <w:pPr>
        <w:sectPr>
          <w:pgSz w:w="11900" w:h="16838" w:orient="portrait"/>
          <w:cols w:equalWidth="0" w:num="3">
            <w:col w:w="5440" w:space="40"/>
            <w:col w:w="1880" w:space="220"/>
            <w:col w:w="2559"/>
          </w:cols>
          <w:pgMar w:left="320" w:top="131" w:right="1440"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8"/>
              </w:rPr>
              <w:t>Redemptions in Connection</w:t>
            </w:r>
          </w:p>
        </w:tc>
      </w:tr>
      <w:tr>
        <w:trPr>
          <w:trHeight w:val="162"/>
        </w:trPr>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9"/>
              </w:rPr>
              <w:t>with our Initial Business</w:t>
            </w:r>
          </w:p>
        </w:tc>
      </w:tr>
      <w:tr>
        <w:trPr>
          <w:trHeight w:val="186"/>
        </w:trPr>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Combination</w:t>
            </w:r>
          </w:p>
        </w:tc>
      </w:tr>
      <w:tr>
        <w:trPr>
          <w:trHeight w:val="26"/>
        </w:trPr>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2"/>
        </w:trPr>
        <w:tc>
          <w:tcPr>
            <w:tcW w:w="1820" w:type="dxa"/>
            <w:vAlign w:val="bottom"/>
          </w:tcPr>
          <w:p>
            <w:pPr>
              <w:spacing w:after="0"/>
              <w:rPr>
                <w:sz w:val="20"/>
                <w:szCs w:val="20"/>
                <w:color w:val="auto"/>
              </w:rPr>
            </w:pPr>
            <w:r>
              <w:rPr>
                <w:rFonts w:ascii="Arial" w:cs="Arial" w:eastAsia="Arial" w:hAnsi="Arial"/>
                <w:sz w:val="18"/>
                <w:szCs w:val="18"/>
                <w:color w:val="auto"/>
              </w:rPr>
              <w:t>Impact to remaining</w:t>
            </w: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rPr>
              <w:t>The redemptions in</w:t>
            </w:r>
          </w:p>
        </w:tc>
      </w:tr>
      <w:tr>
        <w:trPr>
          <w:trHeight w:val="216"/>
        </w:trPr>
        <w:tc>
          <w:tcPr>
            <w:tcW w:w="1820" w:type="dxa"/>
            <w:vAlign w:val="bottom"/>
          </w:tcPr>
          <w:p>
            <w:pPr>
              <w:ind w:left="220"/>
              <w:spacing w:after="0"/>
              <w:rPr>
                <w:sz w:val="20"/>
                <w:szCs w:val="20"/>
                <w:color w:val="auto"/>
              </w:rPr>
            </w:pPr>
            <w:r>
              <w:rPr>
                <w:rFonts w:ascii="Arial" w:cs="Arial" w:eastAsia="Arial" w:hAnsi="Arial"/>
                <w:sz w:val="18"/>
                <w:szCs w:val="18"/>
                <w:color w:val="auto"/>
              </w:rPr>
              <w:t>stockholders</w:t>
            </w: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rPr>
              <w:t>connection with our</w:t>
            </w:r>
          </w:p>
        </w:tc>
      </w:tr>
      <w:tr>
        <w:trPr>
          <w:trHeight w:val="216"/>
        </w:trPr>
        <w:tc>
          <w:tcPr>
            <w:tcW w:w="18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rPr>
              <w:t>initial business</w:t>
            </w:r>
          </w:p>
        </w:tc>
      </w:tr>
      <w:tr>
        <w:trPr>
          <w:trHeight w:val="216"/>
        </w:trPr>
        <w:tc>
          <w:tcPr>
            <w:tcW w:w="18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rPr>
              <w:t>combination will reduce</w:t>
            </w:r>
          </w:p>
        </w:tc>
      </w:tr>
      <w:tr>
        <w:trPr>
          <w:trHeight w:val="216"/>
        </w:trPr>
        <w:tc>
          <w:tcPr>
            <w:tcW w:w="18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w w:val="94"/>
              </w:rPr>
              <w:t>the book value per share</w:t>
            </w:r>
          </w:p>
        </w:tc>
      </w:tr>
      <w:tr>
        <w:trPr>
          <w:trHeight w:val="216"/>
        </w:trPr>
        <w:tc>
          <w:tcPr>
            <w:tcW w:w="18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rPr>
              <w:t>for our remaining</w:t>
            </w:r>
          </w:p>
        </w:tc>
      </w:tr>
      <w:tr>
        <w:trPr>
          <w:trHeight w:val="216"/>
        </w:trPr>
        <w:tc>
          <w:tcPr>
            <w:tcW w:w="18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rPr>
              <w:t>stockholders, who will</w:t>
            </w:r>
          </w:p>
        </w:tc>
      </w:tr>
      <w:tr>
        <w:trPr>
          <w:trHeight w:val="216"/>
        </w:trPr>
        <w:tc>
          <w:tcPr>
            <w:tcW w:w="18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rPr>
              <w:t>bear the burden of the</w:t>
            </w:r>
          </w:p>
        </w:tc>
      </w:tr>
      <w:tr>
        <w:trPr>
          <w:trHeight w:val="216"/>
        </w:trPr>
        <w:tc>
          <w:tcPr>
            <w:tcW w:w="18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rPr>
              <w:t>deferred underwriting</w:t>
            </w:r>
          </w:p>
        </w:tc>
      </w:tr>
      <w:tr>
        <w:trPr>
          <w:trHeight w:val="216"/>
        </w:trPr>
        <w:tc>
          <w:tcPr>
            <w:tcW w:w="18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rPr>
              <w:t>commissions and</w:t>
            </w:r>
          </w:p>
        </w:tc>
      </w:tr>
      <w:tr>
        <w:trPr>
          <w:trHeight w:val="216"/>
        </w:trPr>
        <w:tc>
          <w:tcPr>
            <w:tcW w:w="18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rPr>
              <w:t>interest withdrawn in</w:t>
            </w:r>
          </w:p>
        </w:tc>
      </w:tr>
      <w:tr>
        <w:trPr>
          <w:trHeight w:val="216"/>
        </w:trPr>
        <w:tc>
          <w:tcPr>
            <w:tcW w:w="18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rPr>
              <w:t>order to pay our taxes</w:t>
            </w:r>
          </w:p>
        </w:tc>
      </w:tr>
      <w:tr>
        <w:trPr>
          <w:trHeight w:val="216"/>
        </w:trPr>
        <w:tc>
          <w:tcPr>
            <w:tcW w:w="18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rPr>
              <w:t>(to the extent not paid</w:t>
            </w:r>
          </w:p>
        </w:tc>
      </w:tr>
      <w:tr>
        <w:trPr>
          <w:trHeight w:val="216"/>
        </w:trPr>
        <w:tc>
          <w:tcPr>
            <w:tcW w:w="18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w w:val="92"/>
              </w:rPr>
              <w:t>from amounts accrued as</w:t>
            </w:r>
          </w:p>
        </w:tc>
      </w:tr>
      <w:tr>
        <w:trPr>
          <w:trHeight w:val="216"/>
        </w:trPr>
        <w:tc>
          <w:tcPr>
            <w:tcW w:w="18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rPr>
              <w:t>interest on the funds</w:t>
            </w:r>
          </w:p>
        </w:tc>
      </w:tr>
      <w:tr>
        <w:trPr>
          <w:trHeight w:val="216"/>
        </w:trPr>
        <w:tc>
          <w:tcPr>
            <w:tcW w:w="18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rPr>
              <w:t>held in the trust</w:t>
            </w:r>
          </w:p>
        </w:tc>
      </w:tr>
      <w:tr>
        <w:trPr>
          <w:trHeight w:val="230"/>
        </w:trPr>
        <w:tc>
          <w:tcPr>
            <w:tcW w:w="1820" w:type="dxa"/>
            <w:vAlign w:val="bottom"/>
          </w:tcPr>
          <w:p>
            <w:pPr>
              <w:spacing w:after="0"/>
              <w:rPr>
                <w:sz w:val="20"/>
                <w:szCs w:val="20"/>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color w:val="auto"/>
              </w:rPr>
              <w:t>account).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20"/>
        <w:spacing w:after="0" w:line="347" w:lineRule="auto"/>
        <w:rPr>
          <w:sz w:val="20"/>
          <w:szCs w:val="20"/>
          <w:color w:val="auto"/>
        </w:rPr>
      </w:pPr>
      <w:r>
        <w:rPr>
          <w:rFonts w:ascii="Arial" w:cs="Arial" w:eastAsia="Arial" w:hAnsi="Arial"/>
          <w:sz w:val="12"/>
          <w:szCs w:val="12"/>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12001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71" w:lineRule="auto"/>
        <w:rPr>
          <w:sz w:val="20"/>
          <w:szCs w:val="20"/>
          <w:color w:val="auto"/>
        </w:rPr>
      </w:pPr>
      <w:r>
        <w:rPr>
          <w:rFonts w:ascii="Arial" w:cs="Arial" w:eastAsia="Arial" w:hAnsi="Arial"/>
          <w:sz w:val="17"/>
          <w:szCs w:val="17"/>
          <w:color w:val="auto"/>
        </w:rPr>
        <w:t>If the permitted purchases described above are made, there would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80" w:right="719"/>
        <w:spacing w:after="0" w:line="260"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12001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9" w:lineRule="exact"/>
        <w:rPr>
          <w:sz w:val="20"/>
          <w:szCs w:val="20"/>
          <w:color w:val="auto"/>
        </w:rPr>
      </w:pPr>
    </w:p>
    <w:p>
      <w:pPr>
        <w:ind w:right="699"/>
        <w:spacing w:after="0" w:line="269" w:lineRule="auto"/>
        <w:rPr>
          <w:sz w:val="20"/>
          <w:szCs w:val="20"/>
          <w:color w:val="auto"/>
        </w:rPr>
      </w:pPr>
      <w:r>
        <w:rPr>
          <w:rFonts w:ascii="Arial" w:cs="Arial" w:eastAsia="Arial" w:hAnsi="Arial"/>
          <w:sz w:val="17"/>
          <w:szCs w:val="17"/>
          <w:color w:val="auto"/>
        </w:rPr>
        <w:t>The redemption of our public shares if we fail to complete our initial business combination will reduce the book value per share for the shares held by our initial stockholders, who will be our only remaining stockholders after such redemptions.</w:t>
      </w:r>
    </w:p>
    <w:p>
      <w:pPr>
        <w:spacing w:after="0" w:line="1476" w:lineRule="exact"/>
        <w:rPr>
          <w:sz w:val="20"/>
          <w:szCs w:val="20"/>
          <w:color w:val="auto"/>
        </w:rPr>
      </w:pPr>
    </w:p>
    <w:p>
      <w:pPr>
        <w:sectPr>
          <w:pgSz w:w="11900" w:h="16838" w:orient="portrait"/>
          <w:cols w:equalWidth="0" w:num="3">
            <w:col w:w="5260" w:space="220"/>
            <w:col w:w="1860" w:space="240"/>
            <w:col w:w="2559"/>
          </w:cols>
          <w:pgMar w:left="320" w:top="131" w:right="1440" w:bottom="1440" w:gutter="0" w:footer="0" w:header="0"/>
        </w:sectPr>
      </w:pPr>
    </w:p>
    <w:p>
      <w:pPr>
        <w:spacing w:after="0" w:line="2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62" w:lineRule="exact"/>
        <w:rPr>
          <w:sz w:val="20"/>
          <w:szCs w:val="20"/>
          <w:color w:val="auto"/>
        </w:rPr>
      </w:pPr>
    </w:p>
    <w:p>
      <w:pPr>
        <w:ind w:left="1260" w:right="999" w:firstLine="360"/>
        <w:spacing w:after="0" w:line="257"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0139"/>
          </w:cols>
          <w:pgMar w:left="320" w:top="131" w:right="1440" w:bottom="1440" w:gutter="0" w:footer="0" w:header="0"/>
          <w:type w:val="continuous"/>
        </w:sectPr>
      </w:pP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ind w:left="620"/>
              <w:spacing w:after="0"/>
              <w:rPr>
                <w:sz w:val="20"/>
                <w:szCs w:val="20"/>
                <w:color w:val="auto"/>
              </w:rPr>
            </w:pPr>
            <w:r>
              <w:rPr>
                <w:rFonts w:ascii="Arial" w:cs="Arial" w:eastAsia="Arial" w:hAnsi="Arial"/>
                <w:sz w:val="14"/>
                <w:szCs w:val="14"/>
                <w:b w:val="1"/>
                <w:bCs w:val="1"/>
                <w:color w:val="auto"/>
              </w:rPr>
              <w:t>Terms of Our Offering</w:t>
            </w:r>
          </w:p>
        </w:tc>
      </w:tr>
      <w:tr>
        <w:trPr>
          <w:trHeight w:val="25"/>
        </w:trPr>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22"/>
        </w:trPr>
        <w:tc>
          <w:tcPr>
            <w:tcW w:w="2480" w:type="dxa"/>
            <w:vAlign w:val="bottom"/>
          </w:tcPr>
          <w:p>
            <w:pPr>
              <w:spacing w:after="0"/>
              <w:rPr>
                <w:sz w:val="20"/>
                <w:szCs w:val="20"/>
                <w:color w:val="auto"/>
              </w:rPr>
            </w:pPr>
            <w:r>
              <w:rPr>
                <w:rFonts w:ascii="Arial" w:cs="Arial" w:eastAsia="Arial" w:hAnsi="Arial"/>
                <w:sz w:val="18"/>
                <w:szCs w:val="18"/>
                <w:color w:val="auto"/>
              </w:rPr>
              <w:t>Escrow of offering proceeds</w:t>
            </w:r>
          </w:p>
        </w:tc>
        <w:tc>
          <w:tcPr>
            <w:tcW w:w="2920" w:type="dxa"/>
            <w:vAlign w:val="bottom"/>
            <w:gridSpan w:val="2"/>
          </w:tcPr>
          <w:p>
            <w:pPr>
              <w:ind w:left="320"/>
              <w:spacing w:after="0"/>
              <w:rPr>
                <w:sz w:val="20"/>
                <w:szCs w:val="20"/>
                <w:color w:val="auto"/>
              </w:rPr>
            </w:pPr>
            <w:r>
              <w:rPr>
                <w:rFonts w:ascii="Arial" w:cs="Arial" w:eastAsia="Arial" w:hAnsi="Arial"/>
                <w:sz w:val="18"/>
                <w:szCs w:val="18"/>
                <w:color w:val="auto"/>
                <w:w w:val="95"/>
              </w:rPr>
              <w:t>$100,000,000 of the net proceeds</w:t>
            </w:r>
          </w:p>
        </w:tc>
      </w:tr>
      <w:tr>
        <w:trPr>
          <w:trHeight w:val="216"/>
        </w:trPr>
        <w:tc>
          <w:tcPr>
            <w:tcW w:w="2480" w:type="dxa"/>
            <w:vAlign w:val="bottom"/>
          </w:tcPr>
          <w:p>
            <w:pPr>
              <w:spacing w:after="0"/>
              <w:rPr>
                <w:sz w:val="18"/>
                <w:szCs w:val="18"/>
                <w:color w:val="auto"/>
              </w:rPr>
            </w:pPr>
          </w:p>
        </w:tc>
        <w:tc>
          <w:tcPr>
            <w:tcW w:w="2920" w:type="dxa"/>
            <w:vAlign w:val="bottom"/>
            <w:gridSpan w:val="2"/>
          </w:tcPr>
          <w:p>
            <w:pPr>
              <w:ind w:left="320"/>
              <w:spacing w:after="0"/>
              <w:rPr>
                <w:sz w:val="20"/>
                <w:szCs w:val="20"/>
                <w:color w:val="auto"/>
              </w:rPr>
            </w:pPr>
            <w:r>
              <w:rPr>
                <w:rFonts w:ascii="Arial" w:cs="Arial" w:eastAsia="Arial" w:hAnsi="Arial"/>
                <w:sz w:val="18"/>
                <w:szCs w:val="18"/>
                <w:color w:val="auto"/>
                <w:w w:val="96"/>
              </w:rPr>
              <w:t>of this offering and the sale of the</w:t>
            </w:r>
          </w:p>
        </w:tc>
      </w:tr>
      <w:tr>
        <w:trPr>
          <w:trHeight w:val="216"/>
        </w:trPr>
        <w:tc>
          <w:tcPr>
            <w:tcW w:w="2480" w:type="dxa"/>
            <w:vAlign w:val="bottom"/>
          </w:tcPr>
          <w:p>
            <w:pPr>
              <w:spacing w:after="0"/>
              <w:rPr>
                <w:sz w:val="18"/>
                <w:szCs w:val="18"/>
                <w:color w:val="auto"/>
              </w:rPr>
            </w:pPr>
          </w:p>
        </w:tc>
        <w:tc>
          <w:tcPr>
            <w:tcW w:w="2920" w:type="dxa"/>
            <w:vAlign w:val="bottom"/>
            <w:gridSpan w:val="2"/>
          </w:tcPr>
          <w:p>
            <w:pPr>
              <w:ind w:left="320"/>
              <w:spacing w:after="0"/>
              <w:rPr>
                <w:sz w:val="20"/>
                <w:szCs w:val="20"/>
                <w:color w:val="auto"/>
              </w:rPr>
            </w:pPr>
            <w:r>
              <w:rPr>
                <w:rFonts w:ascii="Arial" w:cs="Arial" w:eastAsia="Arial" w:hAnsi="Arial"/>
                <w:sz w:val="18"/>
                <w:szCs w:val="18"/>
                <w:color w:val="auto"/>
              </w:rPr>
              <w:t>private placement units will be</w:t>
            </w:r>
          </w:p>
        </w:tc>
      </w:tr>
      <w:tr>
        <w:trPr>
          <w:trHeight w:val="216"/>
        </w:trPr>
        <w:tc>
          <w:tcPr>
            <w:tcW w:w="2480" w:type="dxa"/>
            <w:vAlign w:val="bottom"/>
          </w:tcPr>
          <w:p>
            <w:pPr>
              <w:spacing w:after="0"/>
              <w:rPr>
                <w:sz w:val="18"/>
                <w:szCs w:val="18"/>
                <w:color w:val="auto"/>
              </w:rPr>
            </w:pPr>
          </w:p>
        </w:tc>
        <w:tc>
          <w:tcPr>
            <w:tcW w:w="2920" w:type="dxa"/>
            <w:vAlign w:val="bottom"/>
            <w:gridSpan w:val="2"/>
          </w:tcPr>
          <w:p>
            <w:pPr>
              <w:ind w:left="320"/>
              <w:spacing w:after="0"/>
              <w:rPr>
                <w:sz w:val="20"/>
                <w:szCs w:val="20"/>
                <w:color w:val="auto"/>
              </w:rPr>
            </w:pPr>
            <w:r>
              <w:rPr>
                <w:rFonts w:ascii="Arial" w:cs="Arial" w:eastAsia="Arial" w:hAnsi="Arial"/>
                <w:sz w:val="18"/>
                <w:szCs w:val="18"/>
                <w:color w:val="auto"/>
              </w:rPr>
              <w:t>deposited into a trust account</w:t>
            </w:r>
          </w:p>
        </w:tc>
      </w:tr>
      <w:tr>
        <w:trPr>
          <w:trHeight w:val="216"/>
        </w:trPr>
        <w:tc>
          <w:tcPr>
            <w:tcW w:w="2480" w:type="dxa"/>
            <w:vAlign w:val="bottom"/>
          </w:tcPr>
          <w:p>
            <w:pPr>
              <w:spacing w:after="0"/>
              <w:rPr>
                <w:sz w:val="18"/>
                <w:szCs w:val="18"/>
                <w:color w:val="auto"/>
              </w:rPr>
            </w:pPr>
          </w:p>
        </w:tc>
        <w:tc>
          <w:tcPr>
            <w:tcW w:w="2920" w:type="dxa"/>
            <w:vAlign w:val="bottom"/>
            <w:gridSpan w:val="2"/>
          </w:tcPr>
          <w:p>
            <w:pPr>
              <w:ind w:left="320"/>
              <w:spacing w:after="0"/>
              <w:rPr>
                <w:sz w:val="20"/>
                <w:szCs w:val="20"/>
                <w:color w:val="auto"/>
              </w:rPr>
            </w:pPr>
            <w:r>
              <w:rPr>
                <w:rFonts w:ascii="Arial" w:cs="Arial" w:eastAsia="Arial" w:hAnsi="Arial"/>
                <w:sz w:val="18"/>
                <w:szCs w:val="18"/>
                <w:color w:val="auto"/>
              </w:rPr>
              <w:t>located in the United States with</w:t>
            </w:r>
          </w:p>
        </w:tc>
      </w:tr>
      <w:tr>
        <w:trPr>
          <w:trHeight w:val="216"/>
        </w:trPr>
        <w:tc>
          <w:tcPr>
            <w:tcW w:w="2480" w:type="dxa"/>
            <w:vAlign w:val="bottom"/>
          </w:tcPr>
          <w:p>
            <w:pPr>
              <w:spacing w:after="0"/>
              <w:rPr>
                <w:sz w:val="18"/>
                <w:szCs w:val="18"/>
                <w:color w:val="auto"/>
              </w:rPr>
            </w:pPr>
          </w:p>
        </w:tc>
        <w:tc>
          <w:tcPr>
            <w:tcW w:w="2920" w:type="dxa"/>
            <w:vAlign w:val="bottom"/>
            <w:gridSpan w:val="2"/>
          </w:tcPr>
          <w:p>
            <w:pPr>
              <w:ind w:left="320"/>
              <w:spacing w:after="0"/>
              <w:rPr>
                <w:sz w:val="20"/>
                <w:szCs w:val="20"/>
                <w:color w:val="auto"/>
              </w:rPr>
            </w:pPr>
            <w:r>
              <w:rPr>
                <w:rFonts w:ascii="Arial" w:cs="Arial" w:eastAsia="Arial" w:hAnsi="Arial"/>
                <w:sz w:val="18"/>
                <w:szCs w:val="18"/>
                <w:color w:val="auto"/>
              </w:rPr>
              <w:t>Continental Stock Transfer &amp;</w:t>
            </w:r>
          </w:p>
        </w:tc>
      </w:tr>
      <w:tr>
        <w:trPr>
          <w:trHeight w:val="230"/>
        </w:trPr>
        <w:tc>
          <w:tcPr>
            <w:tcW w:w="2480" w:type="dxa"/>
            <w:vAlign w:val="bottom"/>
          </w:tcPr>
          <w:p>
            <w:pPr>
              <w:spacing w:after="0"/>
              <w:rPr>
                <w:sz w:val="20"/>
                <w:szCs w:val="20"/>
                <w:color w:val="auto"/>
              </w:rPr>
            </w:pPr>
          </w:p>
        </w:tc>
        <w:tc>
          <w:tcPr>
            <w:tcW w:w="2920" w:type="dxa"/>
            <w:vAlign w:val="bottom"/>
            <w:gridSpan w:val="2"/>
          </w:tcPr>
          <w:p>
            <w:pPr>
              <w:ind w:left="320"/>
              <w:spacing w:after="0"/>
              <w:rPr>
                <w:sz w:val="20"/>
                <w:szCs w:val="20"/>
                <w:color w:val="auto"/>
              </w:rPr>
            </w:pPr>
            <w:r>
              <w:rPr>
                <w:rFonts w:ascii="Arial" w:cs="Arial" w:eastAsia="Arial" w:hAnsi="Arial"/>
                <w:sz w:val="18"/>
                <w:szCs w:val="18"/>
                <w:color w:val="auto"/>
                <w:w w:val="97"/>
              </w:rPr>
              <w:t>Trust Company acting as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60"/>
        <w:spacing w:after="0"/>
        <w:tabs>
          <w:tab w:leader="none" w:pos="4040" w:val="left"/>
        </w:tabs>
        <w:rPr>
          <w:sz w:val="20"/>
          <w:szCs w:val="20"/>
          <w:color w:val="auto"/>
        </w:rPr>
      </w:pPr>
      <w:r>
        <w:rPr>
          <w:rFonts w:ascii="Arial" w:cs="Arial" w:eastAsia="Arial" w:hAnsi="Arial"/>
          <w:sz w:val="18"/>
          <w:szCs w:val="18"/>
          <w:color w:val="auto"/>
        </w:rPr>
        <w:t>Investment of net proceeds</w:t>
      </w:r>
      <w:r>
        <w:rPr>
          <w:sz w:val="20"/>
          <w:szCs w:val="20"/>
          <w:color w:val="auto"/>
        </w:rPr>
        <w:tab/>
      </w:r>
      <w:r>
        <w:rPr>
          <w:rFonts w:ascii="Arial" w:cs="Arial" w:eastAsia="Arial" w:hAnsi="Arial"/>
          <w:sz w:val="16"/>
          <w:szCs w:val="16"/>
          <w:color w:val="auto"/>
        </w:rPr>
        <w:t>$100,000,000 of the net proceeds</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of this offering and the sale of the</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private placement units held in</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trust will be invested only in U.S.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government treasury obligations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with a maturity of 185 days or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less or in money market funds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meeting certain conditions under</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Rule 2a-7 under the Investment</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Company Act which invest only</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in direct U.S. government</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treasury obligations.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6459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7" w:lineRule="exact"/>
        <w:rPr>
          <w:sz w:val="20"/>
          <w:szCs w:val="20"/>
          <w:color w:val="auto"/>
        </w:rPr>
      </w:pPr>
    </w:p>
    <w:p>
      <w:pPr>
        <w:ind w:right="679"/>
        <w:spacing w:after="0" w:line="267" w:lineRule="auto"/>
        <w:rPr>
          <w:sz w:val="20"/>
          <w:szCs w:val="20"/>
          <w:color w:val="auto"/>
        </w:rPr>
      </w:pPr>
      <w:r>
        <w:rPr>
          <w:rFonts w:ascii="Arial" w:cs="Arial" w:eastAsia="Arial" w:hAnsi="Arial"/>
          <w:sz w:val="17"/>
          <w:szCs w:val="17"/>
          <w:color w:val="auto"/>
        </w:rPr>
        <w:t>Approximately $85,050,000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9" w:lineRule="exact"/>
        <w:rPr>
          <w:sz w:val="20"/>
          <w:szCs w:val="20"/>
          <w:color w:val="auto"/>
        </w:rPr>
      </w:pPr>
    </w:p>
    <w:p>
      <w:pPr>
        <w:ind w:right="719"/>
        <w:spacing w:after="0" w:line="253" w:lineRule="auto"/>
        <w:rPr>
          <w:sz w:val="20"/>
          <w:szCs w:val="20"/>
          <w:color w:val="auto"/>
        </w:rPr>
      </w:pPr>
      <w:r>
        <w:rPr>
          <w:rFonts w:ascii="Arial" w:cs="Arial" w:eastAsia="Arial" w:hAnsi="Arial"/>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833" w:lineRule="exact"/>
        <w:rPr>
          <w:sz w:val="20"/>
          <w:szCs w:val="20"/>
          <w:color w:val="auto"/>
        </w:rPr>
      </w:pPr>
    </w:p>
    <w:p>
      <w:pPr>
        <w:sectPr>
          <w:pgSz w:w="11900" w:h="16838" w:orient="portrait"/>
          <w:cols w:equalWidth="0" w:num="2">
            <w:col w:w="6660" w:space="220"/>
            <w:col w:w="3259"/>
          </w:cols>
          <w:pgMar w:left="320" w:top="131" w:right="1440" w:bottom="1440" w:gutter="0" w:footer="0" w:header="0"/>
          <w:type w:val="continuous"/>
        </w:sectPr>
      </w:pPr>
    </w:p>
    <w:p>
      <w:pPr>
        <w:spacing w:after="0" w:line="18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80" w:hanging="215"/>
        <w:spacing w:after="0" w:line="277" w:lineRule="auto"/>
        <w:rPr>
          <w:sz w:val="20"/>
          <w:szCs w:val="20"/>
          <w:color w:val="auto"/>
        </w:rPr>
      </w:pPr>
      <w:r>
        <w:rPr>
          <w:rFonts w:ascii="Arial" w:cs="Arial" w:eastAsia="Arial" w:hAnsi="Arial"/>
          <w:sz w:val="18"/>
          <w:szCs w:val="18"/>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80" w:right="100" w:hanging="215"/>
        <w:spacing w:after="0" w:line="308" w:lineRule="auto"/>
        <w:rPr>
          <w:sz w:val="20"/>
          <w:szCs w:val="20"/>
          <w:color w:val="auto"/>
        </w:rPr>
      </w:pPr>
      <w:r>
        <w:rPr>
          <w:rFonts w:ascii="Arial" w:cs="Arial" w:eastAsia="Arial" w:hAnsi="Arial"/>
          <w:sz w:val="17"/>
          <w:szCs w:val="17"/>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Trading of securities issued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16459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Interest on proceeds from the trust account to be paid to stockholders is reduced by (i) any taxes paid or payable,</w:t>
      </w:r>
    </w:p>
    <w:p>
      <w:pPr>
        <w:spacing w:after="0" w:line="2" w:lineRule="exact"/>
        <w:rPr>
          <w:sz w:val="20"/>
          <w:szCs w:val="20"/>
          <w:color w:val="auto"/>
        </w:rPr>
      </w:pPr>
    </w:p>
    <w:p>
      <w:pPr>
        <w:ind w:left="300" w:hanging="290"/>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permitted withdrawals and</w:t>
      </w:r>
    </w:p>
    <w:p>
      <w:pPr>
        <w:spacing w:after="0" w:line="9" w:lineRule="exact"/>
        <w:rPr>
          <w:rFonts w:ascii="Arial" w:cs="Arial" w:eastAsia="Arial" w:hAnsi="Arial"/>
          <w:sz w:val="18"/>
          <w:szCs w:val="18"/>
          <w:color w:val="auto"/>
        </w:rPr>
      </w:pPr>
    </w:p>
    <w:p>
      <w:pPr>
        <w:ind w:firstLine="10"/>
        <w:spacing w:after="0" w:line="268" w:lineRule="auto"/>
        <w:tabs>
          <w:tab w:leader="none" w:pos="3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 Nasdaq rules require that we must complete one or more business combinations having an aggregate fair market value of at least 80% of our assets held in the trust account (excluding the deferred underwriting commissions and taxes payable on the income earned on the trust account) at the time of the agreement to enter into the initial business combination.</w:t>
      </w:r>
    </w:p>
    <w:p>
      <w:pPr>
        <w:spacing w:after="0" w:line="210" w:lineRule="exact"/>
        <w:rPr>
          <w:rFonts w:ascii="Arial" w:cs="Arial" w:eastAsia="Arial" w:hAnsi="Arial"/>
          <w:sz w:val="17"/>
          <w:szCs w:val="17"/>
          <w:color w:val="auto"/>
        </w:rPr>
      </w:pPr>
    </w:p>
    <w:p>
      <w:pPr>
        <w:ind w:right="20"/>
        <w:spacing w:after="0" w:line="260" w:lineRule="auto"/>
        <w:rPr>
          <w:rFonts w:ascii="Arial" w:cs="Arial" w:eastAsia="Arial" w:hAnsi="Arial"/>
          <w:sz w:val="17"/>
          <w:szCs w:val="17"/>
          <w:color w:val="auto"/>
        </w:rPr>
      </w:pPr>
      <w:r>
        <w:rPr>
          <w:rFonts w:ascii="Arial" w:cs="Arial" w:eastAsia="Arial" w:hAnsi="Arial"/>
          <w:sz w:val="17"/>
          <w:szCs w:val="17"/>
          <w:color w:val="auto"/>
        </w:rPr>
        <w:t>The units are expected to begin trading on or promptly after the date of this prospectus. The Class A common stock and warrants comprising the units will begin separate trading on the 52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day following the date of this prospectus unless Cantor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which closing is anticipated to take place three business days from the date</w:t>
      </w:r>
    </w:p>
    <w:p>
      <w:pPr>
        <w:spacing w:after="0" w:line="12" w:lineRule="exact"/>
        <w:rPr>
          <w:rFonts w:ascii="Arial" w:cs="Arial" w:eastAsia="Arial" w:hAnsi="Arial"/>
          <w:sz w:val="17"/>
          <w:szCs w:val="17"/>
          <w:color w:val="auto"/>
        </w:rPr>
      </w:pPr>
    </w:p>
    <w:p>
      <w:pPr>
        <w:spacing w:after="0" w:line="252" w:lineRule="auto"/>
        <w:rPr>
          <w:rFonts w:ascii="Arial" w:cs="Arial" w:eastAsia="Arial" w:hAnsi="Arial"/>
          <w:sz w:val="17"/>
          <w:szCs w:val="17"/>
          <w:color w:val="auto"/>
        </w:rPr>
      </w:pPr>
      <w:r>
        <w:rPr>
          <w:rFonts w:ascii="Arial" w:cs="Arial" w:eastAsia="Arial" w:hAnsi="Arial"/>
          <w:sz w:val="18"/>
          <w:szCs w:val="18"/>
          <w:color w:val="auto"/>
        </w:rPr>
        <w:t>the units commence trading. If the over-allotment option is exercised following the initial filing of such Current Report on Form 8-K, a second or amended Current Report on Form 8-K will be filed to provide updated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6459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7" w:lineRule="exact"/>
        <w:rPr>
          <w:sz w:val="20"/>
          <w:szCs w:val="20"/>
          <w:color w:val="auto"/>
        </w:rPr>
      </w:pPr>
    </w:p>
    <w:p>
      <w:pPr>
        <w:ind w:right="859"/>
        <w:spacing w:after="0" w:line="272" w:lineRule="auto"/>
        <w:rPr>
          <w:sz w:val="20"/>
          <w:szCs w:val="20"/>
          <w:color w:val="auto"/>
        </w:rPr>
      </w:pPr>
      <w:r>
        <w:rPr>
          <w:rFonts w:ascii="Arial" w:cs="Arial" w:eastAsia="Arial" w:hAnsi="Arial"/>
          <w:sz w:val="17"/>
          <w:szCs w:val="17"/>
          <w:color w:val="auto"/>
        </w:rPr>
        <w:t>Interest on funds in escrow account would be held for the sole benefit of investors, unless and only after the funds held in escrow were released to us in connection with our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19"/>
        <w:spacing w:after="0" w:line="259" w:lineRule="auto"/>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79"/>
        <w:spacing w:after="0" w:line="272" w:lineRule="auto"/>
        <w:rPr>
          <w:sz w:val="20"/>
          <w:szCs w:val="20"/>
          <w:color w:val="auto"/>
        </w:rPr>
      </w:pPr>
      <w:r>
        <w:rPr>
          <w:rFonts w:ascii="Arial" w:cs="Arial" w:eastAsia="Arial" w:hAnsi="Arial"/>
          <w:sz w:val="17"/>
          <w:szCs w:val="17"/>
          <w:color w:val="auto"/>
        </w:rPr>
        <w:t>No trading of the units or the underlying Class A common stock and warrants would be permitted until the completion of a business combination. During this period, the securities would be held in the escrow or trust account.</w:t>
      </w:r>
    </w:p>
    <w:p>
      <w:pPr>
        <w:spacing w:after="0" w:line="4518" w:lineRule="exact"/>
        <w:rPr>
          <w:sz w:val="20"/>
          <w:szCs w:val="20"/>
          <w:color w:val="auto"/>
        </w:rPr>
      </w:pPr>
    </w:p>
    <w:p>
      <w:pPr>
        <w:sectPr>
          <w:pgSz w:w="11900" w:h="16838" w:orient="portrait"/>
          <w:cols w:equalWidth="0" w:num="3">
            <w:col w:w="3640" w:space="420"/>
            <w:col w:w="2600" w:space="220"/>
            <w:col w:w="3259"/>
          </w:cols>
          <w:pgMar w:left="320" w:top="131" w:right="1440" w:bottom="1440" w:gutter="0" w:footer="0" w:header="0"/>
        </w:sectPr>
      </w:pPr>
    </w:p>
    <w:p>
      <w:pPr>
        <w:spacing w:after="0" w:line="1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tcPr>
          <w:p>
            <w:pPr>
              <w:ind w:left="620"/>
              <w:spacing w:after="0"/>
              <w:rPr>
                <w:sz w:val="20"/>
                <w:szCs w:val="20"/>
                <w:color w:val="auto"/>
              </w:rPr>
            </w:pPr>
            <w:r>
              <w:rPr>
                <w:rFonts w:ascii="Arial" w:cs="Arial" w:eastAsia="Arial" w:hAnsi="Arial"/>
                <w:sz w:val="14"/>
                <w:szCs w:val="14"/>
                <w:b w:val="1"/>
                <w:bCs w:val="1"/>
                <w:color w:val="auto"/>
              </w:rPr>
              <w:t>Terms of Our Offering</w:t>
            </w:r>
          </w:p>
        </w:tc>
      </w:tr>
      <w:tr>
        <w:trPr>
          <w:trHeight w:val="26"/>
        </w:trPr>
        <w:tc>
          <w:tcPr>
            <w:tcW w:w="2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22"/>
        </w:trPr>
        <w:tc>
          <w:tcPr>
            <w:tcW w:w="2540" w:type="dxa"/>
            <w:vAlign w:val="bottom"/>
          </w:tcPr>
          <w:p>
            <w:pPr>
              <w:spacing w:after="0"/>
              <w:rPr>
                <w:sz w:val="19"/>
                <w:szCs w:val="19"/>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financial information to reflect</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6"/>
              </w:rPr>
              <w:t>the exercise of the over-allotment</w:t>
            </w:r>
          </w:p>
        </w:tc>
      </w:tr>
      <w:tr>
        <w:trPr>
          <w:trHeight w:val="230"/>
        </w:trPr>
        <w:tc>
          <w:tcPr>
            <w:tcW w:w="2540" w:type="dxa"/>
            <w:vAlign w:val="bottom"/>
          </w:tcPr>
          <w:p>
            <w:pPr>
              <w:spacing w:after="0"/>
              <w:rPr>
                <w:sz w:val="20"/>
                <w:szCs w:val="20"/>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option.</w:t>
            </w:r>
          </w:p>
        </w:tc>
      </w:tr>
      <w:tr>
        <w:trPr>
          <w:trHeight w:val="229"/>
        </w:trPr>
        <w:tc>
          <w:tcPr>
            <w:tcW w:w="2540" w:type="dxa"/>
            <w:vAlign w:val="bottom"/>
          </w:tcPr>
          <w:p>
            <w:pPr>
              <w:spacing w:after="0"/>
              <w:rPr>
                <w:sz w:val="20"/>
                <w:szCs w:val="20"/>
                <w:color w:val="auto"/>
              </w:rPr>
            </w:pPr>
            <w:r>
              <w:rPr>
                <w:rFonts w:ascii="Arial" w:cs="Arial" w:eastAsia="Arial" w:hAnsi="Arial"/>
                <w:sz w:val="18"/>
                <w:szCs w:val="18"/>
                <w:color w:val="auto"/>
              </w:rPr>
              <w:t>Exercise of the warrants</w:t>
            </w: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5"/>
              </w:rPr>
              <w:t>The warrants cannot be exercised</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8"/>
              </w:rPr>
              <w:t>until the later of 30 days after the</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9"/>
              </w:rPr>
              <w:t>completion of our initial business</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8"/>
              </w:rPr>
              <w:t>combination and 12 months from</w:t>
            </w:r>
          </w:p>
        </w:tc>
      </w:tr>
      <w:tr>
        <w:trPr>
          <w:trHeight w:val="230"/>
        </w:trPr>
        <w:tc>
          <w:tcPr>
            <w:tcW w:w="2540" w:type="dxa"/>
            <w:vAlign w:val="bottom"/>
          </w:tcPr>
          <w:p>
            <w:pPr>
              <w:spacing w:after="0"/>
              <w:rPr>
                <w:sz w:val="20"/>
                <w:szCs w:val="20"/>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the closing of this offering.</w:t>
            </w:r>
          </w:p>
        </w:tc>
      </w:tr>
      <w:tr>
        <w:trPr>
          <w:trHeight w:val="661"/>
        </w:trPr>
        <w:tc>
          <w:tcPr>
            <w:tcW w:w="2540" w:type="dxa"/>
            <w:vAlign w:val="bottom"/>
          </w:tcPr>
          <w:p>
            <w:pPr>
              <w:spacing w:after="0"/>
              <w:rPr>
                <w:sz w:val="20"/>
                <w:szCs w:val="20"/>
                <w:color w:val="auto"/>
              </w:rPr>
            </w:pPr>
            <w:r>
              <w:rPr>
                <w:rFonts w:ascii="Arial" w:cs="Arial" w:eastAsia="Arial" w:hAnsi="Arial"/>
                <w:sz w:val="18"/>
                <w:szCs w:val="18"/>
                <w:color w:val="auto"/>
              </w:rPr>
              <w:t>Election to remain an investor</w:t>
            </w: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We will provide our public</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8"/>
              </w:rPr>
              <w:t>stockholders with the opportunity</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9"/>
              </w:rPr>
              <w:t>to redeem their public shares for</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6"/>
              </w:rPr>
              <w:t>cash at a per share price equal to</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the aggregate amount then on</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deposit in the trust account</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3"/>
              </w:rPr>
              <w:t>calculated as of two business days</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9"/>
              </w:rPr>
              <w:t>prior to the consummation of our</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initial business combination,</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including interest earned on the</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funds held in the trust account</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(net of permitted withdrawals),</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divided by the number of then</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outstanding public shares, upon</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the completion of our initial</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9"/>
              </w:rPr>
              <w:t>business combination, subject to</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the limitations described herein.</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6"/>
              </w:rPr>
              <w:t>We may not be required by law to</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7"/>
              </w:rPr>
              <w:t>hold a stockholder vote. If we are</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not required by law and do not</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otherwise decide to hold a</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stockholder vote, we will,</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pursuant to our amended and</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restated certificate of</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incorporation, conduct the</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redemptions pursuant to the</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8"/>
              </w:rPr>
              <w:t>tender offer rules of the SEC and</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file tender offer documents with</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the SEC which will contain</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substantially the same financial</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and other information about the</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initial business combination and</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the redemption rights as is</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required under the SEC’s proxy</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rules. If, however, we hold a</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stockholder vote, we will, like</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many blank check companies,</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offer to redeem shares in</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conjunction with a proxy</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w w:val="99"/>
              </w:rPr>
              <w:t>solicitation pursuant to the proxy</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rules and not pursuant to the</w:t>
            </w:r>
          </w:p>
        </w:tc>
      </w:tr>
      <w:tr>
        <w:trPr>
          <w:trHeight w:val="230"/>
        </w:trPr>
        <w:tc>
          <w:tcPr>
            <w:tcW w:w="2540" w:type="dxa"/>
            <w:vAlign w:val="bottom"/>
          </w:tcPr>
          <w:p>
            <w:pPr>
              <w:spacing w:after="0"/>
              <w:rPr>
                <w:sz w:val="20"/>
                <w:szCs w:val="20"/>
                <w:color w:val="auto"/>
              </w:rPr>
            </w:pPr>
          </w:p>
        </w:tc>
        <w:tc>
          <w:tcPr>
            <w:tcW w:w="2860" w:type="dxa"/>
            <w:vAlign w:val="bottom"/>
            <w:gridSpan w:val="2"/>
          </w:tcPr>
          <w:p>
            <w:pPr>
              <w:ind w:left="260"/>
              <w:spacing w:after="0"/>
              <w:rPr>
                <w:sz w:val="20"/>
                <w:szCs w:val="20"/>
                <w:color w:val="auto"/>
              </w:rPr>
            </w:pPr>
            <w:r>
              <w:rPr>
                <w:rFonts w:ascii="Arial" w:cs="Arial" w:eastAsia="Arial" w:hAnsi="Arial"/>
                <w:sz w:val="18"/>
                <w:szCs w:val="18"/>
                <w:color w:val="auto"/>
              </w:rPr>
              <w:t>tender offer rules. If we seek</w:t>
            </w:r>
          </w:p>
        </w:tc>
      </w:tr>
      <w:tr>
        <w:trPr>
          <w:trHeight w:val="608"/>
        </w:trPr>
        <w:tc>
          <w:tcPr>
            <w:tcW w:w="2540" w:type="dxa"/>
            <w:vAlign w:val="bottom"/>
          </w:tcPr>
          <w:p>
            <w:pPr>
              <w:spacing w:after="0"/>
              <w:rPr>
                <w:sz w:val="24"/>
                <w:szCs w:val="24"/>
                <w:color w:val="auto"/>
              </w:rPr>
            </w:pPr>
          </w:p>
        </w:tc>
        <w:tc>
          <w:tcPr>
            <w:tcW w:w="2860" w:type="dxa"/>
            <w:vAlign w:val="bottom"/>
            <w:gridSpan w:val="2"/>
          </w:tcPr>
          <w:p>
            <w:pPr>
              <w:ind w:left="1400"/>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68065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6459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39"/>
        <w:spacing w:after="0" w:line="269" w:lineRule="auto"/>
        <w:rPr>
          <w:sz w:val="20"/>
          <w:szCs w:val="20"/>
          <w:color w:val="auto"/>
        </w:rPr>
      </w:pPr>
      <w:r>
        <w:rPr>
          <w:rFonts w:ascii="Arial" w:cs="Arial" w:eastAsia="Arial" w:hAnsi="Arial"/>
          <w:sz w:val="17"/>
          <w:szCs w:val="17"/>
          <w:color w:val="auto"/>
        </w:rPr>
        <w:t>The warrants could be exercised prior to the completion of a business combination, but securities received and cash paid in connection with the exercise would be deposited in the escrow or trust account.</w:t>
      </w:r>
    </w:p>
    <w:p>
      <w:pPr>
        <w:spacing w:after="0" w:line="5" w:lineRule="exact"/>
        <w:rPr>
          <w:sz w:val="20"/>
          <w:szCs w:val="20"/>
          <w:color w:val="auto"/>
        </w:rPr>
      </w:pPr>
    </w:p>
    <w:p>
      <w:pPr>
        <w:ind w:right="719"/>
        <w:spacing w:after="0" w:line="267"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w:t>
      </w:r>
    </w:p>
    <w:p>
      <w:pPr>
        <w:spacing w:after="0" w:line="1" w:lineRule="exact"/>
        <w:rPr>
          <w:sz w:val="20"/>
          <w:szCs w:val="20"/>
          <w:color w:val="auto"/>
        </w:rPr>
      </w:pPr>
    </w:p>
    <w:p>
      <w:pPr>
        <w:ind w:right="679"/>
        <w:spacing w:after="0" w:line="246" w:lineRule="auto"/>
        <w:rPr>
          <w:sz w:val="20"/>
          <w:szCs w:val="20"/>
          <w:color w:val="auto"/>
        </w:rPr>
      </w:pPr>
      <w:r>
        <w:rPr>
          <w:rFonts w:ascii="Arial" w:cs="Arial" w:eastAsia="Arial" w:hAnsi="Arial"/>
          <w:sz w:val="18"/>
          <w:szCs w:val="18"/>
          <w:color w:val="auto"/>
        </w:rPr>
        <w:t>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6660" w:space="220"/>
            <w:col w:w="3259"/>
          </w:cols>
          <w:pgMar w:left="32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ind w:left="620"/>
              <w:spacing w:after="0"/>
              <w:rPr>
                <w:sz w:val="20"/>
                <w:szCs w:val="20"/>
                <w:color w:val="auto"/>
              </w:rPr>
            </w:pPr>
            <w:r>
              <w:rPr>
                <w:rFonts w:ascii="Arial" w:cs="Arial" w:eastAsia="Arial" w:hAnsi="Arial"/>
                <w:sz w:val="14"/>
                <w:szCs w:val="14"/>
                <w:b w:val="1"/>
                <w:bCs w:val="1"/>
                <w:color w:val="auto"/>
              </w:rPr>
              <w:t>Terms of Our Offering</w:t>
            </w:r>
          </w:p>
        </w:tc>
      </w:tr>
      <w:tr>
        <w:trPr>
          <w:trHeight w:val="26"/>
        </w:trPr>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22"/>
        </w:trPr>
        <w:tc>
          <w:tcPr>
            <w:tcW w:w="2580" w:type="dxa"/>
            <w:vAlign w:val="bottom"/>
          </w:tcPr>
          <w:p>
            <w:pPr>
              <w:spacing w:after="0"/>
              <w:rPr>
                <w:sz w:val="19"/>
                <w:szCs w:val="19"/>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stockholder approval, we will</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complete our initial business</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combination only if a majority of</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w w:val="94"/>
              </w:rPr>
              <w:t>the shares of common stock voted</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w w:val="97"/>
              </w:rPr>
              <w:t>are voted in favor of the business</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combination. Additionally, each</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public stockholder may elect to</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redeem their public shares</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w w:val="99"/>
              </w:rPr>
              <w:t>irrespective of whether they vote</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for or against the proposed</w:t>
            </w:r>
          </w:p>
        </w:tc>
      </w:tr>
      <w:tr>
        <w:trPr>
          <w:trHeight w:val="230"/>
        </w:trPr>
        <w:tc>
          <w:tcPr>
            <w:tcW w:w="2580" w:type="dxa"/>
            <w:vAlign w:val="bottom"/>
          </w:tcPr>
          <w:p>
            <w:pPr>
              <w:spacing w:after="0"/>
              <w:rPr>
                <w:sz w:val="20"/>
                <w:szCs w:val="20"/>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transaction.</w:t>
            </w:r>
          </w:p>
        </w:tc>
      </w:tr>
      <w:tr>
        <w:trPr>
          <w:trHeight w:val="229"/>
        </w:trPr>
        <w:tc>
          <w:tcPr>
            <w:tcW w:w="2580" w:type="dxa"/>
            <w:vAlign w:val="bottom"/>
          </w:tcPr>
          <w:p>
            <w:pPr>
              <w:spacing w:after="0"/>
              <w:rPr>
                <w:sz w:val="20"/>
                <w:szCs w:val="20"/>
                <w:color w:val="auto"/>
              </w:rPr>
            </w:pPr>
            <w:r>
              <w:rPr>
                <w:rFonts w:ascii="Arial" w:cs="Arial" w:eastAsia="Arial" w:hAnsi="Arial"/>
                <w:sz w:val="18"/>
                <w:szCs w:val="18"/>
                <w:color w:val="auto"/>
              </w:rPr>
              <w:t>Business combination deadline</w:t>
            </w: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If we do not complete an initial</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business combination within</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18 months from the closing of</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this offering, we will (i) cease all</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w w:val="96"/>
              </w:rPr>
              <w:t>operations except for the purpose</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w w:val="99"/>
              </w:rPr>
              <w:t>of winding up, (ii) as promptly as</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w w:val="97"/>
              </w:rPr>
              <w:t>reasonably possible but not more</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w w:val="95"/>
              </w:rPr>
              <w:t>than ten business days thereafter,</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redeem 100% of the public</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shares, at a per-share price,</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payable in cash, equal to the</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w w:val="94"/>
              </w:rPr>
              <w:t>aggregate amount then on deposit</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in the trust account, including</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w w:val="98"/>
              </w:rPr>
              <w:t>interest earned on the funds held</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in the trust account (net of</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permitted withdrawals and up to</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$100,000 of interest to pay</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w w:val="97"/>
              </w:rPr>
              <w:t>dissolution expenses), divided by</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the number of then outstanding</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public shares, which redemption</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will completely extinguish public</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stockholders’ rights as</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stockholders (including the right</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to receive further liquidating</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distributions, if any), and (iii) as</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promptly as reasonably possible</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following such redemption,</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subject to the approval of our</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remaining stockholders and our</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board of directors, liquidate and</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w w:val="99"/>
              </w:rPr>
              <w:t>dissolve, subject in each case to</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our obligations under Delaware</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law to provide for claims of</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w w:val="99"/>
              </w:rPr>
              <w:t>creditors and in all cases subject</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to the requirements of other</w:t>
            </w:r>
          </w:p>
        </w:tc>
      </w:tr>
      <w:tr>
        <w:trPr>
          <w:trHeight w:val="230"/>
        </w:trPr>
        <w:tc>
          <w:tcPr>
            <w:tcW w:w="2580" w:type="dxa"/>
            <w:vAlign w:val="bottom"/>
          </w:tcPr>
          <w:p>
            <w:pPr>
              <w:spacing w:after="0"/>
              <w:rPr>
                <w:sz w:val="20"/>
                <w:szCs w:val="20"/>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applicable law.</w:t>
            </w:r>
          </w:p>
        </w:tc>
      </w:tr>
      <w:tr>
        <w:trPr>
          <w:trHeight w:val="229"/>
        </w:trPr>
        <w:tc>
          <w:tcPr>
            <w:tcW w:w="2580" w:type="dxa"/>
            <w:vAlign w:val="bottom"/>
          </w:tcPr>
          <w:p>
            <w:pPr>
              <w:spacing w:after="0"/>
              <w:rPr>
                <w:sz w:val="20"/>
                <w:szCs w:val="20"/>
                <w:color w:val="auto"/>
              </w:rPr>
            </w:pPr>
            <w:r>
              <w:rPr>
                <w:rFonts w:ascii="Arial" w:cs="Arial" w:eastAsia="Arial" w:hAnsi="Arial"/>
                <w:sz w:val="18"/>
                <w:szCs w:val="18"/>
                <w:color w:val="auto"/>
              </w:rPr>
              <w:t>Release of funds</w:t>
            </w: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w w:val="97"/>
              </w:rPr>
              <w:t>Except for permitted withdrawals,</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none of the funds held in trust</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will be released from the trust</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w w:val="97"/>
              </w:rPr>
              <w:t>account until the earliest of (i) the</w:t>
            </w:r>
          </w:p>
        </w:tc>
      </w:tr>
      <w:tr>
        <w:trPr>
          <w:trHeight w:val="230"/>
        </w:trPr>
        <w:tc>
          <w:tcPr>
            <w:tcW w:w="2580" w:type="dxa"/>
            <w:vAlign w:val="bottom"/>
          </w:tcPr>
          <w:p>
            <w:pPr>
              <w:spacing w:after="0"/>
              <w:rPr>
                <w:sz w:val="20"/>
                <w:szCs w:val="20"/>
                <w:color w:val="auto"/>
              </w:rPr>
            </w:pPr>
          </w:p>
        </w:tc>
        <w:tc>
          <w:tcPr>
            <w:tcW w:w="2820" w:type="dxa"/>
            <w:vAlign w:val="bottom"/>
            <w:gridSpan w:val="2"/>
          </w:tcPr>
          <w:p>
            <w:pPr>
              <w:ind w:left="220"/>
              <w:spacing w:after="0"/>
              <w:rPr>
                <w:sz w:val="20"/>
                <w:szCs w:val="20"/>
                <w:color w:val="auto"/>
              </w:rPr>
            </w:pPr>
            <w:r>
              <w:rPr>
                <w:rFonts w:ascii="Arial" w:cs="Arial" w:eastAsia="Arial" w:hAnsi="Arial"/>
                <w:sz w:val="18"/>
                <w:szCs w:val="18"/>
                <w:color w:val="auto"/>
              </w:rPr>
              <w:t>completion of our initial</w:t>
            </w:r>
          </w:p>
        </w:tc>
      </w:tr>
      <w:tr>
        <w:trPr>
          <w:trHeight w:val="607"/>
        </w:trPr>
        <w:tc>
          <w:tcPr>
            <w:tcW w:w="2580" w:type="dxa"/>
            <w:vAlign w:val="bottom"/>
          </w:tcPr>
          <w:p>
            <w:pPr>
              <w:spacing w:after="0"/>
              <w:rPr>
                <w:sz w:val="24"/>
                <w:szCs w:val="24"/>
                <w:color w:val="auto"/>
              </w:rPr>
            </w:pPr>
          </w:p>
        </w:tc>
        <w:tc>
          <w:tcPr>
            <w:tcW w:w="2820" w:type="dxa"/>
            <w:vAlign w:val="bottom"/>
            <w:gridSpan w:val="2"/>
          </w:tcPr>
          <w:p>
            <w:pPr>
              <w:ind w:left="1360"/>
              <w:spacing w:after="0"/>
              <w:rPr>
                <w:sz w:val="20"/>
                <w:szCs w:val="20"/>
                <w:color w:val="auto"/>
              </w:rPr>
            </w:pPr>
            <w:r>
              <w:rPr>
                <w:rFonts w:ascii="Arial" w:cs="Arial" w:eastAsia="Arial" w:hAnsi="Arial"/>
                <w:sz w:val="18"/>
                <w:szCs w:val="18"/>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68065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6459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719"/>
        <w:spacing w:after="0" w:line="293" w:lineRule="auto"/>
        <w:rPr>
          <w:sz w:val="20"/>
          <w:szCs w:val="20"/>
          <w:color w:val="auto"/>
        </w:rPr>
      </w:pPr>
      <w:r>
        <w:rPr>
          <w:rFonts w:ascii="Arial" w:cs="Arial" w:eastAsia="Arial" w:hAnsi="Arial"/>
          <w:sz w:val="16"/>
          <w:szCs w:val="16"/>
          <w:color w:val="auto"/>
        </w:rPr>
        <w:t>If an acquisition has not been completed within 18 months after the effective date of the company’s registration statement, funds held in the trust or escrow account are returned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779"/>
        <w:spacing w:after="0" w:line="275"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w:t>
      </w:r>
    </w:p>
    <w:p>
      <w:pPr>
        <w:sectPr>
          <w:pgSz w:w="11900" w:h="16838" w:orient="portrait"/>
          <w:cols w:equalWidth="0" w:num="2">
            <w:col w:w="6660" w:space="220"/>
            <w:col w:w="3259"/>
          </w:cols>
          <w:pgMar w:left="32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80" w:hanging="215"/>
        <w:spacing w:after="0" w:line="263" w:lineRule="auto"/>
        <w:rPr>
          <w:sz w:val="20"/>
          <w:szCs w:val="20"/>
          <w:color w:val="auto"/>
        </w:rPr>
      </w:pPr>
      <w:r>
        <w:rPr>
          <w:rFonts w:ascii="Arial" w:cs="Arial" w:eastAsia="Arial" w:hAnsi="Arial"/>
          <w:sz w:val="18"/>
          <w:szCs w:val="18"/>
          <w:color w:val="auto"/>
        </w:rPr>
        <w:t>Delivering stock certificates in connection with the exercise of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16459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business combination, (ii) the redemption of our public shares if we do not complete our initial business combination within</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18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an initial business combination within 18 months from the closing of this offering or with respect to any other material provisions relating to stockholders’ rights or pre-initial business combination activity. 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6459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7" w:lineRule="exact"/>
        <w:rPr>
          <w:sz w:val="20"/>
          <w:szCs w:val="20"/>
          <w:color w:val="auto"/>
        </w:rPr>
      </w:pPr>
    </w:p>
    <w:p>
      <w:pPr>
        <w:ind w:right="899"/>
        <w:spacing w:after="0" w:line="277" w:lineRule="auto"/>
        <w:rPr>
          <w:sz w:val="20"/>
          <w:szCs w:val="20"/>
          <w:color w:val="auto"/>
        </w:rPr>
      </w:pPr>
      <w:r>
        <w:rPr>
          <w:rFonts w:ascii="Arial" w:cs="Arial" w:eastAsia="Arial" w:hAnsi="Arial"/>
          <w:sz w:val="18"/>
          <w:szCs w:val="18"/>
          <w:color w:val="auto"/>
        </w:rPr>
        <w:t>combination within the allotted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739"/>
        <w:spacing w:after="0" w:line="287" w:lineRule="auto"/>
        <w:rPr>
          <w:sz w:val="20"/>
          <w:szCs w:val="20"/>
          <w:color w:val="auto"/>
        </w:rPr>
      </w:pPr>
      <w:r>
        <w:rPr>
          <w:rFonts w:ascii="Arial" w:cs="Arial" w:eastAsia="Arial" w:hAnsi="Arial"/>
          <w:sz w:val="16"/>
          <w:szCs w:val="16"/>
          <w:color w:val="auto"/>
        </w:rPr>
        <w:t>Many blank check companies provide that a stockholder can vote against a proposed business combination and check a box on the proxy card indicating that such stockholder is seeking to exercise its redemption rights. After the business combination is approved, the company would contact such stockholder to arrange for delivery of its share certificates to verify ownership.</w:t>
      </w:r>
    </w:p>
    <w:p>
      <w:pPr>
        <w:spacing w:after="0" w:line="3625" w:lineRule="exact"/>
        <w:rPr>
          <w:sz w:val="20"/>
          <w:szCs w:val="20"/>
          <w:color w:val="auto"/>
        </w:rPr>
      </w:pPr>
    </w:p>
    <w:p>
      <w:pPr>
        <w:sectPr>
          <w:pgSz w:w="11900" w:h="16838" w:orient="portrait"/>
          <w:cols w:equalWidth="0" w:num="3">
            <w:col w:w="3840" w:space="220"/>
            <w:col w:w="2600" w:space="220"/>
            <w:col w:w="325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80" w:hanging="215"/>
        <w:spacing w:after="0" w:line="257" w:lineRule="auto"/>
        <w:rPr>
          <w:sz w:val="20"/>
          <w:szCs w:val="20"/>
          <w:color w:val="auto"/>
        </w:rPr>
      </w:pPr>
      <w:r>
        <w:rPr>
          <w:rFonts w:ascii="Arial" w:cs="Arial" w:eastAsia="Arial" w:hAnsi="Arial"/>
          <w:sz w:val="18"/>
          <w:szCs w:val="18"/>
          <w:color w:val="auto"/>
        </w:rPr>
        <w:t>Limitation on redemption rights of stockholders holding more than 20% of the shares sold in this offering if we hold a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16459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w:t>
      </w:r>
    </w:p>
    <w:p>
      <w:pPr>
        <w:spacing w:after="0" w:line="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However, we would not restrict our stockholders’ ability to vote all of their shares (including Excess Shares) for or against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6459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779"/>
        <w:spacing w:after="0" w:line="272" w:lineRule="auto"/>
        <w:rPr>
          <w:sz w:val="20"/>
          <w:szCs w:val="20"/>
          <w:color w:val="auto"/>
        </w:rPr>
      </w:pPr>
      <w:r>
        <w:rPr>
          <w:rFonts w:ascii="Arial" w:cs="Arial" w:eastAsia="Arial" w:hAnsi="Arial"/>
          <w:sz w:val="17"/>
          <w:szCs w:val="17"/>
          <w:color w:val="auto"/>
        </w:rPr>
        <w:t>Many blank check companies provide no restrictions on the ability of stockholders to redeem shares based on the number of shares held by such stockholders in connection with an initial business combination.</w:t>
      </w:r>
    </w:p>
    <w:p>
      <w:pPr>
        <w:spacing w:after="0" w:line="4362" w:lineRule="exact"/>
        <w:rPr>
          <w:sz w:val="20"/>
          <w:szCs w:val="20"/>
          <w:color w:val="auto"/>
        </w:rPr>
      </w:pPr>
    </w:p>
    <w:p>
      <w:pPr>
        <w:sectPr>
          <w:pgSz w:w="11900" w:h="16838" w:orient="portrait"/>
          <w:cols w:equalWidth="0" w:num="3">
            <w:col w:w="3760" w:space="300"/>
            <w:col w:w="2560" w:space="260"/>
            <w:col w:w="3259"/>
          </w:cols>
          <w:pgMar w:left="320" w:top="131" w:right="1440" w:bottom="1440" w:gutter="0" w:footer="0" w:header="0"/>
        </w:sectPr>
      </w:pPr>
    </w:p>
    <w:p>
      <w:pPr>
        <w:ind w:left="1260" w:right="699" w:firstLine="360"/>
        <w:spacing w:after="0" w:line="254" w:lineRule="auto"/>
        <w:rPr>
          <w:sz w:val="20"/>
          <w:szCs w:val="20"/>
          <w:color w:val="auto"/>
        </w:rPr>
      </w:pPr>
      <w:r>
        <w:rPr>
          <w:rFonts w:ascii="Arial" w:cs="Arial" w:eastAsia="Arial" w:hAnsi="Arial"/>
          <w:sz w:val="18"/>
          <w:szCs w:val="18"/>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w:t>
      </w:r>
    </w:p>
    <w:p>
      <w:pPr>
        <w:sectPr>
          <w:pgSz w:w="11900" w:h="16838" w:orient="portrait"/>
          <w:cols w:equalWidth="0" w:num="1">
            <w:col w:w="10139"/>
          </w:cols>
          <w:pgMar w:left="320" w:top="131" w:right="1440" w:bottom="1440" w:gutter="0" w:footer="0" w:header="0"/>
          <w:type w:val="continuous"/>
        </w:sect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54" w:lineRule="auto"/>
        <w:rPr>
          <w:sz w:val="20"/>
          <w:szCs w:val="20"/>
          <w:color w:val="auto"/>
        </w:rPr>
      </w:pPr>
      <w:r>
        <w:rPr>
          <w:rFonts w:ascii="Arial" w:cs="Arial" w:eastAsia="Arial" w:hAnsi="Arial"/>
          <w:sz w:val="18"/>
          <w:szCs w:val="18"/>
          <w:color w:val="auto"/>
        </w:rPr>
        <w:t>ability to acquire larger target businesses will be limited by our available financial resources. This inherent limitation gives others an advantage in pursuing the acquisition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25" w:lineRule="exact"/>
        <w:rPr>
          <w:sz w:val="20"/>
          <w:szCs w:val="20"/>
          <w:color w:val="auto"/>
        </w:rPr>
      </w:pPr>
    </w:p>
    <w:p>
      <w:pPr>
        <w:ind w:left="1260" w:right="1039" w:firstLine="360"/>
        <w:spacing w:after="0" w:line="229" w:lineRule="auto"/>
        <w:rPr>
          <w:sz w:val="20"/>
          <w:szCs w:val="20"/>
          <w:color w:val="auto"/>
        </w:rPr>
      </w:pPr>
      <w:r>
        <w:rPr>
          <w:rFonts w:ascii="Arial" w:cs="Arial" w:eastAsia="Arial" w:hAnsi="Arial"/>
          <w:sz w:val="18"/>
          <w:szCs w:val="18"/>
          <w:color w:val="auto"/>
        </w:rPr>
        <w:t>We currently sub-lease our executive offices at 452 Fifth Avenue, 21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New York, NY 10018 from our sponsor and our phone number is 646-793-3510.</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1260" w:right="899" w:firstLine="360"/>
        <w:spacing w:after="0" w:line="254" w:lineRule="auto"/>
        <w:rPr>
          <w:sz w:val="20"/>
          <w:szCs w:val="20"/>
          <w:color w:val="auto"/>
        </w:rPr>
      </w:pPr>
      <w:r>
        <w:rPr>
          <w:rFonts w:ascii="Arial" w:cs="Arial" w:eastAsia="Arial" w:hAnsi="Arial"/>
          <w:sz w:val="18"/>
          <w:szCs w:val="18"/>
          <w:color w:val="auto"/>
        </w:rPr>
        <w:t>We currently have two executive officers: Kevin Rakin and Matt Zuga.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62"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90"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the proxy solicitation materials or tender offer documents sent to stockholders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28"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10"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ectPr>
          <w:pgSz w:w="11900" w:h="16838" w:orient="portrait"/>
          <w:cols w:equalWidth="0" w:num="1">
            <w:col w:w="10139"/>
          </w:cols>
          <w:pgMar w:left="320" w:top="131"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00" w:lineRule="exact"/>
        <w:rPr>
          <w:sz w:val="20"/>
          <w:szCs w:val="20"/>
          <w:color w:val="auto"/>
        </w:rPr>
      </w:pPr>
    </w:p>
    <w:p>
      <w:pPr>
        <w:ind w:left="1260" w:right="89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60" w:right="679" w:firstLine="2"/>
        <w:spacing w:after="0" w:line="253" w:lineRule="auto"/>
        <w:tabs>
          <w:tab w:leader="none" w:pos="15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30th, and (2) the date on which we have issued more than $1.0 billion in non-convertible debt securities during the prior three-year period.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5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ind w:left="2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6"/>
                <w:szCs w:val="16"/>
                <w:color w:val="auto"/>
              </w:rPr>
            </w:pPr>
          </w:p>
        </w:tc>
        <w:tc>
          <w:tcPr>
            <w:tcW w:w="4960" w:type="dxa"/>
            <w:vAlign w:val="bottom"/>
          </w:tcPr>
          <w:p>
            <w:pPr>
              <w:ind w:left="224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50"/>
        </w:trPr>
        <w:tc>
          <w:tcPr>
            <w:tcW w:w="2580" w:type="dxa"/>
            <w:vAlign w:val="bottom"/>
          </w:tcPr>
          <w:p>
            <w:pPr>
              <w:spacing w:after="0"/>
              <w:rPr>
                <w:sz w:val="20"/>
                <w:szCs w:val="20"/>
                <w:color w:val="auto"/>
              </w:rPr>
            </w:pPr>
            <w:r>
              <w:rPr>
                <w:rFonts w:ascii="Arial" w:cs="Arial" w:eastAsia="Arial" w:hAnsi="Arial"/>
                <w:sz w:val="18"/>
                <w:szCs w:val="18"/>
                <w:color w:val="auto"/>
              </w:rPr>
              <w:t>Kevin Rakin</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59</w:t>
            </w: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w w:val="98"/>
              </w:rPr>
              <w:t>Chief Executive Officer and Chairman of the Board of Directors</w:t>
            </w:r>
          </w:p>
        </w:tc>
      </w:tr>
      <w:tr>
        <w:trPr>
          <w:trHeight w:val="257"/>
        </w:trPr>
        <w:tc>
          <w:tcPr>
            <w:tcW w:w="2580" w:type="dxa"/>
            <w:vAlign w:val="bottom"/>
          </w:tcPr>
          <w:p>
            <w:pPr>
              <w:spacing w:after="0"/>
              <w:rPr>
                <w:sz w:val="20"/>
                <w:szCs w:val="20"/>
                <w:color w:val="auto"/>
              </w:rPr>
            </w:pPr>
            <w:r>
              <w:rPr>
                <w:rFonts w:ascii="Arial" w:cs="Arial" w:eastAsia="Arial" w:hAnsi="Arial"/>
                <w:sz w:val="18"/>
                <w:szCs w:val="18"/>
                <w:color w:val="auto"/>
              </w:rPr>
              <w:t>Matt Zuga</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55</w:t>
            </w: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 Chief Operating Officer and Director</w:t>
            </w:r>
          </w:p>
        </w:tc>
      </w:tr>
      <w:tr>
        <w:trPr>
          <w:trHeight w:val="257"/>
        </w:trPr>
        <w:tc>
          <w:tcPr>
            <w:tcW w:w="2580" w:type="dxa"/>
            <w:vAlign w:val="bottom"/>
          </w:tcPr>
          <w:p>
            <w:pPr>
              <w:spacing w:after="0"/>
              <w:rPr>
                <w:sz w:val="20"/>
                <w:szCs w:val="20"/>
                <w:color w:val="auto"/>
              </w:rPr>
            </w:pPr>
            <w:r>
              <w:rPr>
                <w:rFonts w:ascii="Arial" w:cs="Arial" w:eastAsia="Arial" w:hAnsi="Arial"/>
                <w:sz w:val="18"/>
                <w:szCs w:val="18"/>
                <w:color w:val="auto"/>
              </w:rPr>
              <w:t>David Colpman</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58</w:t>
            </w: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Director Nominee</w:t>
            </w:r>
          </w:p>
        </w:tc>
      </w:tr>
      <w:tr>
        <w:trPr>
          <w:trHeight w:val="257"/>
        </w:trPr>
        <w:tc>
          <w:tcPr>
            <w:tcW w:w="2580" w:type="dxa"/>
            <w:vAlign w:val="bottom"/>
          </w:tcPr>
          <w:p>
            <w:pPr>
              <w:spacing w:after="0"/>
              <w:rPr>
                <w:sz w:val="20"/>
                <w:szCs w:val="20"/>
                <w:color w:val="auto"/>
              </w:rPr>
            </w:pPr>
            <w:r>
              <w:rPr>
                <w:rFonts w:ascii="Arial" w:cs="Arial" w:eastAsia="Arial" w:hAnsi="Arial"/>
                <w:sz w:val="18"/>
                <w:szCs w:val="18"/>
                <w:color w:val="auto"/>
              </w:rPr>
              <w:t>Antony Loebel, M.D.</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59</w:t>
            </w: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Director Nominee</w:t>
            </w: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Robert Taub</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73</w:t>
            </w: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Director Nominee</w:t>
            </w:r>
          </w:p>
        </w:tc>
      </w:tr>
    </w:tbl>
    <w:p>
      <w:pPr>
        <w:spacing w:after="0" w:line="13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 xml:space="preserve">Kevin Rakin </w:t>
      </w:r>
      <w:r>
        <w:rPr>
          <w:rFonts w:ascii="Arial" w:cs="Arial" w:eastAsia="Arial" w:hAnsi="Arial"/>
          <w:sz w:val="18"/>
          <w:szCs w:val="18"/>
          <w:color w:val="auto"/>
        </w:rPr>
        <w:t>has been our chief executive officer and a member of our board of directors since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June 2020. Since October 2013, Mr. Rakin has been a co-founder and partner of HighCape, and he brings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more than 30 years of experience as an executive and investor in the life sciences industry. Most recently, 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served as the president of SRM from June 2011 to November 2012. Prior to joining SRM, Mr. Rakin was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chairman and chief executive officer of ABH from 2007 until its acquisition by SRM in 2011. Before</w:t>
      </w:r>
    </w:p>
    <w:p>
      <w:pPr>
        <w:ind w:left="1260"/>
        <w:spacing w:after="0"/>
        <w:rPr>
          <w:sz w:val="20"/>
          <w:szCs w:val="20"/>
          <w:color w:val="auto"/>
        </w:rPr>
      </w:pPr>
      <w:r>
        <w:rPr>
          <w:rFonts w:ascii="Arial" w:cs="Arial" w:eastAsia="Arial" w:hAnsi="Arial"/>
          <w:sz w:val="17"/>
          <w:szCs w:val="17"/>
          <w:color w:val="auto"/>
        </w:rPr>
        <w:t>that, he served as an executive-in-residence at Canaan Partners, a venture capital firm. Until its merger with</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Clinical Data in 2005, Mr. Rakin was the co-founder, president and chief executive officer of Genaissance, 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pharmacogenomics company. He is currently on the boards of Aziyo Biologics, Inc. (chairman), Cybrexa,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 Oramed Pharmaceuticals, Inc., Convexity Scientific, Inc. (chairman) and Nyxoah. Mr. Rakin received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 MBA from Columbia University and a B.Com. (Hons) from the University of Cape Town, South Africa.</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Mr. Rakin’s qualifications to serve on the board include his extensive experience in the life sciences</w:t>
      </w:r>
    </w:p>
    <w:p>
      <w:pPr>
        <w:ind w:left="1260"/>
        <w:spacing w:after="0"/>
        <w:rPr>
          <w:sz w:val="20"/>
          <w:szCs w:val="20"/>
          <w:color w:val="auto"/>
        </w:rPr>
      </w:pPr>
      <w:r>
        <w:rPr>
          <w:rFonts w:ascii="Arial" w:cs="Arial" w:eastAsia="Arial" w:hAnsi="Arial"/>
          <w:sz w:val="18"/>
          <w:szCs w:val="18"/>
          <w:color w:val="auto"/>
        </w:rPr>
        <w:t>industry, as both an executive and an investor and his network of contacts in the industry.</w:t>
      </w:r>
    </w:p>
    <w:p>
      <w:pPr>
        <w:spacing w:after="0" w:line="128" w:lineRule="exact"/>
        <w:rPr>
          <w:sz w:val="20"/>
          <w:szCs w:val="20"/>
          <w:color w:val="auto"/>
        </w:rPr>
      </w:pPr>
    </w:p>
    <w:p>
      <w:pPr>
        <w:ind w:left="1260" w:right="759" w:firstLine="360"/>
        <w:spacing w:after="0" w:line="252" w:lineRule="auto"/>
        <w:rPr>
          <w:sz w:val="20"/>
          <w:szCs w:val="20"/>
          <w:color w:val="auto"/>
        </w:rPr>
      </w:pPr>
      <w:r>
        <w:rPr>
          <w:rFonts w:ascii="Arial" w:cs="Arial" w:eastAsia="Arial" w:hAnsi="Arial"/>
          <w:sz w:val="17"/>
          <w:szCs w:val="17"/>
          <w:b w:val="1"/>
          <w:bCs w:val="1"/>
          <w:i w:val="1"/>
          <w:iCs w:val="1"/>
          <w:color w:val="auto"/>
        </w:rPr>
        <w:t xml:space="preserve">Matt Zuga </w:t>
      </w:r>
      <w:r>
        <w:rPr>
          <w:rFonts w:ascii="Arial" w:cs="Arial" w:eastAsia="Arial" w:hAnsi="Arial"/>
          <w:sz w:val="17"/>
          <w:szCs w:val="17"/>
          <w:color w:val="auto"/>
        </w:rPr>
        <w:t>has been our chief financial officer and chief operating officer since June 2020.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October 2013, Mr. Zuga has been a co-founder and partner of HighCape, and he brings more than 25 years of life sciences investment and banking experience. From August 2012 to September 2013, Mr. Zuga was a managing director of Syngenta Ventures Pte Ltd, an investment vehicle of Syngenta Corp. He was also the founder and managing member of Red Abbey, an investment company, from January 2004 to August 2012. Prior to Red Abbey, Mr. Zuga was a managing director and the head of life sciences investment banking at Legg Mason from 1999 to 2003. He is currently on the boards of Aziyo Biologics, Inc., AgriMetis, LLC, Alba Therapeutics Corporation, MF Fire, Inc. and Virtue Labs LLC. Mr. Zuga received an MBA from the Kenan-Flagler Business School at the University of North Carolina at Chapel Hill and a B.S. in Business Administration/Finance from Ohio State University. Mr. Zuga’s qualifications to serve on the board include his extensive experience in the life sciences industry, his network of contacts in the industry and his background in investing and investment banking.</w:t>
      </w:r>
    </w:p>
    <w:p>
      <w:pPr>
        <w:spacing w:after="0" w:line="102" w:lineRule="exact"/>
        <w:rPr>
          <w:sz w:val="20"/>
          <w:szCs w:val="20"/>
          <w:color w:val="auto"/>
        </w:rPr>
      </w:pPr>
    </w:p>
    <w:p>
      <w:pPr>
        <w:ind w:left="1260" w:right="839" w:firstLine="360"/>
        <w:spacing w:after="0" w:line="238" w:lineRule="auto"/>
        <w:rPr>
          <w:sz w:val="20"/>
          <w:szCs w:val="20"/>
          <w:color w:val="auto"/>
        </w:rPr>
      </w:pPr>
      <w:r>
        <w:rPr>
          <w:rFonts w:ascii="Arial" w:cs="Arial" w:eastAsia="Arial" w:hAnsi="Arial"/>
          <w:sz w:val="18"/>
          <w:szCs w:val="18"/>
          <w:b w:val="1"/>
          <w:bCs w:val="1"/>
          <w:i w:val="1"/>
          <w:iCs w:val="1"/>
          <w:color w:val="auto"/>
        </w:rPr>
        <w:t xml:space="preserve">David Colpman </w:t>
      </w:r>
      <w:r>
        <w:rPr>
          <w:rFonts w:ascii="Arial" w:cs="Arial" w:eastAsia="Arial" w:hAnsi="Arial"/>
          <w:sz w:val="18"/>
          <w:szCs w:val="18"/>
          <w:color w:val="auto"/>
        </w:rPr>
        <w:t>will serve on our board of directors following the completion of this offering.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2014 to March 2020, Mr. Colpman was the managing partner of Colpman Consulting Ltd, a business development consultancy. Prior to this, Mr. Colpman was a senior vice president at Shire Plc from 1999 to 2014. Prior to Shire Plc, Mr. Colpman had senior roles in business development at Novo Nordisk A/S, Glaxo Wellcome Plc and Boots Pharmaceuticals Ltd. Mr. Colpman serves as a member on the board of directors of HRA Pharma, SA, Forendo Pharma Ltd and Orexo AB. He is also an advisor to Sunstone Capital and HighCape Capital. Mr. Colpman received a B.Sc. from Portsmouth University in the field of pharmacy. Mr. Colpman’s qualifications to serve on the board include his substantial expertise in business development and his network of contacts in the industry.</w:t>
      </w:r>
    </w:p>
    <w:p>
      <w:pPr>
        <w:spacing w:after="0" w:line="12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7"/>
          <w:szCs w:val="17"/>
          <w:b w:val="1"/>
          <w:bCs w:val="1"/>
          <w:i w:val="1"/>
          <w:iCs w:val="1"/>
          <w:color w:val="auto"/>
        </w:rPr>
        <w:t>Antony Loebel</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M.D.</w:t>
      </w:r>
      <w:r>
        <w:rPr>
          <w:rFonts w:ascii="Arial" w:cs="Arial" w:eastAsia="Arial" w:hAnsi="Arial"/>
          <w:sz w:val="17"/>
          <w:szCs w:val="17"/>
          <w:color w:val="auto"/>
        </w:rPr>
        <w:t>, will serve on our board of directors following the completion of this offering.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Loebel has been the President and CEO of Sunovion, a global biopharmaceutical company focused on the innovative application of science and medicine to help people with serious medical conditions from April 1st, 2019. He also serves as a Director of Sunovion and as an Executive Officer of Sumitomo Dainippon Pharma Co., Ltd (the parent company of Sunovion). His prior industry experience includes seven years in drug development and medical affairs roles at Pfizer from 2001 to 2007. Since 2007, Dr. Loebel has been employed at Sunovion (or a predecessor company); he was Executive Vice President and Chief Medical Officer for 8 years until assuming the CEO role in 2019. Dr. Loebel also serves on the board of</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69" w:lineRule="auto"/>
        <w:rPr>
          <w:sz w:val="20"/>
          <w:szCs w:val="20"/>
          <w:color w:val="auto"/>
        </w:rPr>
      </w:pPr>
      <w:r>
        <w:rPr>
          <w:rFonts w:ascii="Arial" w:cs="Arial" w:eastAsia="Arial" w:hAnsi="Arial"/>
          <w:sz w:val="17"/>
          <w:szCs w:val="17"/>
          <w:color w:val="auto"/>
        </w:rPr>
        <w:t>directors of the Pharmaceutical Research and Manufacturers of America (PhRMA). Dr. Loebel is a board-certified psychiatrist, a clinical assistant professor of psychiatry at the New York University School of Medicine, a Fellow of the American Psychiatric Association (APA) and a Fellow of the American College of Neuropsychopharmacology (ACNP). For his achievements in advancing new treatments for central nervous system disorders, Dr. Loebel received the 2015 Award for Leadership from the International Society for CNS Drug Development (ISCDD) and the 2019 CNS Summit Leadership Award. He was also selected by PharmaVOICE in 2019 and 2013 as one of the “100 Most Inspiring People” in the pharmaceutical industry. Dr. Loebel earned an M.D. from the University of Washington School of Medicine in Seattle. He completed his residency in Psychiatry and a research fellowship in Clinical Neurosciences at Zucker Hillside Hospital in Glen Oaks, New York. Dr. Loebel received a B.A. from the University of Washington. Mr. Loebel’s qualifications to serve on the board include his extensive experience in the life sciences industry, his reputation in the field and his scientific expertise.</w:t>
      </w:r>
    </w:p>
    <w:p>
      <w:pPr>
        <w:spacing w:after="0" w:line="98" w:lineRule="exact"/>
        <w:rPr>
          <w:sz w:val="20"/>
          <w:szCs w:val="20"/>
          <w:color w:val="auto"/>
        </w:rPr>
      </w:pPr>
    </w:p>
    <w:p>
      <w:pPr>
        <w:ind w:left="1260" w:right="719" w:firstLine="360"/>
        <w:spacing w:after="0" w:line="266" w:lineRule="auto"/>
        <w:rPr>
          <w:sz w:val="20"/>
          <w:szCs w:val="20"/>
          <w:color w:val="auto"/>
        </w:rPr>
      </w:pPr>
      <w:r>
        <w:rPr>
          <w:rFonts w:ascii="Arial" w:cs="Arial" w:eastAsia="Arial" w:hAnsi="Arial"/>
          <w:sz w:val="17"/>
          <w:szCs w:val="17"/>
          <w:b w:val="1"/>
          <w:bCs w:val="1"/>
          <w:i w:val="1"/>
          <w:iCs w:val="1"/>
          <w:color w:val="auto"/>
        </w:rPr>
        <w:t xml:space="preserve">Robert Taub </w:t>
      </w:r>
      <w:r>
        <w:rPr>
          <w:rFonts w:ascii="Arial" w:cs="Arial" w:eastAsia="Arial" w:hAnsi="Arial"/>
          <w:sz w:val="17"/>
          <w:szCs w:val="17"/>
          <w:color w:val="auto"/>
        </w:rPr>
        <w:t>will serve on our board of directors following the completion of this offering.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2009, Mr. Taub has been the co-founder and chairman of Nyxoah, a private company which is developing implants to treat Obstructive Sleep Apnea. Mr. Taub was also the chairman of Neuroderm, a publicly traded biotech company, from November 2013 until it was sold to Mitsubishi-Tanabe for $1.1 billion in 2017. In 1995, Mr. Taub founded and served as president, chief executive officer and a member of the board of directors of Omrix, a biopharmaceutical company that marketed biological products for the biosurgical and immunotherapy markets that was sold to Johnson &amp; Johnson in 2008. Prior to establishing Omrix, Mr. Taub co-founded Octapharma AG, a human plasma fractionator, where he served from 1983 to 1995. Prior to Octapharma AG, he held various general management and sales and marketing positions with Monsanto Company, Baxter Travenol Laboratories and the Revlon Health Care Group.</w:t>
      </w:r>
    </w:p>
    <w:p>
      <w:pPr>
        <w:spacing w:after="0" w:line="8" w:lineRule="exact"/>
        <w:rPr>
          <w:sz w:val="20"/>
          <w:szCs w:val="20"/>
          <w:color w:val="auto"/>
        </w:rPr>
      </w:pPr>
    </w:p>
    <w:p>
      <w:pPr>
        <w:jc w:val="both"/>
        <w:ind w:left="1260" w:right="679"/>
        <w:spacing w:after="0" w:line="253" w:lineRule="auto"/>
        <w:rPr>
          <w:sz w:val="20"/>
          <w:szCs w:val="20"/>
          <w:color w:val="auto"/>
        </w:rPr>
      </w:pPr>
      <w:r>
        <w:rPr>
          <w:rFonts w:ascii="Arial" w:cs="Arial" w:eastAsia="Arial" w:hAnsi="Arial"/>
          <w:sz w:val="18"/>
          <w:szCs w:val="18"/>
          <w:color w:val="auto"/>
        </w:rPr>
        <w:t>Mr. Taub has been director of Maya Gold and Silver since November 2016. He received a B.A. from RUCA Antwerp University and an MBA from INSEAD in Fontainebleau, France. Mr. Taub’s qualifications to serve on the board include his extensive experience in the life sciences industry, his leadership experience and his business development expertise.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62"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Our board of directors consists of five members and is divided into three classes with only one class of directors being elected in each year, and with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first class of directors, consisting of Dr. Loebel, will expire at our first annual meeting of stockholders. The term of office of the second class of directors, consisting of Mr. Colpman and Mr. Taub, will expire at the second annual meeting of stockholders. The term of office of the third class of directors, consisting of Mr. Rakin and Mr. Zuga, will expire at the third annual meeting of stockholders.</w:t>
      </w:r>
    </w:p>
    <w:p>
      <w:pPr>
        <w:spacing w:after="0" w:line="129"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certificate of incorporation.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Nasdaq rules require that a majority of our board of directors be independent within one year of our initial public offering. An “independent director” is defined generally as a person who, in the opinion of the company’s board of directors, has no material relationship with the listed company (either directly or as a partner, stockholder or officer of an organization that has a relationship with the company). Upon the effectiveness of the registration statement of which this prospectus forms a part, we expect to have two “independent directors” as defined in Nasdaq rules and applicable SEC rules prior to completion of this offering. Our board of directors has determined that David Colpman, Antony Loebel and Robert Taub are “independent directors” as defined in the Nasdaq listing standards and applicable SEC rules. Our independent directors will have regularly scheduled meetings at which only independent directors are present.</w:t>
      </w:r>
    </w:p>
    <w:p>
      <w:pPr>
        <w:sectPr>
          <w:pgSz w:w="11900" w:h="16838" w:orient="portrait"/>
          <w:cols w:equalWidth="0" w:num="1">
            <w:col w:w="10139"/>
          </w:cols>
          <w:pgMar w:left="320" w:top="131" w:right="1440" w:bottom="1440" w:gutter="0" w:footer="0" w:header="0"/>
        </w:sectPr>
      </w:pP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1" w:name="page112"/>
    <w:bookmarkEnd w:id="11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48" w:lineRule="exact"/>
        <w:rPr>
          <w:sz w:val="20"/>
          <w:szCs w:val="20"/>
          <w:color w:val="auto"/>
        </w:rPr>
      </w:pPr>
    </w:p>
    <w:p>
      <w:pPr>
        <w:ind w:left="1260" w:right="759" w:firstLine="360"/>
        <w:spacing w:after="0" w:line="267" w:lineRule="auto"/>
        <w:rPr>
          <w:sz w:val="20"/>
          <w:szCs w:val="20"/>
          <w:color w:val="auto"/>
        </w:rPr>
      </w:pPr>
      <w:r>
        <w:rPr>
          <w:rFonts w:ascii="Arial" w:cs="Arial" w:eastAsia="Arial" w:hAnsi="Arial"/>
          <w:sz w:val="17"/>
          <w:szCs w:val="17"/>
          <w:color w:val="auto"/>
        </w:rPr>
        <w:t>None of our executive officers or directors have received any cash compensation for services rendered to us. Commencing on the date that our securities are first listed on Nasdaq through the earlier of consummation of our initial business combination and our liquidation, we will reimburse an affiliate of our sponsor for office space, secretarial and administrative services provided to members of our management team in an amount not to exceed $10,000 per month in the event such space and/or services are utilized and we do not pay a third party directly for such services.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(i) funds held outside the trust account or (ii) interest earned on the trust account and released to us to pay our taxes.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21"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14"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Upon the effectiveness of the registration statement of which this prospectus forms a part, our board of directors will have two standing committees: an audit committee and a compensation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an audit committee of the board of directors. Dr. Loebel, Mr. Colpman and Mr. Taub will serve as members of our audit committee. Under the Nasdaq listing standards and applicable SEC rules, we are</w:t>
      </w:r>
    </w:p>
    <w:p>
      <w:pPr>
        <w:sectPr>
          <w:pgSz w:w="11900" w:h="16838" w:orient="portrait"/>
          <w:cols w:equalWidth="0" w:num="1">
            <w:col w:w="10139"/>
          </w:cols>
          <w:pgMar w:left="320" w:top="131" w:right="1440" w:bottom="1440" w:gutter="0" w:footer="0" w:header="0"/>
        </w:sectPr>
      </w:pP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2" w:name="page113"/>
    <w:bookmarkEnd w:id="11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79"/>
        <w:spacing w:after="0" w:line="261" w:lineRule="auto"/>
        <w:rPr>
          <w:sz w:val="20"/>
          <w:szCs w:val="20"/>
          <w:color w:val="auto"/>
        </w:rPr>
      </w:pPr>
      <w:r>
        <w:rPr>
          <w:rFonts w:ascii="Arial" w:cs="Arial" w:eastAsia="Arial" w:hAnsi="Arial"/>
          <w:sz w:val="18"/>
          <w:szCs w:val="18"/>
          <w:color w:val="auto"/>
        </w:rPr>
        <w:t>required to have three members of the audit committee, all of whom must be independent. Dr. Loebel, Mr. Colpman and Mr. Taub are independent.</w:t>
      </w:r>
    </w:p>
    <w:p>
      <w:pPr>
        <w:spacing w:after="0" w:line="90" w:lineRule="exact"/>
        <w:rPr>
          <w:sz w:val="20"/>
          <w:szCs w:val="20"/>
          <w:color w:val="auto"/>
        </w:rPr>
      </w:pPr>
    </w:p>
    <w:p>
      <w:pPr>
        <w:ind w:left="1260" w:right="879" w:firstLine="360"/>
        <w:spacing w:after="0" w:line="248" w:lineRule="auto"/>
        <w:rPr>
          <w:sz w:val="20"/>
          <w:szCs w:val="20"/>
          <w:color w:val="auto"/>
        </w:rPr>
      </w:pPr>
      <w:r>
        <w:rPr>
          <w:rFonts w:ascii="Arial" w:cs="Arial" w:eastAsia="Arial" w:hAnsi="Arial"/>
          <w:sz w:val="18"/>
          <w:szCs w:val="18"/>
          <w:color w:val="auto"/>
        </w:rPr>
        <w:t>Dr. Loebel will serve as the chairman of the audit committee. Each member of the audit committee is financially literate and our board of directors has determined that Dr. Loebel qualifies as an “audit committee financial expert” as defined in applicable SEC rules.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audit committee is responsible for:</w:t>
      </w:r>
    </w:p>
    <w:p>
      <w:pPr>
        <w:spacing w:after="0" w:line="117" w:lineRule="exact"/>
        <w:rPr>
          <w:sz w:val="20"/>
          <w:szCs w:val="20"/>
          <w:color w:val="auto"/>
        </w:rPr>
      </w:pPr>
    </w:p>
    <w:p>
      <w:pPr>
        <w:ind w:left="1800" w:right="1159" w:hanging="178"/>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17"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117"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17" w:lineRule="exact"/>
        <w:rPr>
          <w:rFonts w:ascii="Arial" w:cs="Arial" w:eastAsia="Arial" w:hAnsi="Arial"/>
          <w:sz w:val="18"/>
          <w:szCs w:val="18"/>
          <w:color w:val="auto"/>
        </w:rPr>
      </w:pPr>
    </w:p>
    <w:p>
      <w:pPr>
        <w:ind w:left="1800" w:right="939" w:hanging="178"/>
        <w:spacing w:after="0" w:line="286" w:lineRule="auto"/>
        <w:tabs>
          <w:tab w:leader="none" w:pos="1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57" w:lineRule="exact"/>
        <w:rPr>
          <w:rFonts w:ascii="Arial" w:cs="Arial" w:eastAsia="Arial" w:hAnsi="Arial"/>
          <w:sz w:val="17"/>
          <w:szCs w:val="17"/>
          <w:color w:val="auto"/>
        </w:rPr>
      </w:pPr>
    </w:p>
    <w:p>
      <w:pPr>
        <w:ind w:left="1800" w:right="919" w:hanging="178"/>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62" w:lineRule="exact"/>
        <w:rPr>
          <w:rFonts w:ascii="Arial" w:cs="Arial" w:eastAsia="Arial" w:hAnsi="Arial"/>
          <w:sz w:val="18"/>
          <w:szCs w:val="18"/>
          <w:color w:val="auto"/>
        </w:rPr>
      </w:pPr>
    </w:p>
    <w:p>
      <w:pPr>
        <w:ind w:left="1800" w:right="699" w:hanging="178"/>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75" w:lineRule="exact"/>
        <w:rPr>
          <w:rFonts w:ascii="Arial" w:cs="Arial" w:eastAsia="Arial" w:hAnsi="Arial"/>
          <w:sz w:val="18"/>
          <w:szCs w:val="18"/>
          <w:color w:val="auto"/>
        </w:rPr>
      </w:pPr>
    </w:p>
    <w:p>
      <w:pPr>
        <w:ind w:left="1800" w:right="759" w:hanging="178"/>
        <w:spacing w:after="0" w:line="259"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stockholders,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our board of directors. The members of our compensation committee will be Mr. Colpman and Mr. Taub, and Mr. Taub will serve as chairman of the compensation committee. We will adopt a compensation committee charter, which will detail the principal functions of the compensation committee, including:</w:t>
      </w:r>
    </w:p>
    <w:p>
      <w:pPr>
        <w:spacing w:after="0" w:line="81" w:lineRule="exact"/>
        <w:rPr>
          <w:sz w:val="20"/>
          <w:szCs w:val="20"/>
          <w:color w:val="auto"/>
        </w:rPr>
      </w:pPr>
    </w:p>
    <w:p>
      <w:pPr>
        <w:ind w:left="1800" w:right="819" w:hanging="178"/>
        <w:spacing w:after="0" w:line="259"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spacing w:after="0" w:line="78" w:lineRule="exact"/>
        <w:rPr>
          <w:rFonts w:ascii="Arial" w:cs="Arial" w:eastAsia="Arial" w:hAnsi="Arial"/>
          <w:sz w:val="18"/>
          <w:szCs w:val="18"/>
          <w:color w:val="auto"/>
        </w:rPr>
      </w:pPr>
    </w:p>
    <w:p>
      <w:pPr>
        <w:ind w:left="1800" w:hanging="178"/>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17" w:lineRule="exact"/>
        <w:rPr>
          <w:rFonts w:ascii="Arial" w:cs="Arial" w:eastAsia="Arial" w:hAnsi="Arial"/>
          <w:sz w:val="18"/>
          <w:szCs w:val="18"/>
          <w:color w:val="auto"/>
        </w:rPr>
      </w:pPr>
    </w:p>
    <w:p>
      <w:pPr>
        <w:ind w:left="1800" w:right="1519" w:hanging="178"/>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62" w:lineRule="exact"/>
        <w:rPr>
          <w:rFonts w:ascii="Arial" w:cs="Arial" w:eastAsia="Arial" w:hAnsi="Arial"/>
          <w:sz w:val="18"/>
          <w:szCs w:val="18"/>
          <w:color w:val="auto"/>
        </w:rPr>
      </w:pPr>
    </w:p>
    <w:p>
      <w:pPr>
        <w:ind w:left="1800" w:right="819" w:hanging="178"/>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3" w:name="page114"/>
    <w:bookmarkEnd w:id="11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producing a report on executive compensation to be included in our annual proxy statement; and</w:t>
      </w:r>
    </w:p>
    <w:p>
      <w:pPr>
        <w:spacing w:after="0" w:line="128" w:lineRule="exact"/>
        <w:rPr>
          <w:rFonts w:ascii="Arial" w:cs="Arial" w:eastAsia="Arial" w:hAnsi="Arial"/>
          <w:sz w:val="17"/>
          <w:szCs w:val="17"/>
          <w:color w:val="auto"/>
        </w:rPr>
      </w:pPr>
    </w:p>
    <w:p>
      <w:pPr>
        <w:ind w:left="1800" w:hanging="178"/>
        <w:spacing w:after="0"/>
        <w:tabs>
          <w:tab w:leader="none" w:pos="1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reviewing, evaluating and recommending changes, if appropriate, to the remuneration for directors.</w:t>
      </w:r>
    </w:p>
    <w:p>
      <w:pPr>
        <w:spacing w:after="0" w:line="156" w:lineRule="exact"/>
        <w:rPr>
          <w:sz w:val="20"/>
          <w:szCs w:val="20"/>
          <w:color w:val="auto"/>
        </w:rPr>
      </w:pPr>
    </w:p>
    <w:p>
      <w:pPr>
        <w:ind w:left="1260" w:right="1079" w:firstLine="360"/>
        <w:spacing w:after="0" w:line="286"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w:t>
      </w:r>
    </w:p>
    <w:p>
      <w:pPr>
        <w:spacing w:after="0" w:line="9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Nominations</w:t>
      </w:r>
    </w:p>
    <w:p>
      <w:pPr>
        <w:spacing w:after="0" w:line="158" w:lineRule="exact"/>
        <w:rPr>
          <w:sz w:val="20"/>
          <w:szCs w:val="20"/>
          <w:color w:val="auto"/>
        </w:rPr>
      </w:pPr>
    </w:p>
    <w:p>
      <w:pPr>
        <w:ind w:left="1260" w:right="699" w:firstLine="360"/>
        <w:spacing w:after="0" w:line="274" w:lineRule="auto"/>
        <w:rPr>
          <w:sz w:val="20"/>
          <w:szCs w:val="20"/>
          <w:color w:val="auto"/>
        </w:rPr>
      </w:pPr>
      <w:r>
        <w:rPr>
          <w:rFonts w:ascii="Arial" w:cs="Arial" w:eastAsia="Arial" w:hAnsi="Arial"/>
          <w:sz w:val="17"/>
          <w:szCs w:val="17"/>
          <w:color w:val="auto"/>
        </w:rPr>
        <w:t>We do not have a standing nominating committee though we intend to form a corporate governance and nominating committee as and when required to do so by law or Nasdaq rules. In accordance with</w:t>
      </w:r>
    </w:p>
    <w:p>
      <w:pPr>
        <w:ind w:left="1260" w:right="759"/>
        <w:spacing w:after="0" w:line="269" w:lineRule="auto"/>
        <w:rPr>
          <w:sz w:val="20"/>
          <w:szCs w:val="20"/>
          <w:color w:val="auto"/>
        </w:rPr>
      </w:pPr>
      <w:r>
        <w:rPr>
          <w:rFonts w:ascii="Arial" w:cs="Arial" w:eastAsia="Arial" w:hAnsi="Arial"/>
          <w:sz w:val="17"/>
          <w:szCs w:val="17"/>
          <w:color w:val="auto"/>
        </w:rPr>
        <w:t>Rule 5605(e)(2) of the Nasdaq rules, a majority of the independent directors may recommend a director nominee for selection by our board of directors. Our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Dr. Loebel, Mr. Colpman and Mr. Taub. In accordance with Rule 5605(e)(1)(A) of the Nasdaq rules, all such directors are independent. As there is no standing nominating committee, we do not have a nominating committee charter in place.</w:t>
      </w:r>
    </w:p>
    <w:p>
      <w:pPr>
        <w:spacing w:after="0" w:line="99"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20"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our board of directors considers educational background, diversity of professional experience, knowledge of our business, integrity, professional reputation, independence, wisdom, and the ability to represent the best interests of our stockholders.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58"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4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Prior to the consummation of this offering, we will adopt a code of ethics applicable to our directors, officers and employees (“Code of Ethics”). A copy of the Code of Ethics will be provided without charge upon request from us. We intend to disclose any amendments to or waivers of certain provisions of our Code of Ethics in a Current Report on Form 8-K.</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62" w:lineRule="exact"/>
        <w:rPr>
          <w:sz w:val="20"/>
          <w:szCs w:val="20"/>
          <w:color w:val="auto"/>
        </w:rPr>
      </w:pPr>
    </w:p>
    <w:p>
      <w:pPr>
        <w:ind w:left="1800" w:hanging="178"/>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17" w:lineRule="exact"/>
        <w:rPr>
          <w:rFonts w:ascii="Arial" w:cs="Arial" w:eastAsia="Arial" w:hAnsi="Arial"/>
          <w:sz w:val="18"/>
          <w:szCs w:val="18"/>
          <w:color w:val="auto"/>
        </w:rPr>
      </w:pPr>
    </w:p>
    <w:p>
      <w:pPr>
        <w:ind w:left="1800" w:right="819" w:hanging="178"/>
        <w:spacing w:after="0" w:line="277"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4" w:name="page115"/>
    <w:bookmarkEnd w:id="11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60" w:firstLine="360"/>
        <w:spacing w:after="0" w:line="267"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Notwithstanding the foregoing, we may pursue an affiliated joint acquisition opportunity with one or more affiliates of HighCape and/or one or more investors in HighCape or one of its affiliates, to which an officer or director has a fiduciary or contractual obligation. Any such entity may co-invest with us in the target business at the time of our initial business combination, or we could raise additional proceeds to complete the acquisition by issuing to such entity a class of equity or equity-linked securities.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09" w:lineRule="exact"/>
        <w:rPr>
          <w:sz w:val="20"/>
          <w:szCs w:val="20"/>
          <w:color w:val="auto"/>
        </w:rPr>
      </w:pPr>
    </w:p>
    <w:p>
      <w:pPr>
        <w:ind w:left="1260" w:right="1420" w:firstLine="360"/>
        <w:spacing w:after="0" w:line="277" w:lineRule="auto"/>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or contractual obligations: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gridSpan w:val="2"/>
          </w:tcPr>
          <w:p>
            <w:pPr>
              <w:ind w:left="1260"/>
              <w:spacing w:after="0"/>
              <w:rPr>
                <w:sz w:val="20"/>
                <w:szCs w:val="20"/>
                <w:color w:val="auto"/>
              </w:rPr>
            </w:pPr>
            <w:r>
              <w:rPr>
                <w:rFonts w:ascii="Arial" w:cs="Arial" w:eastAsia="Arial" w:hAnsi="Arial"/>
                <w:sz w:val="14"/>
                <w:szCs w:val="14"/>
                <w:b w:val="1"/>
                <w:bCs w:val="1"/>
                <w:color w:val="auto"/>
              </w:rPr>
              <w:t>Individual</w:t>
            </w:r>
          </w:p>
        </w:tc>
        <w:tc>
          <w:tcPr>
            <w:tcW w:w="200" w:type="dxa"/>
            <w:vAlign w:val="bottom"/>
          </w:tcPr>
          <w:p>
            <w:pPr>
              <w:spacing w:after="0"/>
              <w:rPr>
                <w:sz w:val="16"/>
                <w:szCs w:val="16"/>
                <w:color w:val="auto"/>
              </w:rPr>
            </w:pPr>
          </w:p>
        </w:tc>
        <w:tc>
          <w:tcPr>
            <w:tcW w:w="1740" w:type="dxa"/>
            <w:vAlign w:val="bottom"/>
          </w:tcPr>
          <w:p>
            <w:pPr>
              <w:ind w:left="760"/>
              <w:spacing w:after="0"/>
              <w:rPr>
                <w:sz w:val="20"/>
                <w:szCs w:val="20"/>
                <w:color w:val="auto"/>
              </w:rPr>
            </w:pPr>
            <w:r>
              <w:rPr>
                <w:rFonts w:ascii="Arial" w:cs="Arial" w:eastAsia="Arial" w:hAnsi="Arial"/>
                <w:sz w:val="14"/>
                <w:szCs w:val="14"/>
                <w:b w:val="1"/>
                <w:bCs w:val="1"/>
                <w:color w:val="auto"/>
              </w:rPr>
              <w:t>Entity</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ind w:left="440"/>
              <w:spacing w:after="0"/>
              <w:rPr>
                <w:sz w:val="20"/>
                <w:szCs w:val="20"/>
                <w:color w:val="auto"/>
              </w:rPr>
            </w:pPr>
            <w:r>
              <w:rPr>
                <w:rFonts w:ascii="Arial" w:cs="Arial" w:eastAsia="Arial" w:hAnsi="Arial"/>
                <w:sz w:val="14"/>
                <w:szCs w:val="14"/>
                <w:b w:val="1"/>
                <w:bCs w:val="1"/>
                <w:color w:val="auto"/>
              </w:rPr>
              <w:t>Entity’s Business</w:t>
            </w:r>
          </w:p>
        </w:tc>
        <w:tc>
          <w:tcPr>
            <w:tcW w:w="220" w:type="dxa"/>
            <w:vAlign w:val="bottom"/>
          </w:tcPr>
          <w:p>
            <w:pPr>
              <w:spacing w:after="0"/>
              <w:rPr>
                <w:sz w:val="16"/>
                <w:szCs w:val="16"/>
                <w:color w:val="auto"/>
              </w:rPr>
            </w:pPr>
          </w:p>
        </w:tc>
        <w:tc>
          <w:tcPr>
            <w:tcW w:w="1900" w:type="dxa"/>
            <w:vAlign w:val="bottom"/>
          </w:tcPr>
          <w:p>
            <w:pPr>
              <w:ind w:left="640"/>
              <w:spacing w:after="0"/>
              <w:rPr>
                <w:sz w:val="20"/>
                <w:szCs w:val="20"/>
                <w:color w:val="auto"/>
              </w:rPr>
            </w:pPr>
            <w:r>
              <w:rPr>
                <w:rFonts w:ascii="Arial" w:cs="Arial" w:eastAsia="Arial" w:hAnsi="Arial"/>
                <w:sz w:val="14"/>
                <w:szCs w:val="14"/>
                <w:b w:val="1"/>
                <w:bCs w:val="1"/>
                <w:color w:val="auto"/>
              </w:rPr>
              <w:t>Affiliation</w:t>
            </w:r>
          </w:p>
        </w:tc>
        <w:tc>
          <w:tcPr>
            <w:tcW w:w="124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344"/>
        </w:trPr>
        <w:tc>
          <w:tcPr>
            <w:tcW w:w="3160" w:type="dxa"/>
            <w:vAlign w:val="bottom"/>
            <w:gridSpan w:val="2"/>
          </w:tcPr>
          <w:p>
            <w:pPr>
              <w:ind w:left="1260"/>
              <w:spacing w:after="0"/>
              <w:rPr>
                <w:sz w:val="20"/>
                <w:szCs w:val="20"/>
                <w:color w:val="auto"/>
              </w:rPr>
            </w:pPr>
            <w:r>
              <w:rPr>
                <w:rFonts w:ascii="Arial" w:cs="Arial" w:eastAsia="Arial" w:hAnsi="Arial"/>
                <w:sz w:val="18"/>
                <w:szCs w:val="18"/>
                <w:color w:val="auto"/>
              </w:rPr>
              <w:t>Kevin Rakin</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HighCape</w:t>
            </w:r>
          </w:p>
        </w:tc>
        <w:tc>
          <w:tcPr>
            <w:tcW w:w="16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Equity Fund</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w w:val="96"/>
              </w:rPr>
              <w:t>Co-Founder and Partner</w:t>
            </w:r>
          </w:p>
        </w:tc>
        <w:tc>
          <w:tcPr>
            <w:tcW w:w="1240" w:type="dxa"/>
            <w:vAlign w:val="bottom"/>
          </w:tcPr>
          <w:p>
            <w:pPr>
              <w:spacing w:after="0"/>
              <w:rPr>
                <w:sz w:val="24"/>
                <w:szCs w:val="24"/>
                <w:color w:val="auto"/>
              </w:rPr>
            </w:pPr>
          </w:p>
        </w:tc>
      </w:tr>
      <w:tr>
        <w:trPr>
          <w:trHeight w:val="297"/>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Aziyo Biologics, Inc.</w:t>
            </w:r>
          </w:p>
        </w:tc>
        <w:tc>
          <w:tcPr>
            <w:tcW w:w="16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Biotechnology</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240" w:type="dxa"/>
            <w:vAlign w:val="bottom"/>
          </w:tcPr>
          <w:p>
            <w:pPr>
              <w:spacing w:after="0"/>
              <w:rPr>
                <w:sz w:val="24"/>
                <w:szCs w:val="24"/>
                <w:color w:val="auto"/>
              </w:rPr>
            </w:pPr>
          </w:p>
        </w:tc>
      </w:tr>
      <w:tr>
        <w:trPr>
          <w:trHeight w:val="283"/>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Cybrexa, Inc.</w:t>
            </w:r>
          </w:p>
        </w:tc>
        <w:tc>
          <w:tcPr>
            <w:tcW w:w="16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Biotechnology</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240" w:type="dxa"/>
            <w:vAlign w:val="bottom"/>
          </w:tcPr>
          <w:p>
            <w:pPr>
              <w:spacing w:after="0"/>
              <w:rPr>
                <w:sz w:val="24"/>
                <w:szCs w:val="24"/>
                <w:color w:val="auto"/>
              </w:rPr>
            </w:pPr>
          </w:p>
        </w:tc>
      </w:tr>
      <w:tr>
        <w:trPr>
          <w:trHeight w:val="256"/>
        </w:trPr>
        <w:tc>
          <w:tcPr>
            <w:tcW w:w="12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Oramed</w:t>
            </w:r>
          </w:p>
        </w:tc>
        <w:tc>
          <w:tcPr>
            <w:tcW w:w="160" w:type="dxa"/>
            <w:vAlign w:val="bottom"/>
          </w:tcPr>
          <w:p>
            <w:pPr>
              <w:spacing w:after="0"/>
              <w:rPr>
                <w:sz w:val="22"/>
                <w:szCs w:val="22"/>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Oral Drugs</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240" w:type="dxa"/>
            <w:vAlign w:val="bottom"/>
          </w:tcPr>
          <w:p>
            <w:pPr>
              <w:spacing w:after="0"/>
              <w:rPr>
                <w:sz w:val="22"/>
                <w:szCs w:val="22"/>
                <w:color w:val="auto"/>
              </w:rPr>
            </w:pPr>
          </w:p>
        </w:tc>
      </w:tr>
      <w:tr>
        <w:trPr>
          <w:trHeight w:val="230"/>
        </w:trPr>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w w:val="99"/>
              </w:rPr>
              <w:t>Pharmaceuticals, Inc.</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9"/>
        </w:trPr>
        <w:tc>
          <w:tcPr>
            <w:tcW w:w="12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Convexity Scientific,</w:t>
            </w:r>
          </w:p>
        </w:tc>
        <w:tc>
          <w:tcPr>
            <w:tcW w:w="160" w:type="dxa"/>
            <w:vAlign w:val="bottom"/>
          </w:tcPr>
          <w:p>
            <w:pPr>
              <w:spacing w:after="0"/>
              <w:rPr>
                <w:sz w:val="23"/>
                <w:szCs w:val="23"/>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Respiratory Treatment</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240" w:type="dxa"/>
            <w:vAlign w:val="bottom"/>
          </w:tcPr>
          <w:p>
            <w:pPr>
              <w:spacing w:after="0"/>
              <w:rPr>
                <w:sz w:val="23"/>
                <w:szCs w:val="23"/>
                <w:color w:val="auto"/>
              </w:rPr>
            </w:pPr>
          </w:p>
        </w:tc>
      </w:tr>
      <w:tr>
        <w:trPr>
          <w:trHeight w:val="230"/>
        </w:trPr>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Inc.</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7"/>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Nyxoah S.A.</w:t>
            </w:r>
          </w:p>
        </w:tc>
        <w:tc>
          <w:tcPr>
            <w:tcW w:w="16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w w:val="97"/>
              </w:rPr>
              <w:t>Sleep Apnea Treatment</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240" w:type="dxa"/>
            <w:vAlign w:val="bottom"/>
          </w:tcPr>
          <w:p>
            <w:pPr>
              <w:spacing w:after="0"/>
              <w:rPr>
                <w:sz w:val="24"/>
                <w:szCs w:val="24"/>
                <w:color w:val="auto"/>
              </w:rPr>
            </w:pPr>
          </w:p>
        </w:tc>
      </w:tr>
      <w:tr>
        <w:trPr>
          <w:trHeight w:val="378"/>
        </w:trPr>
        <w:tc>
          <w:tcPr>
            <w:tcW w:w="3160" w:type="dxa"/>
            <w:vAlign w:val="bottom"/>
            <w:gridSpan w:val="2"/>
          </w:tcPr>
          <w:p>
            <w:pPr>
              <w:ind w:left="1260"/>
              <w:spacing w:after="0"/>
              <w:rPr>
                <w:sz w:val="20"/>
                <w:szCs w:val="20"/>
                <w:color w:val="auto"/>
              </w:rPr>
            </w:pPr>
            <w:r>
              <w:rPr>
                <w:rFonts w:ascii="Arial" w:cs="Arial" w:eastAsia="Arial" w:hAnsi="Arial"/>
                <w:sz w:val="18"/>
                <w:szCs w:val="18"/>
                <w:color w:val="auto"/>
              </w:rPr>
              <w:t>Matt Zuga</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HighCape</w:t>
            </w:r>
          </w:p>
        </w:tc>
        <w:tc>
          <w:tcPr>
            <w:tcW w:w="16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Equity Fund</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w w:val="96"/>
              </w:rPr>
              <w:t>Co-Founder and Partner</w:t>
            </w:r>
          </w:p>
        </w:tc>
        <w:tc>
          <w:tcPr>
            <w:tcW w:w="1240" w:type="dxa"/>
            <w:vAlign w:val="bottom"/>
          </w:tcPr>
          <w:p>
            <w:pPr>
              <w:spacing w:after="0"/>
              <w:rPr>
                <w:sz w:val="24"/>
                <w:szCs w:val="24"/>
                <w:color w:val="auto"/>
              </w:rPr>
            </w:pPr>
          </w:p>
        </w:tc>
      </w:tr>
      <w:tr>
        <w:trPr>
          <w:trHeight w:val="297"/>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Aziyo Biologics, Inc.</w:t>
            </w:r>
          </w:p>
        </w:tc>
        <w:tc>
          <w:tcPr>
            <w:tcW w:w="16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Biotechnology</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240" w:type="dxa"/>
            <w:vAlign w:val="bottom"/>
          </w:tcPr>
          <w:p>
            <w:pPr>
              <w:spacing w:after="0"/>
              <w:rPr>
                <w:sz w:val="24"/>
                <w:szCs w:val="24"/>
                <w:color w:val="auto"/>
              </w:rPr>
            </w:pPr>
          </w:p>
        </w:tc>
      </w:tr>
      <w:tr>
        <w:trPr>
          <w:trHeight w:val="297"/>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AgriMetis, LLC</w:t>
            </w:r>
          </w:p>
        </w:tc>
        <w:tc>
          <w:tcPr>
            <w:tcW w:w="16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Agrisciences</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240" w:type="dxa"/>
            <w:vAlign w:val="bottom"/>
          </w:tcPr>
          <w:p>
            <w:pPr>
              <w:spacing w:after="0"/>
              <w:rPr>
                <w:sz w:val="24"/>
                <w:szCs w:val="24"/>
                <w:color w:val="auto"/>
              </w:rPr>
            </w:pPr>
          </w:p>
        </w:tc>
      </w:tr>
      <w:tr>
        <w:trPr>
          <w:trHeight w:val="269"/>
        </w:trPr>
        <w:tc>
          <w:tcPr>
            <w:tcW w:w="12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Alba Therapeutics</w:t>
            </w:r>
          </w:p>
        </w:tc>
        <w:tc>
          <w:tcPr>
            <w:tcW w:w="160" w:type="dxa"/>
            <w:vAlign w:val="bottom"/>
          </w:tcPr>
          <w:p>
            <w:pPr>
              <w:spacing w:after="0"/>
              <w:rPr>
                <w:sz w:val="23"/>
                <w:szCs w:val="23"/>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Biopharmaceuticals</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240" w:type="dxa"/>
            <w:vAlign w:val="bottom"/>
          </w:tcPr>
          <w:p>
            <w:pPr>
              <w:spacing w:after="0"/>
              <w:rPr>
                <w:sz w:val="23"/>
                <w:szCs w:val="23"/>
                <w:color w:val="auto"/>
              </w:rPr>
            </w:pPr>
          </w:p>
        </w:tc>
      </w:tr>
      <w:tr>
        <w:trPr>
          <w:trHeight w:val="230"/>
        </w:trPr>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Corporation</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11"/>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MF Fire, Inc.</w:t>
            </w:r>
          </w:p>
        </w:tc>
        <w:tc>
          <w:tcPr>
            <w:tcW w:w="16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Consumer Products</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240" w:type="dxa"/>
            <w:vAlign w:val="bottom"/>
          </w:tcPr>
          <w:p>
            <w:pPr>
              <w:spacing w:after="0"/>
              <w:rPr>
                <w:sz w:val="24"/>
                <w:szCs w:val="24"/>
                <w:color w:val="auto"/>
              </w:rPr>
            </w:pPr>
          </w:p>
        </w:tc>
      </w:tr>
      <w:tr>
        <w:trPr>
          <w:trHeight w:val="297"/>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Virtue Labs, LLC</w:t>
            </w:r>
          </w:p>
        </w:tc>
        <w:tc>
          <w:tcPr>
            <w:tcW w:w="16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Consumer Products</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240" w:type="dxa"/>
            <w:vAlign w:val="bottom"/>
          </w:tcPr>
          <w:p>
            <w:pPr>
              <w:spacing w:after="0"/>
              <w:rPr>
                <w:sz w:val="24"/>
                <w:szCs w:val="24"/>
                <w:color w:val="auto"/>
              </w:rPr>
            </w:pPr>
          </w:p>
        </w:tc>
      </w:tr>
      <w:tr>
        <w:trPr>
          <w:trHeight w:val="405"/>
        </w:trPr>
        <w:tc>
          <w:tcPr>
            <w:tcW w:w="3160" w:type="dxa"/>
            <w:vAlign w:val="bottom"/>
            <w:gridSpan w:val="2"/>
          </w:tcPr>
          <w:p>
            <w:pPr>
              <w:ind w:left="1260"/>
              <w:spacing w:after="0"/>
              <w:rPr>
                <w:sz w:val="20"/>
                <w:szCs w:val="20"/>
                <w:color w:val="auto"/>
              </w:rPr>
            </w:pPr>
            <w:r>
              <w:rPr>
                <w:rFonts w:ascii="Arial" w:cs="Arial" w:eastAsia="Arial" w:hAnsi="Arial"/>
                <w:sz w:val="18"/>
                <w:szCs w:val="18"/>
                <w:color w:val="auto"/>
              </w:rPr>
              <w:t>David Colpman</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HRA Pharma, SA</w:t>
            </w:r>
          </w:p>
        </w:tc>
        <w:tc>
          <w:tcPr>
            <w:tcW w:w="16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Biopharmaceuticals</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240" w:type="dxa"/>
            <w:vAlign w:val="bottom"/>
          </w:tcPr>
          <w:p>
            <w:pPr>
              <w:spacing w:after="0"/>
              <w:rPr>
                <w:sz w:val="24"/>
                <w:szCs w:val="24"/>
                <w:color w:val="auto"/>
              </w:rPr>
            </w:pPr>
          </w:p>
        </w:tc>
      </w:tr>
      <w:tr>
        <w:trPr>
          <w:trHeight w:val="297"/>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Forendo Pharma Ltd</w:t>
            </w:r>
          </w:p>
        </w:tc>
        <w:tc>
          <w:tcPr>
            <w:tcW w:w="16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Drug Development</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240" w:type="dxa"/>
            <w:vAlign w:val="bottom"/>
          </w:tcPr>
          <w:p>
            <w:pPr>
              <w:spacing w:after="0"/>
              <w:rPr>
                <w:sz w:val="24"/>
                <w:szCs w:val="24"/>
                <w:color w:val="auto"/>
              </w:rPr>
            </w:pPr>
          </w:p>
        </w:tc>
      </w:tr>
      <w:tr>
        <w:trPr>
          <w:trHeight w:val="297"/>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Orexo AB</w:t>
            </w:r>
          </w:p>
        </w:tc>
        <w:tc>
          <w:tcPr>
            <w:tcW w:w="16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Pharmaceuticals</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240" w:type="dxa"/>
            <w:vAlign w:val="bottom"/>
          </w:tcPr>
          <w:p>
            <w:pPr>
              <w:spacing w:after="0"/>
              <w:rPr>
                <w:sz w:val="24"/>
                <w:szCs w:val="24"/>
                <w:color w:val="auto"/>
              </w:rPr>
            </w:pPr>
          </w:p>
        </w:tc>
      </w:tr>
      <w:tr>
        <w:trPr>
          <w:trHeight w:val="377"/>
        </w:trPr>
        <w:tc>
          <w:tcPr>
            <w:tcW w:w="3160" w:type="dxa"/>
            <w:vAlign w:val="bottom"/>
            <w:gridSpan w:val="2"/>
          </w:tcPr>
          <w:p>
            <w:pPr>
              <w:ind w:left="1260"/>
              <w:spacing w:after="0"/>
              <w:rPr>
                <w:sz w:val="20"/>
                <w:szCs w:val="20"/>
                <w:color w:val="auto"/>
              </w:rPr>
            </w:pPr>
            <w:r>
              <w:rPr>
                <w:rFonts w:ascii="Arial" w:cs="Arial" w:eastAsia="Arial" w:hAnsi="Arial"/>
                <w:sz w:val="18"/>
                <w:szCs w:val="18"/>
                <w:color w:val="auto"/>
              </w:rPr>
              <w:t>Antony Loebel, M.D.</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Sunovion</w:t>
            </w:r>
          </w:p>
        </w:tc>
        <w:tc>
          <w:tcPr>
            <w:tcW w:w="16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Biopharmaceuticals</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w:t>
            </w:r>
          </w:p>
        </w:tc>
        <w:tc>
          <w:tcPr>
            <w:tcW w:w="124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Pharmaceuticals Inc.</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and President</w:t>
            </w:r>
          </w:p>
        </w:tc>
        <w:tc>
          <w:tcPr>
            <w:tcW w:w="1240" w:type="dxa"/>
            <w:vAlign w:val="bottom"/>
          </w:tcPr>
          <w:p>
            <w:pPr>
              <w:spacing w:after="0"/>
              <w:rPr>
                <w:sz w:val="20"/>
                <w:szCs w:val="20"/>
                <w:color w:val="auto"/>
              </w:rPr>
            </w:pPr>
          </w:p>
        </w:tc>
      </w:tr>
      <w:tr>
        <w:trPr>
          <w:trHeight w:val="283"/>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Sumitomo Dainippon</w:t>
            </w:r>
          </w:p>
        </w:tc>
        <w:tc>
          <w:tcPr>
            <w:tcW w:w="16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Biopharmaceuticals</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Executive Leadership</w:t>
            </w:r>
          </w:p>
        </w:tc>
        <w:tc>
          <w:tcPr>
            <w:tcW w:w="124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Pharma Co., Ltd</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Team Member</w:t>
            </w:r>
          </w:p>
        </w:tc>
        <w:tc>
          <w:tcPr>
            <w:tcW w:w="1240" w:type="dxa"/>
            <w:vAlign w:val="bottom"/>
          </w:tcPr>
          <w:p>
            <w:pPr>
              <w:spacing w:after="0"/>
              <w:rPr>
                <w:sz w:val="20"/>
                <w:szCs w:val="20"/>
                <w:color w:val="auto"/>
              </w:rPr>
            </w:pPr>
          </w:p>
        </w:tc>
      </w:tr>
      <w:tr>
        <w:trPr>
          <w:trHeight w:val="661"/>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60" w:type="dxa"/>
            <w:vAlign w:val="bottom"/>
            <w:gridSpan w:val="3"/>
          </w:tcPr>
          <w:p>
            <w:pPr>
              <w:jc w:val="right"/>
              <w:ind w:right="1808"/>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15" w:name="page116"/>
    <w:bookmarkEnd w:id="11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00" w:type="dxa"/>
            <w:vAlign w:val="bottom"/>
          </w:tcPr>
          <w:p>
            <w:pPr>
              <w:spacing w:after="0"/>
              <w:rPr>
                <w:sz w:val="20"/>
                <w:szCs w:val="20"/>
                <w:color w:val="auto"/>
              </w:rPr>
            </w:pPr>
            <w:r>
              <w:rPr>
                <w:rFonts w:ascii="Arial" w:cs="Arial" w:eastAsia="Arial" w:hAnsi="Arial"/>
                <w:sz w:val="14"/>
                <w:szCs w:val="14"/>
                <w:b w:val="1"/>
                <w:bCs w:val="1"/>
                <w:color w:val="auto"/>
              </w:rPr>
              <w:t>Individual</w:t>
            </w:r>
          </w:p>
        </w:tc>
        <w:tc>
          <w:tcPr>
            <w:tcW w:w="200" w:type="dxa"/>
            <w:vAlign w:val="bottom"/>
          </w:tcPr>
          <w:p>
            <w:pPr>
              <w:spacing w:after="0"/>
              <w:rPr>
                <w:sz w:val="16"/>
                <w:szCs w:val="16"/>
                <w:color w:val="auto"/>
              </w:rPr>
            </w:pPr>
          </w:p>
        </w:tc>
        <w:tc>
          <w:tcPr>
            <w:tcW w:w="1900" w:type="dxa"/>
            <w:vAlign w:val="bottom"/>
          </w:tcPr>
          <w:p>
            <w:pPr>
              <w:ind w:left="76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6"/>
                <w:szCs w:val="16"/>
                <w:color w:val="auto"/>
              </w:rPr>
            </w:pPr>
          </w:p>
        </w:tc>
        <w:tc>
          <w:tcPr>
            <w:tcW w:w="1880" w:type="dxa"/>
            <w:vAlign w:val="bottom"/>
          </w:tcPr>
          <w:p>
            <w:pPr>
              <w:ind w:left="440"/>
              <w:spacing w:after="0"/>
              <w:rPr>
                <w:sz w:val="20"/>
                <w:szCs w:val="20"/>
                <w:color w:val="auto"/>
              </w:rPr>
            </w:pPr>
            <w:r>
              <w:rPr>
                <w:rFonts w:ascii="Arial" w:cs="Arial" w:eastAsia="Arial" w:hAnsi="Arial"/>
                <w:sz w:val="14"/>
                <w:szCs w:val="14"/>
                <w:b w:val="1"/>
                <w:bCs w:val="1"/>
                <w:color w:val="auto"/>
              </w:rPr>
              <w:t>Entity’s Business</w:t>
            </w:r>
          </w:p>
        </w:tc>
        <w:tc>
          <w:tcPr>
            <w:tcW w:w="220" w:type="dxa"/>
            <w:vAlign w:val="bottom"/>
          </w:tcPr>
          <w:p>
            <w:pPr>
              <w:spacing w:after="0"/>
              <w:rPr>
                <w:sz w:val="16"/>
                <w:szCs w:val="16"/>
                <w:color w:val="auto"/>
              </w:rPr>
            </w:pPr>
          </w:p>
        </w:tc>
        <w:tc>
          <w:tcPr>
            <w:tcW w:w="1900" w:type="dxa"/>
            <w:vAlign w:val="bottom"/>
          </w:tcPr>
          <w:p>
            <w:pPr>
              <w:ind w:left="640"/>
              <w:spacing w:after="0"/>
              <w:rPr>
                <w:sz w:val="20"/>
                <w:szCs w:val="20"/>
                <w:color w:val="auto"/>
              </w:rPr>
            </w:pPr>
            <w:r>
              <w:rPr>
                <w:rFonts w:ascii="Arial" w:cs="Arial" w:eastAsia="Arial" w:hAnsi="Arial"/>
                <w:sz w:val="14"/>
                <w:szCs w:val="14"/>
                <w:b w:val="1"/>
                <w:bCs w:val="1"/>
                <w:color w:val="auto"/>
              </w:rPr>
              <w:t>Affiliation</w:t>
            </w:r>
          </w:p>
        </w:tc>
      </w:tr>
      <w:tr>
        <w:trPr>
          <w:trHeight w:val="26"/>
        </w:trPr>
        <w:tc>
          <w:tcPr>
            <w:tcW w:w="1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330"/>
        </w:trPr>
        <w:tc>
          <w:tcPr>
            <w:tcW w:w="1900" w:type="dxa"/>
            <w:vAlign w:val="bottom"/>
          </w:tcPr>
          <w:p>
            <w:pPr>
              <w:spacing w:after="0"/>
              <w:rPr>
                <w:sz w:val="20"/>
                <w:szCs w:val="20"/>
                <w:color w:val="auto"/>
              </w:rPr>
            </w:pPr>
            <w:r>
              <w:rPr>
                <w:rFonts w:ascii="Arial" w:cs="Arial" w:eastAsia="Arial" w:hAnsi="Arial"/>
                <w:sz w:val="18"/>
                <w:szCs w:val="18"/>
                <w:color w:val="auto"/>
              </w:rPr>
              <w:t>Robert Taub</w:t>
            </w: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Nyxoah S.A.</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w w:val="97"/>
              </w:rPr>
              <w:t>Sleep Apnea Treatment</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Chairman and Co-</w:t>
            </w:r>
          </w:p>
        </w:tc>
      </w:tr>
      <w:tr>
        <w:trPr>
          <w:trHeight w:val="230"/>
        </w:trPr>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Founder</w:t>
            </w:r>
          </w:p>
        </w:tc>
      </w:tr>
      <w:tr>
        <w:trPr>
          <w:trHeight w:val="270"/>
        </w:trPr>
        <w:tc>
          <w:tcPr>
            <w:tcW w:w="1900" w:type="dxa"/>
            <w:vAlign w:val="bottom"/>
          </w:tcPr>
          <w:p>
            <w:pPr>
              <w:spacing w:after="0"/>
              <w:rPr>
                <w:sz w:val="23"/>
                <w:szCs w:val="23"/>
                <w:color w:val="auto"/>
              </w:rPr>
            </w:pP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Maya Gold and Silver</w:t>
            </w:r>
          </w:p>
        </w:tc>
        <w:tc>
          <w:tcPr>
            <w:tcW w:w="2100" w:type="dxa"/>
            <w:vAlign w:val="bottom"/>
            <w:gridSpan w:val="2"/>
          </w:tcPr>
          <w:p>
            <w:pPr>
              <w:ind w:left="220"/>
              <w:spacing w:after="0"/>
              <w:rPr>
                <w:sz w:val="20"/>
                <w:szCs w:val="20"/>
                <w:color w:val="auto"/>
              </w:rPr>
            </w:pPr>
            <w:r>
              <w:rPr>
                <w:rFonts w:ascii="Arial" w:cs="Arial" w:eastAsia="Arial" w:hAnsi="Arial"/>
                <w:sz w:val="18"/>
                <w:szCs w:val="18"/>
                <w:color w:val="auto"/>
              </w:rPr>
              <w:t>Metals &amp; Mining</w:t>
            </w:r>
          </w:p>
        </w:tc>
        <w:tc>
          <w:tcPr>
            <w:tcW w:w="2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04" w:lineRule="exact"/>
        <w:rPr>
          <w:sz w:val="20"/>
          <w:szCs w:val="20"/>
          <w:color w:val="auto"/>
        </w:rPr>
      </w:pPr>
    </w:p>
    <w:p>
      <w:pPr>
        <w:ind w:left="1800" w:right="799" w:hanging="178"/>
        <w:spacing w:after="0" w:line="269" w:lineRule="auto"/>
        <w:tabs>
          <w:tab w:leader="none" w:pos="1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In addition,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70" w:lineRule="exact"/>
        <w:rPr>
          <w:rFonts w:ascii="Arial" w:cs="Arial" w:eastAsia="Arial" w:hAnsi="Arial"/>
          <w:sz w:val="17"/>
          <w:szCs w:val="17"/>
          <w:color w:val="auto"/>
        </w:rPr>
      </w:pPr>
    </w:p>
    <w:p>
      <w:pPr>
        <w:ind w:left="1800" w:right="699" w:hanging="178"/>
        <w:spacing w:after="0" w:line="266" w:lineRule="auto"/>
        <w:tabs>
          <w:tab w:leader="none" w:pos="1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initial stockholders purchased founder shares prior to the date of this prospectus and will purchase private placement units in a transaction that will close simultaneously with the closing of this offering. Our initial stockholders have entered into agreements with us, pursuant to which they have agreed to waive their redemption rights with respect to their founder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or after this offering. Additionally, our initial stockholders have agreed to waive their rights to liquidating distributions from the trust account with respect to their founder shares if we fail to complete our initial business combination within the prescribed time frame. If we do not complete our initial business combination within the prescribed time frame, the private placement units (and the underlying securities) will expire worthless. Furthermore, our initial stockholders have agreed not to transfer, assign or sell any of their founder shares until the earlier to occur of: (i)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 shares will be released from the lockup. Subject to certain limited exceptions, the private placement units will not be transferable until 30 days following the completion of our initial business combination. Because each of our executive officers and director nominees will own common stock or warrants directly or indirectly, they may have a conflict of interest in determining whether a particular target business is an appropriate business with which to effectuate our initial business combination.</w:t>
      </w:r>
    </w:p>
    <w:p>
      <w:pPr>
        <w:spacing w:after="0" w:line="307" w:lineRule="exact"/>
        <w:rPr>
          <w:rFonts w:ascii="Arial" w:cs="Arial" w:eastAsia="Arial" w:hAnsi="Arial"/>
          <w:sz w:val="17"/>
          <w:szCs w:val="17"/>
          <w:color w:val="auto"/>
        </w:rPr>
      </w:pPr>
    </w:p>
    <w:p>
      <w:pPr>
        <w:ind w:left="1800" w:right="739" w:hanging="178"/>
        <w:spacing w:after="0" w:line="286" w:lineRule="auto"/>
        <w:tabs>
          <w:tab w:leader="none" w:pos="1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98"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which is a member of FINRA or an independent accounting firm, that such initial business combination is fair to our company from a financial point of view. We are</w:t>
      </w:r>
    </w:p>
    <w:p>
      <w:pPr>
        <w:sectPr>
          <w:pgSz w:w="11900" w:h="16838" w:orient="portrait"/>
          <w:cols w:equalWidth="0" w:num="1">
            <w:col w:w="10139"/>
          </w:cols>
          <w:pgMar w:left="320" w:top="131"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72" w:lineRule="auto"/>
        <w:rPr>
          <w:sz w:val="20"/>
          <w:szCs w:val="20"/>
          <w:color w:val="auto"/>
        </w:rPr>
      </w:pPr>
      <w:r>
        <w:rPr>
          <w:rFonts w:ascii="Arial" w:cs="Arial" w:eastAsia="Arial" w:hAnsi="Arial"/>
          <w:sz w:val="17"/>
          <w:szCs w:val="17"/>
          <w:color w:val="auto"/>
        </w:rPr>
        <w:t>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reimburse an affiliate of our sponsor, for office space, secretarial and administrative services provided to members of our management team in an amount not to exceed $10,000 per month in the event such space and/or services are utilized and we do not pay directly for such services.</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5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initial stockholders have agreed to vote their founder shares, and they and the other members of our management team have agreed to vote any founder shares they hold and any shares purchased during or after the offering in favor of our initial business combination.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62"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11"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this offering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11"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25" w:lineRule="exact"/>
        <w:rPr>
          <w:sz w:val="20"/>
          <w:szCs w:val="20"/>
          <w:color w:val="auto"/>
        </w:rPr>
      </w:pPr>
    </w:p>
    <w:p>
      <w:pPr>
        <w:ind w:left="1260" w:right="1159" w:firstLine="360"/>
        <w:spacing w:after="0" w:line="308" w:lineRule="auto"/>
        <w:rPr>
          <w:sz w:val="20"/>
          <w:szCs w:val="20"/>
          <w:color w:val="auto"/>
        </w:rPr>
      </w:pPr>
      <w:r>
        <w:rPr>
          <w:rFonts w:ascii="Arial" w:cs="Arial" w:eastAsia="Arial" w:hAnsi="Arial"/>
          <w:sz w:val="17"/>
          <w:szCs w:val="17"/>
          <w:color w:val="auto"/>
        </w:rPr>
        <w:t>We believe that these provisions, the directors’ and officers’ liability insurance and the indemnity agreements are necessary to attract and retain talented and experienced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the date of this prospectus, and as adjusted to reflect the sale of our Class A common stock included in the units offered by this prospectus, and assuming no purchase of units in this offering, by:</w:t>
      </w:r>
    </w:p>
    <w:p>
      <w:pPr>
        <w:spacing w:after="0" w:line="71" w:lineRule="exact"/>
        <w:rPr>
          <w:sz w:val="20"/>
          <w:szCs w:val="20"/>
          <w:color w:val="auto"/>
        </w:rPr>
      </w:pPr>
    </w:p>
    <w:p>
      <w:pPr>
        <w:ind w:left="1800" w:right="959" w:hanging="178"/>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5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common stock beneficially owned by them. The following table does not reflect record or beneficial ownership of the private placement warrants as these warrants are not exercisable within 60 days of the date of this prospectus.</w:t>
      </w:r>
    </w:p>
    <w:p>
      <w:pPr>
        <w:spacing w:after="0" w:line="106"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On June 10, 2020, our sponsor purchased an aggregate of 2,875,000 founder shares in exchange for a capital contribution of $25,000, or approximately $0.009 per share. In June 2020, our sponsor transferred 30,000 founder shares to each of David Colpman, Antony Loebel and Robert Taub, resulting in our sponsor holding 2,785,000 founder shares.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11,500,000 units if the underwriters’ over-allotment option is exercised in full, and therefore that such founder shares would represent 20% of the outstanding shares after this offering, excluding the private placement shares underlying the private placement units. Up to 375,000 of the founder shares will be forfeited depending on the extent to which the underwriters’ over-allotment is exercised. The post-offering percentages in the following table assume that the underwriters do not exercise their over-allotment option, that our initial stockholders have forfeited 375,000 founder shares, and that there are 12,875,000 shares of common stock, consisting of (i) 10,375,000 shares of our Class A common stock (including 10,000,000 public shares and 375,000 private placement shares) and (ii) 2,500,000 shares of our Class B common stock issued and outstanding after this offering.</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4"/>
          </w:tcPr>
          <w:p>
            <w:pPr>
              <w:ind w:left="420"/>
              <w:spacing w:after="0"/>
              <w:rPr>
                <w:sz w:val="20"/>
                <w:szCs w:val="20"/>
                <w:color w:val="auto"/>
              </w:rPr>
            </w:pPr>
            <w:r>
              <w:rPr>
                <w:rFonts w:ascii="Arial" w:cs="Arial" w:eastAsia="Arial" w:hAnsi="Arial"/>
                <w:sz w:val="14"/>
                <w:szCs w:val="14"/>
                <w:b w:val="1"/>
                <w:bCs w:val="1"/>
                <w:color w:val="auto"/>
              </w:rPr>
              <w:t>Before Offering</w:t>
            </w:r>
          </w:p>
        </w:tc>
        <w:tc>
          <w:tcPr>
            <w:tcW w:w="1800" w:type="dxa"/>
            <w:vAlign w:val="bottom"/>
            <w:gridSpan w:val="3"/>
          </w:tcPr>
          <w:p>
            <w:pPr>
              <w:jc w:val="right"/>
              <w:ind w:right="398"/>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Approximate</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percentage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percentage of</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Outstanding</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of Shares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62"/>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tc>
        <w:tc>
          <w:tcPr>
            <w:tcW w:w="180" w:type="dxa"/>
            <w:vAlign w:val="bottom"/>
            <w:vMerge w:val="restart"/>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Beneficially</w:t>
            </w:r>
          </w:p>
        </w:tc>
        <w:tc>
          <w:tcPr>
            <w:tcW w:w="2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Beneficially</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212"/>
        </w:trPr>
        <w:tc>
          <w:tcPr>
            <w:tcW w:w="426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63"/>
        </w:trPr>
        <w:tc>
          <w:tcPr>
            <w:tcW w:w="426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HighCape Capital Acquisition LLC (our sponsor)</w:t>
            </w:r>
            <w:r>
              <w:rPr>
                <w:rFonts w:ascii="Arial" w:cs="Arial" w:eastAsia="Arial" w:hAnsi="Arial"/>
                <w:sz w:val="26"/>
                <w:szCs w:val="26"/>
                <w:color w:val="auto"/>
                <w:vertAlign w:val="superscript"/>
              </w:rPr>
              <w:t>(3)</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2,785,000</w:t>
            </w: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2,785,000</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57"/>
        </w:trPr>
        <w:tc>
          <w:tcPr>
            <w:tcW w:w="4440" w:type="dxa"/>
            <w:vAlign w:val="bottom"/>
            <w:gridSpan w:val="3"/>
          </w:tcPr>
          <w:p>
            <w:pPr>
              <w:spacing w:after="0"/>
              <w:rPr>
                <w:sz w:val="20"/>
                <w:szCs w:val="20"/>
                <w:color w:val="auto"/>
              </w:rPr>
            </w:pPr>
            <w:r>
              <w:rPr>
                <w:rFonts w:ascii="Arial" w:cs="Arial" w:eastAsia="Arial" w:hAnsi="Arial"/>
                <w:sz w:val="18"/>
                <w:szCs w:val="18"/>
                <w:color w:val="auto"/>
              </w:rPr>
              <w:t>Kevin Rakin</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4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Matt Zuga</w:t>
            </w:r>
            <w:r>
              <w:rPr>
                <w:rFonts w:ascii="Arial" w:cs="Arial" w:eastAsia="Arial" w:hAnsi="Arial"/>
                <w:sz w:val="26"/>
                <w:szCs w:val="26"/>
                <w:color w:val="auto"/>
                <w:vertAlign w:val="superscript"/>
              </w:rPr>
              <w:t>(3)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2,785,000</w:t>
            </w: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2,785,000</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56"/>
        </w:trPr>
        <w:tc>
          <w:tcPr>
            <w:tcW w:w="4440" w:type="dxa"/>
            <w:vAlign w:val="bottom"/>
            <w:gridSpan w:val="3"/>
          </w:tcPr>
          <w:p>
            <w:pPr>
              <w:spacing w:after="0"/>
              <w:rPr>
                <w:sz w:val="20"/>
                <w:szCs w:val="20"/>
                <w:color w:val="auto"/>
              </w:rPr>
            </w:pPr>
            <w:r>
              <w:rPr>
                <w:rFonts w:ascii="Arial" w:cs="Arial" w:eastAsia="Arial" w:hAnsi="Arial"/>
                <w:sz w:val="18"/>
                <w:szCs w:val="18"/>
                <w:color w:val="auto"/>
              </w:rPr>
              <w:t>David Colpman</w:t>
            </w:r>
          </w:p>
        </w:tc>
        <w:tc>
          <w:tcPr>
            <w:tcW w:w="740" w:type="dxa"/>
            <w:vAlign w:val="bottom"/>
          </w:tcPr>
          <w:p>
            <w:pPr>
              <w:jc w:val="right"/>
              <w:spacing w:after="0"/>
              <w:rPr>
                <w:sz w:val="20"/>
                <w:szCs w:val="20"/>
                <w:color w:val="auto"/>
              </w:rPr>
            </w:pPr>
            <w:r>
              <w:rPr>
                <w:rFonts w:ascii="Arial" w:cs="Arial" w:eastAsia="Arial" w:hAnsi="Arial"/>
                <w:sz w:val="18"/>
                <w:szCs w:val="18"/>
                <w:color w:val="auto"/>
              </w:rPr>
              <w:t>30,000</w:t>
            </w:r>
          </w:p>
        </w:tc>
        <w:tc>
          <w:tcPr>
            <w:tcW w:w="1040" w:type="dxa"/>
            <w:vAlign w:val="bottom"/>
            <w:gridSpan w:val="2"/>
          </w:tcPr>
          <w:p>
            <w:pPr>
              <w:jc w:val="right"/>
              <w:ind w:right="64"/>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22"/>
                <w:szCs w:val="22"/>
                <w:color w:val="auto"/>
              </w:rPr>
            </w:pPr>
          </w:p>
        </w:tc>
        <w:tc>
          <w:tcPr>
            <w:tcW w:w="84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Antony Loebel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440" w:type="dxa"/>
            <w:vAlign w:val="bottom"/>
            <w:gridSpan w:val="3"/>
          </w:tcPr>
          <w:p>
            <w:pPr>
              <w:spacing w:after="0"/>
              <w:rPr>
                <w:sz w:val="20"/>
                <w:szCs w:val="20"/>
                <w:color w:val="auto"/>
              </w:rPr>
            </w:pPr>
            <w:r>
              <w:rPr>
                <w:rFonts w:ascii="Arial" w:cs="Arial" w:eastAsia="Arial" w:hAnsi="Arial"/>
                <w:sz w:val="18"/>
                <w:szCs w:val="18"/>
                <w:color w:val="auto"/>
              </w:rPr>
              <w:t>Robert Taub</w:t>
            </w:r>
          </w:p>
        </w:tc>
        <w:tc>
          <w:tcPr>
            <w:tcW w:w="740" w:type="dxa"/>
            <w:vAlign w:val="bottom"/>
          </w:tcPr>
          <w:p>
            <w:pPr>
              <w:jc w:val="right"/>
              <w:spacing w:after="0"/>
              <w:rPr>
                <w:sz w:val="20"/>
                <w:szCs w:val="20"/>
                <w:color w:val="auto"/>
              </w:rPr>
            </w:pPr>
            <w:r>
              <w:rPr>
                <w:rFonts w:ascii="Arial" w:cs="Arial" w:eastAsia="Arial" w:hAnsi="Arial"/>
                <w:sz w:val="18"/>
                <w:szCs w:val="18"/>
                <w:color w:val="auto"/>
              </w:rPr>
              <w:t>30,000</w:t>
            </w:r>
          </w:p>
        </w:tc>
        <w:tc>
          <w:tcPr>
            <w:tcW w:w="1040" w:type="dxa"/>
            <w:vAlign w:val="bottom"/>
            <w:gridSpan w:val="2"/>
          </w:tcPr>
          <w:p>
            <w:pPr>
              <w:jc w:val="right"/>
              <w:ind w:right="64"/>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22"/>
                <w:szCs w:val="22"/>
                <w:color w:val="auto"/>
              </w:rPr>
            </w:pPr>
          </w:p>
        </w:tc>
        <w:tc>
          <w:tcPr>
            <w:tcW w:w="84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officers, directors and director nominees as a group</w:t>
            </w: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(5 individuals)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2,875,000</w:t>
            </w:r>
          </w:p>
        </w:tc>
        <w:tc>
          <w:tcPr>
            <w:tcW w:w="1040" w:type="dxa"/>
            <w:vAlign w:val="bottom"/>
            <w:tcBorders>
              <w:bottom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2,875,000</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-1473835</wp:posOffset>
            </wp:positionV>
            <wp:extent cx="137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-1473835</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-1473835</wp:posOffset>
            </wp:positionV>
            <wp:extent cx="1289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-1473835</wp:posOffset>
            </wp:positionV>
            <wp:extent cx="1200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4" w:lineRule="exact"/>
        <w:rPr>
          <w:sz w:val="20"/>
          <w:szCs w:val="20"/>
          <w:color w:val="auto"/>
        </w:rPr>
      </w:pPr>
    </w:p>
    <w:p>
      <w:pPr>
        <w:ind w:left="1620" w:hanging="358"/>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40" w:lineRule="exact"/>
        <w:rPr>
          <w:sz w:val="20"/>
          <w:szCs w:val="20"/>
          <w:color w:val="auto"/>
        </w:rPr>
      </w:pPr>
    </w:p>
    <w:p>
      <w:pPr>
        <w:ind w:left="1620" w:right="859" w:hanging="358"/>
        <w:spacing w:after="0" w:line="235" w:lineRule="auto"/>
        <w:tabs>
          <w:tab w:leader="none" w:pos="1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is 452 Fifth Avenue, 21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New York, NY 10018.</w:t>
      </w:r>
    </w:p>
    <w:p>
      <w:pPr>
        <w:spacing w:after="0" w:line="68" w:lineRule="exact"/>
        <w:rPr>
          <w:rFonts w:ascii="Arial" w:cs="Arial" w:eastAsia="Arial" w:hAnsi="Arial"/>
          <w:sz w:val="18"/>
          <w:szCs w:val="18"/>
          <w:color w:val="auto"/>
        </w:rPr>
      </w:pPr>
    </w:p>
    <w:p>
      <w:pPr>
        <w:ind w:left="1620" w:right="779" w:hanging="358"/>
        <w:spacing w:after="0" w:line="308" w:lineRule="auto"/>
        <w:tabs>
          <w:tab w:leader="none" w:pos="1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Interests shown consist solely of founder shares, classified as Class B common stock. Such shares will automatically convert into Class A common stock concurrently with or immediately following the</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1059"/>
        <w:spacing w:after="0" w:line="261" w:lineRule="auto"/>
        <w:rPr>
          <w:sz w:val="20"/>
          <w:szCs w:val="20"/>
          <w:color w:val="auto"/>
        </w:rPr>
      </w:pPr>
      <w:r>
        <w:rPr>
          <w:rFonts w:ascii="Arial" w:cs="Arial" w:eastAsia="Arial" w:hAnsi="Arial"/>
          <w:sz w:val="18"/>
          <w:szCs w:val="18"/>
          <w:color w:val="auto"/>
        </w:rPr>
        <w:t>consummation of our initial business combination on a one-for-one basis, subject to adjustment, as described in the section entitled “Description of Securities.”</w:t>
      </w:r>
    </w:p>
    <w:p>
      <w:pPr>
        <w:spacing w:after="0" w:line="22" w:lineRule="exact"/>
        <w:rPr>
          <w:sz w:val="20"/>
          <w:szCs w:val="20"/>
          <w:color w:val="auto"/>
        </w:rPr>
      </w:pPr>
    </w:p>
    <w:p>
      <w:pPr>
        <w:ind w:left="1620" w:right="719" w:hanging="358"/>
        <w:spacing w:after="0" w:line="255"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HighCape Capital Acquisition LLC is the record holder of the shares reported herein. HighCape Partners QP and HighCape Partners LP are the members of our sponsor. Matt Zuga is the sole manager of our sponsor, and he has voting and investment discretion with respect to the common stock held of record by our sponsor. Mr. Zuga disclaims any beneficial ownership of the securities held by HighCape Partners QP or HighCape Partners LP other than to the extent of any pecuniary interest he may have therein, directly or indirectly.</w:t>
      </w:r>
    </w:p>
    <w:p>
      <w:pPr>
        <w:spacing w:after="0" w:line="43" w:lineRule="exact"/>
        <w:rPr>
          <w:rFonts w:ascii="Arial" w:cs="Arial" w:eastAsia="Arial" w:hAnsi="Arial"/>
          <w:sz w:val="18"/>
          <w:szCs w:val="18"/>
          <w:color w:val="auto"/>
        </w:rPr>
      </w:pPr>
    </w:p>
    <w:p>
      <w:pPr>
        <w:ind w:left="1620" w:right="1199" w:hanging="358"/>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up to 375,000 founder shares that will be forfeited depending on the extent to which the underwriters’ over-allotment option is exercised.</w:t>
      </w:r>
    </w:p>
    <w:p>
      <w:pPr>
        <w:spacing w:after="0" w:line="89"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7"/>
          <w:szCs w:val="17"/>
          <w:color w:val="auto"/>
        </w:rPr>
        <w:t>Immediately after this offering, our initial stockholders will beneficially own 20.0% of the then issued and outstanding common stock (assuming they do not purchase any units in this offering and excluding the private placement shares underlying the private placement units). Because of this ownership block, our initial stockholders may be able to effectively influence the outcome of all other matters requiring approval by our stockholders, including amendments to our amended and restated certificate of incorporation and approval of significant corporate transactions including our initial business combination.</w:t>
      </w:r>
    </w:p>
    <w:p>
      <w:pPr>
        <w:spacing w:after="0" w:line="108"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Our sponsor has committed, pursuant to a written agreement, to purchase an aggregate of 375,000 private placement units (or 405,000 units if the underwriters’ over-allotment option is exercised in full), at a price of $10.00 per unit, or $3,750,000 in the aggregate (or $4,050,000 if the underwriters’ over-allotment option is exercised in full), in a private placement that will occur simultaneously with the closing of this offering. The private placement units will be identical to the units sold in this offering except that the underlying private placement warrants, so long as they are held by our sponsor or its permitted transferees,</w:t>
      </w:r>
    </w:p>
    <w:p>
      <w:pPr>
        <w:spacing w:after="0" w:line="4" w:lineRule="exact"/>
        <w:rPr>
          <w:sz w:val="20"/>
          <w:szCs w:val="20"/>
          <w:color w:val="auto"/>
        </w:rPr>
      </w:pPr>
    </w:p>
    <w:p>
      <w:pPr>
        <w:ind w:left="1260" w:right="719" w:firstLine="2"/>
        <w:spacing w:after="0" w:line="235" w:lineRule="auto"/>
        <w:tabs>
          <w:tab w:leader="none" w:pos="1489"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will not be redeemable by us, (ii) may not (including the Class A common stock issuable upon exercise of these warrants), subject to certain limited exceptions, be transferred, assigned or sold by the holders until 30 days after the completion of our initial business combination, (iii) may be exercised by the holders on a cashless basis and (iv) will be entitled to registration rights. The private placement units (including the private placement shares, private placement warrants and the Class A common stock issuable upon exercise thereof) may not, subject to certain limited exceptions, be transferred, assigned or sold by the holder. A portion of the purchase price of the private placement units will be added to the proceeds from this offering to be held in the trust account such that at the time of closing of this offering $100 million (or $115 million if the underwriters exercise their over-allotment option in full) will be held in the trust account. If we do not complete our initial business combination within 18 months from the closing of this offering, the private placement units (and the underlying securities) will expire worthless. The private placement units are subject to the transfer restrictions described below.</w:t>
      </w:r>
    </w:p>
    <w:p>
      <w:pPr>
        <w:spacing w:after="0" w:line="117"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Our sponsor and our executive officers and directors are deemed to be our “promoters” as such term is defined under the federal securities laws.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Transfers of Founder Shares and Private Placement Units</w:t>
      </w:r>
    </w:p>
    <w:p>
      <w:pPr>
        <w:spacing w:after="0" w:line="162" w:lineRule="exact"/>
        <w:rPr>
          <w:sz w:val="20"/>
          <w:szCs w:val="20"/>
          <w:color w:val="auto"/>
        </w:rPr>
      </w:pPr>
    </w:p>
    <w:p>
      <w:pPr>
        <w:ind w:left="1260" w:right="719" w:firstLine="360"/>
        <w:spacing w:after="0" w:line="250" w:lineRule="auto"/>
        <w:rPr>
          <w:sz w:val="20"/>
          <w:szCs w:val="20"/>
          <w:color w:val="auto"/>
        </w:rPr>
      </w:pPr>
      <w:r>
        <w:rPr>
          <w:rFonts w:ascii="Arial" w:cs="Arial" w:eastAsia="Arial" w:hAnsi="Arial"/>
          <w:sz w:val="17"/>
          <w:szCs w:val="17"/>
          <w:color w:val="auto"/>
        </w:rPr>
        <w:t>The founder shares, private placement units, private placement shares, private placement warrants and any Class A common stock issued upon conversion or exercise thereof are each subject to transfer restrictions pursuant to lock-up provisions in the agreement entered into by our sponsor and management team. Those lock-up provisions provide that such securities are not transferable or salable (i) in the case of the founder shares, until the earlier of (A) one year after the completion of our initial business combination or earlier if, subsequent to our initial business combination, the closing price of the Class A common stock equals or exceeds $12.00 per share (as adjusted for share splits, share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share exchange or other similar transaction that results in all of our stockholders having the right to exchange their Class A common stock for cash, securities or other property and (ii) in the case of the private placement units, the private placement warrants and any Class A common stock issuable upon conversion or exercise thereof, until</w:t>
      </w:r>
    </w:p>
    <w:p>
      <w:pPr>
        <w:spacing w:after="0" w:line="1" w:lineRule="exact"/>
        <w:rPr>
          <w:sz w:val="20"/>
          <w:szCs w:val="20"/>
          <w:color w:val="auto"/>
        </w:rPr>
      </w:pPr>
    </w:p>
    <w:p>
      <w:pPr>
        <w:ind w:left="1260" w:right="699"/>
        <w:spacing w:after="0" w:line="239" w:lineRule="auto"/>
        <w:rPr>
          <w:sz w:val="20"/>
          <w:szCs w:val="20"/>
          <w:color w:val="auto"/>
        </w:rPr>
      </w:pPr>
      <w:r>
        <w:rPr>
          <w:rFonts w:ascii="Arial" w:cs="Arial" w:eastAsia="Arial" w:hAnsi="Arial"/>
          <w:sz w:val="18"/>
          <w:szCs w:val="18"/>
          <w:color w:val="auto"/>
        </w:rPr>
        <w:t>30 days after the completion of our initial business combination except in each case (a) to our officers or directors, any affiliate or family member of any of our officers or directors, any affiliate of our sponsor or to any member</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67" w:lineRule="auto"/>
        <w:rPr>
          <w:sz w:val="20"/>
          <w:szCs w:val="20"/>
          <w:color w:val="auto"/>
        </w:rPr>
      </w:pPr>
      <w:r>
        <w:rPr>
          <w:rFonts w:ascii="Arial" w:cs="Arial" w:eastAsia="Arial" w:hAnsi="Arial"/>
          <w:sz w:val="17"/>
          <w:szCs w:val="17"/>
          <w:color w:val="auto"/>
        </w:rPr>
        <w:t>of the sponsor or any of their affiliates, (b) in the case of an individual, as a gift to such person’s immediate family or to a trust, the beneficiary of which is a member of such person’s immediate family, an affiliate of such person or to a charitable organization; (c) in the case of an individual, by virtue of laws of descent and distribution upon death of such person;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shares or warrants were originally purchased; (f) by virtue of the laws of the State of Delaware or our Sponsor’s limited liability company agreement upon dissolution of our sponsor,</w:t>
      </w:r>
    </w:p>
    <w:p>
      <w:pPr>
        <w:spacing w:after="0" w:line="3" w:lineRule="exact"/>
        <w:rPr>
          <w:sz w:val="20"/>
          <w:szCs w:val="20"/>
          <w:color w:val="auto"/>
        </w:rPr>
      </w:pPr>
    </w:p>
    <w:p>
      <w:pPr>
        <w:ind w:left="1260" w:right="899" w:firstLine="2"/>
        <w:spacing w:after="0" w:line="252" w:lineRule="auto"/>
        <w:tabs>
          <w:tab w:leader="none" w:pos="152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event of our liquidation prior to our consummation of our initial business combination; or (h) in the event that, subsequent to our consummation of an initial business combination, we complete a liquidation, merger, share exchange or other similar transaction which results in all of our stockholders having the right to exchange their Class A common stock for cash, securities or other property; provided, however, that in the case of clauses (a) through (f) these permitted transferees must enter into a written agreement agreeing to be bound by these transfer restrictions and the other restrictions contained in the letter agreements.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1260" w:right="699" w:firstLine="360"/>
        <w:spacing w:after="0" w:line="266" w:lineRule="auto"/>
        <w:rPr>
          <w:sz w:val="20"/>
          <w:szCs w:val="20"/>
          <w:color w:val="auto"/>
        </w:rPr>
      </w:pPr>
      <w:r>
        <w:rPr>
          <w:rFonts w:ascii="Arial" w:cs="Arial" w:eastAsia="Arial" w:hAnsi="Arial"/>
          <w:sz w:val="17"/>
          <w:szCs w:val="17"/>
          <w:color w:val="auto"/>
        </w:rPr>
        <w:t>The holders of the founder shares (and any shares of Class A common stock issuable upon conversion of the founder shares), private placement units, private placement shares, private placement warrants (and any shares of Class A common stock issuable upon the exercise of the private placement warrants), and securities that may be issued upon conversion of working capital loans will be entitled to registration rights pursuant to a registration rights agreement to be signed prior to or on the effective date of this offering, requiring us to register such securities and any other securities of the company acquired by them prior to the consummation of our initial business combination for resale. Pursuant to the registration rights agreement and assuming the underwriters exercise their over-allotment option in full and $1.5 million of working capital loans are converted into private placement units, we will be obligated to register up to 3,430,000 shares of Class A common stock and 277,500 warrants. The number of shares of Class A common stock includes (i) 2,875,000 shares of Class A common stock to be issued upon conversion of the founder shares,</w:t>
      </w:r>
    </w:p>
    <w:p>
      <w:pPr>
        <w:spacing w:after="0" w:line="7" w:lineRule="exact"/>
        <w:rPr>
          <w:sz w:val="20"/>
          <w:szCs w:val="20"/>
          <w:color w:val="auto"/>
        </w:rPr>
      </w:pPr>
    </w:p>
    <w:p>
      <w:pPr>
        <w:ind w:left="1260" w:right="679" w:firstLine="2"/>
        <w:spacing w:after="0" w:line="268" w:lineRule="auto"/>
        <w:tabs>
          <w:tab w:leader="none" w:pos="1543" w:val="left"/>
        </w:tabs>
        <w:numPr>
          <w:ilvl w:val="0"/>
          <w:numId w:val="60"/>
        </w:numPr>
        <w:rPr>
          <w:rFonts w:ascii="Arial" w:cs="Arial" w:eastAsia="Arial" w:hAnsi="Arial"/>
          <w:sz w:val="17"/>
          <w:szCs w:val="17"/>
          <w:color w:val="auto"/>
        </w:rPr>
      </w:pPr>
      <w:r>
        <w:rPr>
          <w:rFonts w:ascii="Arial" w:cs="Arial" w:eastAsia="Arial" w:hAnsi="Arial"/>
          <w:sz w:val="17"/>
          <w:szCs w:val="17"/>
          <w:color w:val="auto"/>
        </w:rPr>
        <w:t>405,000 shares of Class A common stock underlying the private placement units and (iii) 150,000 shares of Class A common stock underlying the private placement units issued upon conversion of working capital loans. The number of warrants includes 202,500 private placement warrants and 75,000 private placement warrants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48"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On June 10, 2020, our sponsor purchased an aggregate of 2,875,000 founder shares in exchange for a capital contribution of $25,000, or approximately $0.009 per share. In June 2020, our sponsor transferred 30,000 founder shares to each of David Colpman, Antony Loebel and Robert Taub, resulting in our sponsor holding 2,785,000 founder shares. The number of founder shares outstanding was determined based on the expectation that the total size of this offering would be a maximum of 11,500,000 units if the underwriters’ over-allotment option is exercised in full, and therefore that such founder shares would represent 20% of the outstanding shares after this offering, excluding the private placement shares underlying the private placement units. Up to 375,000 of the founder shares will be forfeited depending on the extent to which the underwriters’ over-allotment is exercised. If we increase or decrease the size of the offering, we will effect a stock dividend or share contribution back to capital or other appropriate mechanism, as applicable, with respect to our Class B common stock immediately prior to the consummation of this offering in such amount as to maintain the number of founder shares at 20.0% of our issued and outstanding common stock upon the consummation of this offering, excluding the private placement shares underlying the private placement units.</w:t>
      </w:r>
    </w:p>
    <w:p>
      <w:pPr>
        <w:spacing w:after="0" w:line="122"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Our sponsor has committed, pursuant to a written agreement, to purchase an aggregate of 375,000 private placement units (or 405,000 warrants if the underwriters’ over-allotment option is exercised in full), at a price of $10.00 per unit, or $3,750,000 in the aggregate (or $4,050,000 if the underwriters’ over-allotment option is exercised in full), in a private placement that will close simultaneously with the closing of this offering. The private placement units will be identical to the units sold in this offering except that the underlying private placement warrants, so long as they are held by our sponsor or its permitted transferees,</w:t>
      </w:r>
    </w:p>
    <w:p>
      <w:pPr>
        <w:spacing w:after="0" w:line="4" w:lineRule="exact"/>
        <w:rPr>
          <w:sz w:val="20"/>
          <w:szCs w:val="20"/>
          <w:color w:val="auto"/>
        </w:rPr>
      </w:pPr>
    </w:p>
    <w:p>
      <w:pPr>
        <w:ind w:left="1260" w:right="699" w:firstLine="2"/>
        <w:spacing w:after="0" w:line="236" w:lineRule="auto"/>
        <w:tabs>
          <w:tab w:leader="none" w:pos="1489"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will not be redeemable by us, (ii) may not (including the Class A common stock issuable upon exercise of these warrants), subject to certain limited exceptions, be transferred, assigned or sold by the holders until 30 days after the completion of our initial business combination, (iii) may be exercised by the holders on a cashless basis and (iv) will be entitled to registration rights. The private placement units (including the private placement shares, private placement warrants and the shares of Class A common stock issuable upon exercise thereof) may not, subject to certain limited exceptions, be transferred, assigned or sold by the holder</w:t>
      </w:r>
    </w:p>
    <w:p>
      <w:pPr>
        <w:spacing w:after="0" w:line="125" w:lineRule="exact"/>
        <w:rPr>
          <w:sz w:val="20"/>
          <w:szCs w:val="20"/>
          <w:color w:val="auto"/>
        </w:rPr>
      </w:pPr>
    </w:p>
    <w:p>
      <w:pPr>
        <w:ind w:left="1260" w:right="739" w:firstLine="360"/>
        <w:spacing w:after="0" w:line="237" w:lineRule="auto"/>
        <w:rPr>
          <w:sz w:val="20"/>
          <w:szCs w:val="20"/>
          <w:color w:val="auto"/>
        </w:rPr>
      </w:pPr>
      <w:r>
        <w:rPr>
          <w:rFonts w:ascii="Arial" w:cs="Arial" w:eastAsia="Arial" w:hAnsi="Arial"/>
          <w:sz w:val="18"/>
          <w:szCs w:val="18"/>
          <w:color w:val="auto"/>
        </w:rPr>
        <w:t>As more fully discussed in the section of this prospectus titled “Management — Conflicts of Interest,”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business combination opportunity to such entity. Our officers and directors currently have certain relevant fiduciary duties or contractual obligations that may take priority over their duties to us. We may pursue an affiliated joint acquisition opportunity with one or more affiliates of HighCape and/or one or more investors in HighCape or one of its affiliates, to which an officer or director has a fiduciary or contractual obligation. Any such entity may co-invest with us in the target business at the time of our initial business combination, or we could raise additional proceeds to complete the acquisition by issuing to such entity a class of equity or equity-linked securities.</w:t>
      </w:r>
    </w:p>
    <w:p>
      <w:pPr>
        <w:spacing w:after="0" w:line="114" w:lineRule="exact"/>
        <w:rPr>
          <w:sz w:val="20"/>
          <w:szCs w:val="20"/>
          <w:color w:val="auto"/>
        </w:rPr>
      </w:pPr>
    </w:p>
    <w:p>
      <w:pPr>
        <w:ind w:left="1260" w:right="719" w:firstLine="360"/>
        <w:spacing w:after="0" w:line="243" w:lineRule="auto"/>
        <w:rPr>
          <w:sz w:val="20"/>
          <w:szCs w:val="20"/>
          <w:color w:val="auto"/>
        </w:rPr>
      </w:pPr>
      <w:r>
        <w:rPr>
          <w:rFonts w:ascii="Arial" w:cs="Arial" w:eastAsia="Arial" w:hAnsi="Arial"/>
          <w:sz w:val="18"/>
          <w:szCs w:val="18"/>
          <w:color w:val="auto"/>
        </w:rPr>
        <w:t>Commencing on the date of this prospectus, we will reimburse our sponsor, for office space, secretarial and administrative services provided to members of our management team in an amount not to exceed $10,000 per month. Upon completion of our initial business combination or our liquidation, we will cease paying these monthly fees.</w:t>
      </w:r>
    </w:p>
    <w:p>
      <w:pPr>
        <w:spacing w:after="0" w:line="120"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color w:val="auto"/>
        </w:rPr>
        <w:t>No compensation of any kind, including finder’s and consulting fees, will be paid by the company to our sponsor, executive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w:t>
      </w:r>
    </w:p>
    <w:p>
      <w:pPr>
        <w:spacing w:after="0" w:line="123"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Prior to the closing of this offering, our sponsor may loan us funds to be used for a portion of the expenses of this offering. These loans would be non-interest bearing, unsecured and are due at the earlier of December 31, 2020 or the closing of this offering.</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placement-equivalent units of the post business combination entity at a price of $10.00 per unit at the option of the lender. The units would be identical to the private placement units.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05"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Any of the foregoing payments to an affiliate of our sponsor, repayments of loans from our sponsor or repayments of working capital loans prior to our initial business combination will be made using funds held outside the trust account and may be made from interest earned on the trust account and released to us to pay our taxes.</w:t>
      </w:r>
    </w:p>
    <w:p>
      <w:pPr>
        <w:spacing w:after="0" w:line="119"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proxy solicitation or tender offer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110" w:lineRule="exact"/>
        <w:rPr>
          <w:sz w:val="20"/>
          <w:szCs w:val="20"/>
          <w:color w:val="auto"/>
        </w:rPr>
      </w:pPr>
    </w:p>
    <w:p>
      <w:pPr>
        <w:jc w:val="both"/>
        <w:ind w:left="1260" w:right="1099" w:firstLine="360"/>
        <w:spacing w:after="0" w:line="342" w:lineRule="auto"/>
        <w:rPr>
          <w:sz w:val="20"/>
          <w:szCs w:val="20"/>
          <w:color w:val="auto"/>
        </w:rPr>
      </w:pPr>
      <w:r>
        <w:rPr>
          <w:rFonts w:ascii="Arial" w:cs="Arial" w:eastAsia="Arial" w:hAnsi="Arial"/>
          <w:sz w:val="16"/>
          <w:szCs w:val="16"/>
          <w:color w:val="auto"/>
        </w:rPr>
        <w:t>We have entered into a registration rights agreement with respect to the founder shares and private placement units, which is described under the heading “Principal Stockholders — Registration Rights.”</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48"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w:t>
      </w:r>
    </w:p>
    <w:p>
      <w:pPr>
        <w:spacing w:after="0" w:line="5" w:lineRule="exact"/>
        <w:rPr>
          <w:sz w:val="20"/>
          <w:szCs w:val="20"/>
          <w:color w:val="auto"/>
        </w:rPr>
      </w:pPr>
    </w:p>
    <w:p>
      <w:pPr>
        <w:ind w:left="1260" w:right="719" w:firstLine="2"/>
        <w:spacing w:after="0" w:line="268" w:lineRule="auto"/>
        <w:tabs>
          <w:tab w:leader="none" w:pos="1596" w:val="left"/>
        </w:tabs>
        <w:numPr>
          <w:ilvl w:val="0"/>
          <w:numId w:val="62"/>
        </w:numPr>
        <w:rPr>
          <w:rFonts w:ascii="Arial" w:cs="Arial" w:eastAsia="Arial" w:hAnsi="Arial"/>
          <w:sz w:val="17"/>
          <w:szCs w:val="17"/>
          <w:color w:val="auto"/>
        </w:rPr>
      </w:pPr>
      <w:r>
        <w:rPr>
          <w:rFonts w:ascii="Arial" w:cs="Arial" w:eastAsia="Arial" w:hAnsi="Arial"/>
          <w:sz w:val="17"/>
          <w:szCs w:val="17"/>
          <w:color w:val="auto"/>
        </w:rPr>
        <w:t>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DESCRIPTION OF SECURITIES</w:t>
      </w:r>
    </w:p>
    <w:p>
      <w:pPr>
        <w:spacing w:after="0" w:line="148"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7"/>
          <w:szCs w:val="17"/>
          <w:color w:val="auto"/>
        </w:rPr>
        <w:t>We are a Delaware corporation and our affairs are governed by our amended and restated certificate of incorporation and the DGCL. Pursuant to our amended and restated certificate of incorporation which will be adopted prior to the consummation of this offering, we will be authorized to issue 400,000,000 shares of common stock, $0.0001 par value each, including 380,000,000 shares of Class A common stock and 20,000,000 shares of Class B common stock, as well as 1,000,000 shares of preferred stock, $0.0001 par value each. The following description summarizes certain terms of our capital stock as set out more particularly in our amended and restated certificate of incorporation. Because it is only a summary, it may not contain all the information that is important to you.</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Public Units</w:t>
      </w:r>
    </w:p>
    <w:p>
      <w:pPr>
        <w:spacing w:after="0" w:line="162"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Each unit has an offering price of $10.00 and consists of one share of Class A common stock and one-half of one redeemable warrant. Each whole warrant entitles the holder thereof to purchase one share of Class A common stock at a price of $11.50 per share, subject to adjustment as described in this prospectus. Pursuant to the warrant agreement, a warrant holder may exercise its warrants only for a whole number of the shares of Company’s Class A common stock. This means only a whole warrant may be exercised at any given time by a warrant holder. For example, if a warrant holder holds one-half or two-thirds of one warrant to purchase a share of Class A common stock, such warrant will not be exercisable. If a warrant holder holds two -halves of one warrant, such whole warrant will be exercisable for one share of Class A common stock at a price of $11.50 per share. The Class A common stock and warrants comprising the units are expected to begin separate trading on the 52nd day following the date of this prospectus unless Cantor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Class A common stock and warrants. No fractional warrants will be issued upon separation of the units and only whole warrants will trade. Accordingly, unless you purchase at least two units, you will not be able to receive or trade a whole warrant.</w:t>
      </w:r>
    </w:p>
    <w:p>
      <w:pPr>
        <w:spacing w:after="0" w:line="318"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reflecting our receipt of the gross proceeds at closing of this offering. We will file a Current Report on Form 8- K which includes this audited balance sheet promptly after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Private Placement Units</w:t>
      </w:r>
    </w:p>
    <w:p>
      <w:pPr>
        <w:spacing w:after="0" w:line="148"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The private placement units (including the private placement shares, the private placement warrants and the Class A common stock issuable upon exercise of such warrants) will not be transferable, assignable or salable until 30 days after the completion of our initial business combination (except, among other limited exceptions as described under “Principal Stockholders — Restrictions on Transfers of Founder Shares and Private Placement Units,” to our officers and directors and other persons or entities affiliated with our sponsor) and they will not be redeemable by us so long as they are held by members of our sponsor or its permitted transferees. Otherwise, the private placement units are identical to the units sold in this offering except that the private placement warrants, so long as they are held by our sponsor or its permitted transferees, (i) will not be redeemable by us, (ii) may not (including the Class A common stock issuable upon exercise of these warrants), subject to certain limited exceptions, be transferred, assigned or sold by the holders until 30 days after the completion of our initial business combination, (iii) may be exercised by the holders on a cashless basis, and (iv) will be entitled to registration rights.</w:t>
      </w:r>
    </w:p>
    <w:p>
      <w:pPr>
        <w:spacing w:after="0" w:line="116" w:lineRule="exact"/>
        <w:rPr>
          <w:sz w:val="20"/>
          <w:szCs w:val="20"/>
          <w:color w:val="auto"/>
        </w:rPr>
      </w:pPr>
    </w:p>
    <w:p>
      <w:pPr>
        <w:jc w:val="both"/>
        <w:ind w:left="1260" w:right="899" w:firstLine="360"/>
        <w:spacing w:after="0" w:line="291" w:lineRule="auto"/>
        <w:rPr>
          <w:sz w:val="20"/>
          <w:szCs w:val="20"/>
          <w:color w:val="auto"/>
        </w:rPr>
      </w:pPr>
      <w:r>
        <w:rPr>
          <w:rFonts w:ascii="Arial" w:cs="Arial" w:eastAsia="Arial" w:hAnsi="Arial"/>
          <w:sz w:val="17"/>
          <w:szCs w:val="17"/>
          <w:color w:val="auto"/>
        </w:rPr>
        <w:t>In order to finance transaction costs in connection with an intended initial business combination, our sponsor or an affiliate of our sponsor or certain of our officers and directors may, but are not obligated to,</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rPr>
          <w:sz w:val="20"/>
          <w:szCs w:val="20"/>
          <w:color w:val="auto"/>
        </w:rPr>
      </w:pPr>
      <w:r>
        <w:rPr>
          <w:rFonts w:ascii="Arial" w:cs="Arial" w:eastAsia="Arial" w:hAnsi="Arial"/>
          <w:sz w:val="18"/>
          <w:szCs w:val="18"/>
          <w:color w:val="auto"/>
        </w:rPr>
        <w:t>loan us funds as may be required. Up to $1,500,000 of such working capital loans may be convertible into private placement-equivalent units at a price of $10.00 per unit at the option of the lender. Such units would be identical to the private placement units, including as to exercise price, exercisability and exercise period of the underlying warrants. The terms of such working capital loans by our sponsor or its affiliates, or our officers and directors, if any, have not been determined and no written agreements exist with respect to such loans.</w:t>
      </w:r>
    </w:p>
    <w:p>
      <w:pPr>
        <w:spacing w:after="0" w:line="10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7"/>
          <w:szCs w:val="17"/>
          <w:color w:val="auto"/>
        </w:rPr>
        <w:t>Our sponsor has agreed not to transfer, assign or sell any of the private placement units (including the private placement warrants and the Class A common stock issuable upon exercise of any of the private placement warrants)until the date that is 30 days after the date we complete our initial business combination, except that, among other limited exceptions as described under the section of this prospectus entitled “Principal Stockholders — Restrictions on Transfers of Founder Shares and Private Placement Units” made to our officers and directors and other persons or entities affiliated with our sponsor.</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7"/>
          <w:szCs w:val="17"/>
          <w:color w:val="auto"/>
        </w:rPr>
        <w:t>Prior to the date of this prospectus, there were 2,875,000 shares of Class B common stock outstanding, all of which were held of record by our initial stockholders, so that our initial stockholders will own 20% of our issued and outstanding shares after this offering (assuming our initial stockholders do not purchase any units in this offering and excluding the private placement shares underlying the private</w:t>
      </w:r>
    </w:p>
    <w:p>
      <w:pPr>
        <w:spacing w:after="0" w:line="2" w:lineRule="exact"/>
        <w:rPr>
          <w:sz w:val="20"/>
          <w:szCs w:val="20"/>
          <w:color w:val="auto"/>
        </w:rPr>
      </w:pPr>
    </w:p>
    <w:p>
      <w:pPr>
        <w:ind w:left="1260" w:right="679"/>
        <w:spacing w:after="0" w:line="237" w:lineRule="auto"/>
        <w:rPr>
          <w:sz w:val="20"/>
          <w:szCs w:val="20"/>
          <w:color w:val="auto"/>
        </w:rPr>
      </w:pPr>
      <w:r>
        <w:rPr>
          <w:rFonts w:ascii="Arial" w:cs="Arial" w:eastAsia="Arial" w:hAnsi="Arial"/>
          <w:sz w:val="18"/>
          <w:szCs w:val="18"/>
          <w:color w:val="auto"/>
        </w:rPr>
        <w:t>placement units). Up to 375,000 of the founder shares will be forfeited by our initial stockholders depending on the extent to which the underwriters’ over-allotment is exercised. Upon the closing of this offering, 12,500,000 of our shares of common stock will be outstanding (assuming no exercise of the underwriters’ over-allotment option and the corresponding forfeiture of 375,000 founder shares by our initial stockholders) including:</w:t>
      </w:r>
    </w:p>
    <w:p>
      <w:pPr>
        <w:spacing w:after="0" w:line="83" w:lineRule="exact"/>
        <w:rPr>
          <w:sz w:val="20"/>
          <w:szCs w:val="20"/>
          <w:color w:val="auto"/>
        </w:rPr>
      </w:pPr>
    </w:p>
    <w:p>
      <w:pPr>
        <w:ind w:left="1800" w:hanging="178"/>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10,000,000 shares of Class A common stock underlying units issued as part of this offering;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2,500,000 shares of Class B common stock held by our initial stockholders.</w:t>
      </w:r>
    </w:p>
    <w:p>
      <w:pPr>
        <w:spacing w:after="0" w:line="144"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color w:val="auto"/>
        </w:rPr>
        <w:t>If we increase or decrease the size of this offering, we will effect a stock dividend or share contribution back to capital or other appropriate mechanism, as applicable, with respect to our Class B common stock immediately prior to the consummation of the offering in such amount as to maintain the ownership of our initial stockholders at 20.0% of our issued and outstanding common stock (not including the private placement shares) upon the consummation of this offering.</w:t>
      </w:r>
    </w:p>
    <w:p>
      <w:pPr>
        <w:spacing w:after="0" w:line="122"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Stockholders of record are entitled to one vote for each share held on all matters to be voted on by stockholders. Holders of Class A common stock and holders of Class B common stock will vote together as a single class on all matters submitted to a vote of our stockholders except as required by law. Unless specified in our amended and restated certificate of incorporation, or as required by applicable provisions of the DGCL or applicable stock exchange rules, the affirmative vote of a majority of our shares of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18"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Because our amended and restated certificate of incorporation authorizes the issuance of up to 380,000,000 shares of Class A common stock, if we were to enter into a business combination, we may (depending on the terms of such a business combination) be required to increase the number of shares of Class A common stock which we are authorized to issue at the same time as our stockholders vote on the business combination to the extent we seek stockholder approval in connection with our initial business combination. Our board of directors is divided into three classes with only one class of directors being elected in each year and each class (except for those directors appointed prior to our first annual meeting of stockholders) serving a three-year term</w:t>
      </w:r>
    </w:p>
    <w:p>
      <w:pPr>
        <w:spacing w:after="0" w:line="113"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full fiscal year end following our listing on Nasdaq. Under Section 211(b) of the DGCL, we are, however, required to hold an annual meeting of stockholders for the</w:t>
      </w:r>
    </w:p>
    <w:p>
      <w:pPr>
        <w:sectPr>
          <w:pgSz w:w="11900" w:h="16838" w:orient="portrait"/>
          <w:cols w:equalWidth="0" w:num="1">
            <w:col w:w="10139"/>
          </w:cols>
          <w:pgMar w:left="320" w:top="131"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9" w:lineRule="auto"/>
        <w:rPr>
          <w:sz w:val="20"/>
          <w:szCs w:val="20"/>
          <w:color w:val="auto"/>
        </w:rPr>
      </w:pPr>
      <w:r>
        <w:rPr>
          <w:rFonts w:ascii="Arial" w:cs="Arial" w:eastAsia="Arial" w:hAnsi="Arial"/>
          <w:sz w:val="18"/>
          <w:szCs w:val="18"/>
          <w:color w:val="auto"/>
        </w:rPr>
        <w:t>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10"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hold in connection with the completion of our initial business combination. Unlike many special purpose acquisition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requires these tender offer documents to contain substantially the same financial and other information about our initial business combination and the redemption rights as is required under the SEC’s proxy rules. If, however, a stockholder approval of the transaction is required by law, or we decide to obtain stockholder approval for business or other legal reasons, we will, like many special purpose acquisition companies, offer to redeem shares in conjunction with a proxy solicitation pursuant to the proxy rules and not pursuant to the tender offer rules. If we seek stockholder approval, we will complete our initial business combination only if a majority of the shares of common stock voted are voted in favor of our initial business combination. However, the participation of our sponsor, officers, directors, advisors or their affiliates in privately-negotiated transactions (as described in this prospectus), if any, could result in the approval of our initial business combination even if a majority of our public stockholders vote, or indicate their intention to vote, against such initial business combination. For purposes of seeking approval of the majority of our outstanding shares of common stock, non-votes will have no effect on the approval of our initial business combination once a quorum is obtained.</w:t>
      </w:r>
    </w:p>
    <w:p>
      <w:pPr>
        <w:spacing w:after="0" w:line="317"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Excess Shares, without our prior consent.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our initial business combination. And, as a result, such stockholders will continue to hold that number of shares exceeding 20% and, in order to dispose such shares would be required to sell their shares in open market transactions, potentially at a loss.</w:t>
      </w:r>
    </w:p>
    <w:p>
      <w:pPr>
        <w:spacing w:after="0" w:line="113"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If we seek stockholder approval in connection with our initial business combination, our initial stockholders, sponsor, officers and directors have agreed to vote any founder shares they hold and any public shares purchased during or after this offering in favor of our initial business combination. As a result,</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59" w:lineRule="auto"/>
        <w:rPr>
          <w:sz w:val="20"/>
          <w:szCs w:val="20"/>
          <w:color w:val="auto"/>
        </w:rPr>
      </w:pPr>
      <w:r>
        <w:rPr>
          <w:rFonts w:ascii="Arial" w:cs="Arial" w:eastAsia="Arial" w:hAnsi="Arial"/>
          <w:sz w:val="17"/>
          <w:szCs w:val="17"/>
          <w:color w:val="auto"/>
        </w:rPr>
        <w:t>in addition to our initial stockholders’ founder shares and private placement shares, we would need 3,562,501, or 35.6%, of the 10,000,000 public shares sold in this offering to be voted in favor of an initial business combination in order to have our initial business combination approved (assuming all outstanding shares are voted and the over-allotment option is not exercised) . Additionally, each public stockholder may elect to redeem their public shares irrespective of whether they vote for or against the proposed transaction.</w:t>
      </w:r>
    </w:p>
    <w:p>
      <w:pPr>
        <w:spacing w:after="0" w:line="93"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7"/>
          <w:szCs w:val="17"/>
          <w:color w:val="auto"/>
        </w:rPr>
        <w:t>Pursuant to our amended and restated certificate of incorporation, if we do not complete our initial business combination within 18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Our initial stockholders have entered into agreements with us, pursuant to which they have agreed to waive their rights to liquidating distributions from the trust account with respect to their founder shares if we fail to complete our initial business combination within 18 months from the closing of this offering.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16"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shares, if any, having preference over the common stock. Our stockholders have no preemptive or other subscription rights. There are no sinking fund provisions applicable to the common stock, except that we will provide our public stockholders with the opportunity to redeem their public shares for cash at a per share price equal to the aggregate amount then on deposit in the trust account, including interest earned on the funds held in the trust account (net of permitted withdrawals), divided by the number of then outstanding public shares, upon the completion of our initial business combination, subject to the limitations described herein.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ind w:left="1260" w:right="699" w:firstLine="360"/>
        <w:spacing w:after="0" w:line="249" w:lineRule="auto"/>
        <w:rPr>
          <w:sz w:val="20"/>
          <w:szCs w:val="20"/>
          <w:color w:val="auto"/>
        </w:rPr>
      </w:pPr>
      <w:r>
        <w:rPr>
          <w:rFonts w:ascii="Arial" w:cs="Arial" w:eastAsia="Arial" w:hAnsi="Arial"/>
          <w:sz w:val="17"/>
          <w:szCs w:val="17"/>
          <w:color w:val="auto"/>
        </w:rPr>
        <w:t>The founder shares are designated as Class B common stock and, except as described below, are identical to the shares of Class A common stock included in the units being sold in this offering, and holders of founder shares have the same stockholder rights as public stockholders, except that (i) the founder shares are subject to certain transfer restrictions, as described in more detail below, (ii) our initial stockholders, sponsor, officers and directors have entered into a letter agreement with us, pursuant to which they have agreed (A) to waive their redemption rights with respect to any founder shares and public shares they hold in connection with the completion of our initial business combination, (B) to waive their redemption rights with respect to any founder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18 months from the closing of this offering or with respect to any other material provisions relating to stockholders’ rights or pre-initial business combination activity and (C) to waive their rights to liquidating distributions from the trust account with respect to any founder shares they hold if we fail to complete our initial business combination within 18 months from the closing of this offering, although they will be entitled to liquidating distributions from the trust account with respect to any public shares they hold if we fail to complete our initial business combination within such time period, and</w:t>
      </w:r>
    </w:p>
    <w:p>
      <w:pPr>
        <w:spacing w:after="0" w:line="11" w:lineRule="exact"/>
        <w:rPr>
          <w:sz w:val="20"/>
          <w:szCs w:val="20"/>
          <w:color w:val="auto"/>
        </w:rPr>
      </w:pPr>
    </w:p>
    <w:p>
      <w:pPr>
        <w:ind w:left="1260" w:right="699" w:firstLine="2"/>
        <w:spacing w:after="0" w:line="256" w:lineRule="auto"/>
        <w:tabs>
          <w:tab w:leader="none" w:pos="1596"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founder shares are automatically convertible into Class A common stock concurrently with or immediately following the consummation of our initial business combination on a one-for-one basis, subject to adjustment as described herein and in our amended and restated certificate of incorporation. If we submit our initial business combination to our public stockholders for a vote, our initial stockholders have</w:t>
      </w:r>
    </w:p>
    <w:p>
      <w:pPr>
        <w:spacing w:after="0" w:line="3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color w:val="auto"/>
        </w:rPr>
        <w:t>agreed to vote their founder shares and any public shares purchased during or after this offering in favor of our initial business combination.</w:t>
      </w:r>
    </w:p>
    <w:p>
      <w:pPr>
        <w:spacing w:after="0" w:line="90" w:lineRule="exact"/>
        <w:rPr>
          <w:sz w:val="20"/>
          <w:szCs w:val="20"/>
          <w:color w:val="auto"/>
        </w:rPr>
      </w:pPr>
    </w:p>
    <w:p>
      <w:pPr>
        <w:ind w:left="1260" w:right="679" w:firstLine="360"/>
        <w:spacing w:after="0" w:line="236" w:lineRule="auto"/>
        <w:rPr>
          <w:sz w:val="20"/>
          <w:szCs w:val="20"/>
          <w:color w:val="auto"/>
        </w:rPr>
      </w:pPr>
      <w:r>
        <w:rPr>
          <w:rFonts w:ascii="Arial" w:cs="Arial" w:eastAsia="Arial" w:hAnsi="Arial"/>
          <w:sz w:val="18"/>
          <w:szCs w:val="18"/>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and excluding the private placement shares underlying the private placement warrants),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 -linked securities or rights exercisable for or convertible into shares of Class A common stock issued, or to be issued, to any seller in the initial business combination and any private placement units issued to our sponsor, officers or directors upon conversion of working capital loans, provided that such conversion of founder shares will never occur on a less than one-for-one basis.</w:t>
      </w:r>
    </w:p>
    <w:p>
      <w:pPr>
        <w:spacing w:after="0" w:line="131"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Up to 375,000 founder shares will be forfeited by our initial stockholders depending on the exercise of the over-allotment option.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Our amended and restated certificate of incorporation authorizes 1,000,000 shares of preferred stock and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shares of preferred stock with voting and other rights that could adversely affect the voting power and other rights of the holders of the common stock and could have anti-takeover effects. The ability of our board of directors to issue shares of preferred stock without stockholder approval could have the effect of delaying, deferring or preventing a change of control of us or the removal of existing management. We have no preferred shares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144"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Each whole warrant entitles the registered holder to purchase one share of Class A common stock at a price of $11.50 per share, subject to adjustment as discussed below, at any time commencing on the later of 12 months from the closing of this offering and 30 days after the completion of our initial business combination, provided in each case that we have an effective registration statement under the Securities Act covering the shares of Class A common stock issuable upon exercise of the warrants and a current</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Class A common stock.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10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our satisfying our obligations described below with respect to registration.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19"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sixtieth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Redemption of warrants for cash</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Once the warrants become exercisable, we may call the warrants for redemption for cash:</w:t>
      </w:r>
    </w:p>
    <w:p>
      <w:pPr>
        <w:spacing w:after="0" w:line="117" w:lineRule="exact"/>
        <w:rPr>
          <w:sz w:val="20"/>
          <w:szCs w:val="20"/>
          <w:color w:val="auto"/>
        </w:rPr>
      </w:pPr>
    </w:p>
    <w:p>
      <w:pPr>
        <w:ind w:left="1800" w:hanging="178"/>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17" w:lineRule="exact"/>
        <w:rPr>
          <w:rFonts w:ascii="Arial" w:cs="Arial" w:eastAsia="Arial" w:hAnsi="Arial"/>
          <w:sz w:val="18"/>
          <w:szCs w:val="18"/>
          <w:color w:val="auto"/>
        </w:rPr>
      </w:pPr>
    </w:p>
    <w:p>
      <w:pPr>
        <w:ind w:left="1800" w:right="879" w:hanging="178"/>
        <w:spacing w:after="0" w:line="277"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62" w:lineRule="exact"/>
        <w:rPr>
          <w:rFonts w:ascii="Arial" w:cs="Arial" w:eastAsia="Arial" w:hAnsi="Arial"/>
          <w:sz w:val="18"/>
          <w:szCs w:val="18"/>
          <w:color w:val="auto"/>
        </w:rPr>
      </w:pPr>
    </w:p>
    <w:p>
      <w:pPr>
        <w:ind w:left="1800" w:right="699" w:hanging="178"/>
        <w:spacing w:after="0" w:line="259"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and only if, the closing price of the common stock equals or exceeds $18.00 per share (as adjusted for stock splits, stock capitalizations, reorganizations, recapitalizations and the like) for any 20 trading days within a 30-trading day period ending three business days before we send to the notice of redemption to the warrant holders.</w:t>
      </w:r>
    </w:p>
    <w:p>
      <w:pPr>
        <w:sectPr>
          <w:pgSz w:w="11900" w:h="16838" w:orient="portrait"/>
          <w:cols w:equalWidth="0" w:num="1">
            <w:col w:w="10139"/>
          </w:cols>
          <w:pgMar w:left="320" w:top="131"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8" w:name="page129"/>
    <w:bookmarkEnd w:id="12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39" w:firstLine="360"/>
        <w:spacing w:after="0" w:line="248" w:lineRule="auto"/>
        <w:rPr>
          <w:sz w:val="20"/>
          <w:szCs w:val="20"/>
          <w:color w:val="auto"/>
        </w:rPr>
      </w:pPr>
      <w:r>
        <w:rPr>
          <w:rFonts w:ascii="Arial" w:cs="Arial" w:eastAsia="Arial" w:hAnsi="Arial"/>
          <w:sz w:val="18"/>
          <w:szCs w:val="18"/>
          <w:color w:val="auto"/>
        </w:rPr>
        <w:t>If and when the warrants become redeemable by us for cash, we may exercise our redemption right even if we are unable to register or qualify the underlying securities for sale under all applicable state securities laws.</w:t>
      </w:r>
    </w:p>
    <w:p>
      <w:pPr>
        <w:spacing w:after="0" w:line="101"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adjusted for stock splits, stock capitalizations, reorganizations, recapitalizations and the like) as well as the $11.50 warrant exercise price after the redemption notice is issued.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58" w:lineRule="exact"/>
        <w:rPr>
          <w:sz w:val="20"/>
          <w:szCs w:val="20"/>
          <w:color w:val="auto"/>
        </w:rPr>
      </w:pPr>
    </w:p>
    <w:p>
      <w:pPr>
        <w:ind w:left="1260" w:right="719" w:firstLine="360"/>
        <w:spacing w:after="0" w:line="250"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Class A common stock underlying the warrants, multiplied by the excess of the “fair market value” of our Class A common stock (defined below) over the exercise price of the warrants by (y) the fair market value. The “fair market value” will mean the average closing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24"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common stock outstanding immediately after giving effect to such exercise.</w:t>
      </w:r>
    </w:p>
    <w:p>
      <w:pPr>
        <w:spacing w:after="0" w:line="107"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If the number of outstanding shares of Class A common stock is increased by a share capitalization payable in shares of Class A common stock, or by a split-up of common stock or other similar event, then, on the effective date of such share capitalization, split-up or similar event, the number of shares of Class A common stock issuable on exercise of each warrant will be increased in proportion to such increase in the outstanding shares of common stock. A rights offering to holders of common stock entitling holders to purchase Class A common stock at a price less than the fair market value will be deemed a share capitalization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and</w:t>
      </w:r>
    </w:p>
    <w:p>
      <w:pPr>
        <w:spacing w:after="0" w:line="1" w:lineRule="exact"/>
        <w:rPr>
          <w:sz w:val="20"/>
          <w:szCs w:val="20"/>
          <w:color w:val="auto"/>
        </w:rPr>
      </w:pPr>
    </w:p>
    <w:p>
      <w:pPr>
        <w:ind w:left="1260" w:right="719" w:firstLine="2"/>
        <w:spacing w:after="0" w:line="273" w:lineRule="auto"/>
        <w:tabs>
          <w:tab w:leader="none" w:pos="1543"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quotient of (x) the price per share of Class A common stock paid in such rights offering and (y) the fair market value. For these purposes (i) if the rights offering is for securities convertible into or exercisable for shares of Class A common stock, in determining the price payable for Class A common stock, there will be taken into account any consideration received for such rights, as well as any additional amount payable</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43" w:lineRule="auto"/>
        <w:rPr>
          <w:sz w:val="20"/>
          <w:szCs w:val="20"/>
          <w:color w:val="auto"/>
        </w:rPr>
      </w:pPr>
      <w:r>
        <w:rPr>
          <w:rFonts w:ascii="Arial" w:cs="Arial" w:eastAsia="Arial" w:hAnsi="Arial"/>
          <w:sz w:val="18"/>
          <w:szCs w:val="18"/>
          <w:color w:val="auto"/>
        </w:rPr>
        <w:t>upon exercise or conversion and (ii) fair market value means the volume weighted average price of shares of Class A common stock as reported during the ten (10) trading day period ending on the trading day prior to the first date on which the Class A common stock trades on the applicable exchange or in the applicable market, regular way, without the right to receive such rights.</w:t>
      </w:r>
    </w:p>
    <w:p>
      <w:pPr>
        <w:spacing w:after="0" w:line="107"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the holders of Class A common stock on account of such Class A common stock (or other securities into which the warrants are convertible), other than (a) as described above, (b) certain ordinary cash dividends, (c) to satisfy the redemption rights of the holders of Class A common stock in connection with a proposed initial business combination or extension of the time period in which we must complete an initial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13"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color w:val="auto"/>
        </w:rPr>
        <w:t>If the number of outstanding shares of Class A common stock is decreased by a consolidation, combination, reverse share split or reclassification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 of Class A common stock.</w:t>
      </w:r>
    </w:p>
    <w:p>
      <w:pPr>
        <w:spacing w:after="0" w:line="122"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08"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In addition, if (x) we issue additional shares of Class A common stock or equity-linked securities for capital raising purposes in connection with the closing of our initial business combination, at an issue price or effective issue price of less than $9.20 per share of Class A common stock (with such issue price or effective issue price to be determined in good faith by our board of directors and, in the case of any such issuance to our initial stockholders or their affiliates, without taking into account any founder shares held by our initial stockholders or such affiliates, as applicable, prior to such issuance), (the “Newly Issued Price”)</w:t>
      </w:r>
    </w:p>
    <w:p>
      <w:pPr>
        <w:spacing w:after="0" w:line="4" w:lineRule="exact"/>
        <w:rPr>
          <w:sz w:val="20"/>
          <w:szCs w:val="20"/>
          <w:color w:val="auto"/>
        </w:rPr>
      </w:pPr>
    </w:p>
    <w:p>
      <w:pPr>
        <w:ind w:left="1260" w:right="779" w:firstLine="2"/>
        <w:spacing w:after="0" w:line="251" w:lineRule="auto"/>
        <w:tabs>
          <w:tab w:leader="none" w:pos="1529"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after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for cash” will be adjusted (to the nearest cent) to be equal to 180% of the higher of the Market Value and the Newly Issued Price.</w:t>
      </w:r>
    </w:p>
    <w:p>
      <w:pPr>
        <w:spacing w:after="0" w:line="115" w:lineRule="exact"/>
        <w:rPr>
          <w:sz w:val="20"/>
          <w:szCs w:val="20"/>
          <w:color w:val="auto"/>
        </w:rPr>
      </w:pPr>
    </w:p>
    <w:p>
      <w:pPr>
        <w:ind w:left="1260" w:right="759" w:firstLine="360"/>
        <w:spacing w:after="0" w:line="237" w:lineRule="auto"/>
        <w:rPr>
          <w:sz w:val="20"/>
          <w:szCs w:val="20"/>
          <w:color w:val="auto"/>
        </w:rPr>
      </w:pPr>
      <w:r>
        <w:rPr>
          <w:rFonts w:ascii="Arial" w:cs="Arial" w:eastAsia="Arial" w:hAnsi="Arial"/>
          <w:sz w:val="18"/>
          <w:szCs w:val="18"/>
          <w:color w:val="auto"/>
        </w:rPr>
        <w:t>In case of any reclassification or reorganization of the outstanding Class A common stock (other than those described above or that solely affects the par value of such Class A common stock), or in the case of any merger or consolidation of us with or into another corporation (other than a consolidation or merger in which we are the continuing corporation and that does not result in any reclassification or reorganization of our outstanding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53" w:lineRule="auto"/>
        <w:rPr>
          <w:sz w:val="20"/>
          <w:szCs w:val="20"/>
          <w:color w:val="auto"/>
        </w:rPr>
      </w:pPr>
      <w:r>
        <w:rPr>
          <w:rFonts w:ascii="Arial" w:cs="Arial" w:eastAsia="Arial" w:hAnsi="Arial"/>
          <w:sz w:val="17"/>
          <w:szCs w:val="17"/>
          <w:color w:val="auto"/>
        </w:rPr>
        <w:t>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03" w:lineRule="exact"/>
        <w:rPr>
          <w:sz w:val="20"/>
          <w:szCs w:val="20"/>
          <w:color w:val="auto"/>
        </w:rPr>
      </w:pPr>
    </w:p>
    <w:p>
      <w:pPr>
        <w:jc w:val="both"/>
        <w:ind w:left="1260" w:right="759" w:firstLine="360"/>
        <w:spacing w:after="0" w:line="252" w:lineRule="auto"/>
        <w:rPr>
          <w:sz w:val="20"/>
          <w:szCs w:val="20"/>
          <w:color w:val="auto"/>
        </w:rPr>
      </w:pPr>
      <w:r>
        <w:rPr>
          <w:rFonts w:ascii="Arial" w:cs="Arial" w:eastAsia="Arial" w:hAnsi="Arial"/>
          <w:sz w:val="17"/>
          <w:szCs w:val="17"/>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set forth in this prospectus,</w:t>
      </w:r>
    </w:p>
    <w:p>
      <w:pPr>
        <w:spacing w:after="0" w:line="2" w:lineRule="exact"/>
        <w:rPr>
          <w:sz w:val="20"/>
          <w:szCs w:val="20"/>
          <w:color w:val="auto"/>
        </w:rPr>
      </w:pPr>
    </w:p>
    <w:p>
      <w:pPr>
        <w:ind w:left="1260" w:right="679" w:firstLine="2"/>
        <w:spacing w:after="0" w:line="251" w:lineRule="auto"/>
        <w:tabs>
          <w:tab w:leader="none" w:pos="1543" w:val="left"/>
        </w:tabs>
        <w:numPr>
          <w:ilvl w:val="0"/>
          <w:numId w:val="68"/>
        </w:numPr>
        <w:rPr>
          <w:rFonts w:ascii="Arial" w:cs="Arial" w:eastAsia="Arial" w:hAnsi="Arial"/>
          <w:sz w:val="17"/>
          <w:szCs w:val="17"/>
          <w:color w:val="auto"/>
        </w:rPr>
      </w:pPr>
      <w:r>
        <w:rPr>
          <w:rFonts w:ascii="Arial" w:cs="Arial" w:eastAsia="Arial" w:hAnsi="Arial"/>
          <w:sz w:val="17"/>
          <w:szCs w:val="17"/>
          <w:color w:val="auto"/>
        </w:rPr>
        <w:t>adjusting the provisions relating to cash dividends on shares of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 outstanding public warrants is required to make any change that adversely affects the interests of the registered holders of the public warrants, and, solely with respect to any amendment to terms of the private placement warrants, 50% of the then outstanding private placement warrants. You should review a copy of the warrant agreement, which will be filed as an exhibit to the registration statement of which this prospectus is a part, for a complete description of the terms and conditions applicable to the warrants.</w:t>
      </w:r>
    </w:p>
    <w:p>
      <w:pPr>
        <w:spacing w:after="0" w:line="113"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Class A common stock. After the issuance of Class A common stock upon exercise of the warrants, each holder will be entitled to one vote for each share held of record on all matters to be voted on by stockholders.</w:t>
      </w:r>
    </w:p>
    <w:p>
      <w:pPr>
        <w:spacing w:after="0" w:line="113"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44"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The private placement warrants (including the Class A common stock issuable upon exercise of the private placement warrants) will not be transferable, assignable or salable until 30 days after the completion of our initial business combination (except, among other limited exceptions as described under “Principal Stockholders — Transfers of Founder Shares and Private Placement Units,” to our officers and directors and other persons or entities affiliated with the initial purchasers of the private placement warrants) and they will not be redeemable by us for cash so long as they are held by the initial stockholders or their permitted transferees. The initial purchasers, or their permitted transferees, have the option to exercise the private placement warrants on a cashless basis. Except as described in this section, the private placement warrants have terms and provisions that are identical to those of the warrants being sold as part of the units in this offering, including that they may be redeemed for shares of Class A common stock. If the private placement warrants are held by holders other than the initial purchasers or their permitted transferees, the private placement warrants will be redeemable by us and exercisable by the holders on the same basis as the warrants included in the units being sold in this offering.</w:t>
      </w:r>
    </w:p>
    <w:p>
      <w:pPr>
        <w:spacing w:after="0" w:line="113"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819"/>
        <w:spacing w:after="0" w:line="269" w:lineRule="auto"/>
        <w:rPr>
          <w:sz w:val="20"/>
          <w:szCs w:val="20"/>
          <w:color w:val="auto"/>
        </w:rPr>
      </w:pPr>
      <w:r>
        <w:rPr>
          <w:rFonts w:ascii="Arial" w:cs="Arial" w:eastAsia="Arial" w:hAnsi="Arial"/>
          <w:sz w:val="17"/>
          <w:szCs w:val="17"/>
          <w:color w:val="auto"/>
        </w:rPr>
        <w:t>stock underlying the warrants, multiplied by the excess of the “fair market value” of our Class A common stock (defined below) over the exercise price of the warrants by (y) the fair market value. The “fair market value” will mean the average closing price of the Class A common stock for the 10 trading days ending on the third trading day prior to the date on which the notice of warrant exercise is sent to the warrant agent.</w:t>
      </w:r>
    </w:p>
    <w:p>
      <w:pPr>
        <w:spacing w:after="0" w:line="2" w:lineRule="exact"/>
        <w:rPr>
          <w:sz w:val="20"/>
          <w:szCs w:val="20"/>
          <w:color w:val="auto"/>
        </w:rPr>
      </w:pPr>
    </w:p>
    <w:p>
      <w:pPr>
        <w:ind w:left="1260" w:right="699"/>
        <w:spacing w:after="0" w:line="251" w:lineRule="auto"/>
        <w:rPr>
          <w:sz w:val="20"/>
          <w:szCs w:val="20"/>
          <w:color w:val="auto"/>
        </w:rPr>
      </w:pPr>
      <w:r>
        <w:rPr>
          <w:rFonts w:ascii="Arial" w:cs="Arial" w:eastAsia="Arial" w:hAnsi="Arial"/>
          <w:sz w:val="18"/>
          <w:szCs w:val="18"/>
          <w:color w:val="auto"/>
        </w:rPr>
        <w:t>The reason that we have agreed that these warrants will be exercisable on a cashless basis so long as they are held by the initial purchasers or their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exercise their warrants and sell the shares of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15" w:lineRule="exact"/>
        <w:rPr>
          <w:sz w:val="20"/>
          <w:szCs w:val="20"/>
          <w:color w:val="auto"/>
        </w:rPr>
      </w:pPr>
    </w:p>
    <w:p>
      <w:pPr>
        <w:jc w:val="both"/>
        <w:ind w:left="1260" w:right="899" w:firstLine="360"/>
        <w:spacing w:after="0" w:line="257" w:lineRule="auto"/>
        <w:rPr>
          <w:sz w:val="20"/>
          <w:szCs w:val="20"/>
          <w:color w:val="auto"/>
        </w:rPr>
      </w:pPr>
      <w:r>
        <w:rPr>
          <w:rFonts w:ascii="Arial" w:cs="Arial" w:eastAsia="Arial" w:hAnsi="Arial"/>
          <w:sz w:val="18"/>
          <w:szCs w:val="18"/>
          <w:color w:val="auto"/>
        </w:rPr>
        <w:t>In order to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warrants of the post business combination entity at a price of $1.00 per warrant at the option of the lender. Such warrants would be identical to the private placement warrants.</w:t>
      </w:r>
    </w:p>
    <w:p>
      <w:pPr>
        <w:spacing w:after="0" w:line="120"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Our initial stockholders have agreed not to transfer, assign or sell any of the private placement warrants (including the Class A common stock issuable upon exercise of any of these warrants) until the date that is 30 days after the date we complete our initial business combination, except that, among other limited exceptions as described under “Principal Stockholders — Transfers of Founder Shares and Private Placement Units,” transfers can be made to our officers and directors and other persons or entities affiliated with the sponsor.</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or decrease the size of this offering, then we will effect a stock dividend or share contribution back to capital or other appropriate mechanism, as applicable, with respect to our founder shares immediately prior to the consummation of the offering in such amount as to maintain the number of founder shares at 20.0% of our issued and outstanding common stock (not including the private placement shares) upon the consummation of this offering. Further, if we incur any indebtedness, our ability to declare dividends may be limited by restrictive covenants we may agree to in connection therewith.</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4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ectPr>
          <w:pgSz w:w="11900" w:h="16838" w:orient="portrait"/>
          <w:cols w:equalWidth="0" w:num="1">
            <w:col w:w="10139"/>
          </w:cols>
          <w:pgMar w:left="320" w:top="131"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2" w:name="page133"/>
    <w:bookmarkEnd w:id="13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4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65% of our common stock. Our initial stockholders, who will collectively beneficially own 20% of our common stock upon the closing of this offering (assuming they do not purchase any units in this offering and excluding the private placement shares underlying the private placement units), may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73" w:lineRule="exact"/>
        <w:rPr>
          <w:sz w:val="20"/>
          <w:szCs w:val="20"/>
          <w:color w:val="auto"/>
        </w:rPr>
      </w:pPr>
    </w:p>
    <w:p>
      <w:pPr>
        <w:ind w:left="1800" w:right="699" w:hanging="178"/>
        <w:spacing w:after="0" w:line="252"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we do not complete our initial business combination within 18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91" w:lineRule="exact"/>
        <w:rPr>
          <w:rFonts w:ascii="Arial" w:cs="Arial" w:eastAsia="Arial" w:hAnsi="Arial"/>
          <w:sz w:val="18"/>
          <w:szCs w:val="18"/>
          <w:color w:val="auto"/>
        </w:rPr>
      </w:pPr>
    </w:p>
    <w:p>
      <w:pPr>
        <w:ind w:left="1800" w:right="679" w:hanging="178"/>
        <w:spacing w:after="0" w:line="255"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securities that would entitle the holders thereof to (i) receive funds from the trust account or (ii) vote as a class with our public shares (a) on our initial business combination or (b) to approve an amendment to our amended and restated certificate of incorporation to (x) extend the time we have to consummate a business combination beyond 18 months from the closing of this offering or (y) amend the foregoing provisions;</w:t>
      </w:r>
    </w:p>
    <w:p>
      <w:pPr>
        <w:spacing w:after="0" w:line="84" w:lineRule="exact"/>
        <w:rPr>
          <w:rFonts w:ascii="Arial" w:cs="Arial" w:eastAsia="Arial" w:hAnsi="Arial"/>
          <w:sz w:val="18"/>
          <w:szCs w:val="18"/>
          <w:color w:val="auto"/>
        </w:rPr>
      </w:pPr>
    </w:p>
    <w:p>
      <w:pPr>
        <w:ind w:left="1800" w:right="799" w:hanging="178"/>
        <w:spacing w:after="0" w:line="255"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which is a member of FINRA or an independent accounting firm that such a business combination is fair to our company from a financial point of view;</w:t>
      </w:r>
    </w:p>
    <w:p>
      <w:pPr>
        <w:spacing w:after="0" w:line="84" w:lineRule="exact"/>
        <w:rPr>
          <w:rFonts w:ascii="Arial" w:cs="Arial" w:eastAsia="Arial" w:hAnsi="Arial"/>
          <w:sz w:val="18"/>
          <w:szCs w:val="18"/>
          <w:color w:val="auto"/>
        </w:rPr>
      </w:pPr>
    </w:p>
    <w:p>
      <w:pPr>
        <w:ind w:left="1800" w:right="739" w:hanging="178"/>
        <w:spacing w:after="0" w:line="253"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88" w:lineRule="exact"/>
        <w:rPr>
          <w:rFonts w:ascii="Arial" w:cs="Arial" w:eastAsia="Arial" w:hAnsi="Arial"/>
          <w:sz w:val="18"/>
          <w:szCs w:val="18"/>
          <w:color w:val="auto"/>
        </w:rPr>
      </w:pPr>
    </w:p>
    <w:p>
      <w:pPr>
        <w:ind w:left="1800" w:right="919" w:hanging="178"/>
        <w:spacing w:after="0" w:line="25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agreement to enter into the initial business combination;</w:t>
      </w:r>
    </w:p>
    <w:p>
      <w:pPr>
        <w:spacing w:after="0" w:line="79" w:lineRule="exact"/>
        <w:rPr>
          <w:rFonts w:ascii="Arial" w:cs="Arial" w:eastAsia="Arial" w:hAnsi="Arial"/>
          <w:sz w:val="18"/>
          <w:szCs w:val="18"/>
          <w:color w:val="auto"/>
        </w:rPr>
      </w:pPr>
    </w:p>
    <w:p>
      <w:pPr>
        <w:ind w:left="1800" w:right="699" w:hanging="178"/>
        <w:spacing w:after="0" w:line="275" w:lineRule="auto"/>
        <w:tabs>
          <w:tab w:leader="none" w:pos="1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 to modify the substance or timing of our obligation to redeem 100% of our public shares if we do not complete our initial business combination within 18 months from the closing of this offering, or with respect to any other material provisions relating to stockholders’ rights or pre-initial business combination activity, we will provide our public stockholders with the opportunity to redeem all or a</w:t>
      </w:r>
    </w:p>
    <w:p>
      <w:pPr>
        <w:sectPr>
          <w:pgSz w:w="11900" w:h="16838" w:orient="portrait"/>
          <w:cols w:equalWidth="0" w:num="1">
            <w:col w:w="10139"/>
          </w:cols>
          <w:pgMar w:left="320" w:top="131" w:right="1440" w:bottom="1440" w:gutter="0" w:footer="0" w:header="0"/>
        </w:sectPr>
      </w:pP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3" w:name="page134"/>
    <w:bookmarkEnd w:id="13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99"/>
        <w:spacing w:after="0" w:line="243" w:lineRule="auto"/>
        <w:rPr>
          <w:sz w:val="20"/>
          <w:szCs w:val="20"/>
          <w:color w:val="auto"/>
        </w:rPr>
      </w:pPr>
      <w:r>
        <w:rPr>
          <w:rFonts w:ascii="Arial" w:cs="Arial" w:eastAsia="Arial" w:hAnsi="Arial"/>
          <w:sz w:val="18"/>
          <w:szCs w:val="18"/>
          <w:color w:val="auto"/>
        </w:rPr>
        <w:t>portion of their Class A common stock upon such approval at a per-share price, payable in cash, equal to the aggregate amount then on deposit in the trust account, including interest earned on the funds held in the trust account (net of permitted withdrawals), divided by the number of then outstanding public shares, subject to the limitations described herein; and</w:t>
      </w:r>
    </w:p>
    <w:p>
      <w:pPr>
        <w:spacing w:after="0" w:line="80" w:lineRule="exact"/>
        <w:rPr>
          <w:sz w:val="20"/>
          <w:szCs w:val="20"/>
          <w:color w:val="auto"/>
        </w:rPr>
      </w:pPr>
    </w:p>
    <w:p>
      <w:pPr>
        <w:ind w:left="1800" w:right="1179" w:hanging="178"/>
        <w:spacing w:after="0" w:line="277"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89"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In addition, our amended and restated certificate of incorporation provides that under no circumstances will we redeem our public shares in an amount that would cause our net tangible assets to be less than $5,000,001.</w:t>
      </w:r>
    </w:p>
    <w:p>
      <w:pPr>
        <w:spacing w:after="0" w:line="178" w:lineRule="exact"/>
        <w:rPr>
          <w:sz w:val="20"/>
          <w:szCs w:val="20"/>
          <w:color w:val="auto"/>
        </w:rPr>
      </w:pPr>
    </w:p>
    <w:p>
      <w:pPr>
        <w:ind w:left="1260" w:right="1719"/>
        <w:spacing w:after="0" w:line="266"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99" w:lineRule="exact"/>
        <w:rPr>
          <w:sz w:val="20"/>
          <w:szCs w:val="20"/>
          <w:color w:val="auto"/>
        </w:rPr>
      </w:pPr>
    </w:p>
    <w:p>
      <w:pPr>
        <w:ind w:left="1260" w:right="859" w:firstLine="360"/>
        <w:spacing w:after="0" w:line="263" w:lineRule="auto"/>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76" w:lineRule="exact"/>
        <w:rPr>
          <w:sz w:val="20"/>
          <w:szCs w:val="20"/>
          <w:color w:val="auto"/>
        </w:rPr>
      </w:pPr>
    </w:p>
    <w:p>
      <w:pPr>
        <w:ind w:left="1800" w:right="1259" w:hanging="178"/>
        <w:spacing w:after="0" w:line="277"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17" w:lineRule="exact"/>
        <w:rPr>
          <w:rFonts w:ascii="Arial" w:cs="Arial" w:eastAsia="Arial" w:hAnsi="Arial"/>
          <w:sz w:val="18"/>
          <w:szCs w:val="18"/>
          <w:color w:val="auto"/>
        </w:rPr>
      </w:pPr>
    </w:p>
    <w:p>
      <w:pPr>
        <w:ind w:left="1800" w:right="1139" w:hanging="178"/>
        <w:spacing w:after="0" w:line="277"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89"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62" w:lineRule="exact"/>
        <w:rPr>
          <w:sz w:val="20"/>
          <w:szCs w:val="20"/>
          <w:color w:val="auto"/>
        </w:rPr>
      </w:pPr>
    </w:p>
    <w:p>
      <w:pPr>
        <w:ind w:left="1800" w:right="679" w:hanging="178"/>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62" w:lineRule="exact"/>
        <w:rPr>
          <w:rFonts w:ascii="Arial" w:cs="Arial" w:eastAsia="Arial" w:hAnsi="Arial"/>
          <w:sz w:val="18"/>
          <w:szCs w:val="18"/>
          <w:color w:val="auto"/>
        </w:rPr>
      </w:pPr>
    </w:p>
    <w:p>
      <w:pPr>
        <w:ind w:left="1800" w:right="1099" w:hanging="178"/>
        <w:spacing w:after="0" w:line="286" w:lineRule="auto"/>
        <w:tabs>
          <w:tab w:leader="none" w:pos="18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57" w:lineRule="exact"/>
        <w:rPr>
          <w:rFonts w:ascii="Arial" w:cs="Arial" w:eastAsia="Arial" w:hAnsi="Arial"/>
          <w:sz w:val="17"/>
          <w:szCs w:val="17"/>
          <w:color w:val="auto"/>
        </w:rPr>
      </w:pPr>
    </w:p>
    <w:p>
      <w:pPr>
        <w:ind w:left="1800" w:right="739" w:hanging="178"/>
        <w:spacing w:after="0" w:line="259"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19"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Our amended and restated certificate of incorporation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116"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 for certain lawsuits</w:t>
      </w:r>
    </w:p>
    <w:p>
      <w:pPr>
        <w:spacing w:after="0" w:line="148"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Our amended and restated certificate of incorporation will require,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w:t>
      </w:r>
    </w:p>
    <w:p>
      <w:pPr>
        <w:sectPr>
          <w:pgSz w:w="11900" w:h="16838" w:orient="portrait"/>
          <w:cols w:equalWidth="0" w:num="1">
            <w:col w:w="10139"/>
          </w:cols>
          <w:pgMar w:left="320" w:top="131"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4" w:name="page135"/>
    <w:bookmarkEnd w:id="13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52" w:lineRule="auto"/>
        <w:rPr>
          <w:sz w:val="20"/>
          <w:szCs w:val="20"/>
          <w:color w:val="auto"/>
        </w:rPr>
      </w:pPr>
      <w:r>
        <w:rPr>
          <w:rFonts w:ascii="Arial" w:cs="Arial" w:eastAsia="Arial" w:hAnsi="Arial"/>
          <w:sz w:val="18"/>
          <w:szCs w:val="18"/>
          <w:color w:val="auto"/>
        </w:rPr>
        <w:t>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19"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securities shall be deemed to have notice of an consented to these provisions.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Special meeting of stockholders</w:t>
      </w:r>
    </w:p>
    <w:p>
      <w:pPr>
        <w:spacing w:after="0" w:line="162"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6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90th day nor earlier than the opening of business on the 120th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Action by written consent</w:t>
      </w:r>
    </w:p>
    <w:p>
      <w:pPr>
        <w:spacing w:after="0" w:line="148"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Classified Board of Directors</w:t>
      </w:r>
    </w:p>
    <w:p>
      <w:pPr>
        <w:spacing w:after="0" w:line="162"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Our board of directors will initially be divided into three classes, Class I, Class II and Class III, with members of each class serving staggered three-year terms. Our amended and restated certificate of incorporation will provide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1099"/>
        <w:spacing w:after="0" w:line="248" w:lineRule="auto"/>
        <w:rPr>
          <w:sz w:val="20"/>
          <w:szCs w:val="20"/>
          <w:color w:val="auto"/>
        </w:rPr>
      </w:pPr>
      <w:r>
        <w:rPr>
          <w:rFonts w:ascii="Arial" w:cs="Arial" w:eastAsia="Arial" w:hAnsi="Arial"/>
          <w:sz w:val="18"/>
          <w:szCs w:val="18"/>
          <w:color w:val="auto"/>
        </w:rPr>
        <w:t>directors, voting together as a single class. Any vacancy on our board of directors, including a vacancy resulting from an enlargement of our board of directors, may be filled only by vote of a majority of our directors then in office.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B Common Stock Consent Right</w:t>
      </w:r>
    </w:p>
    <w:p>
      <w:pPr>
        <w:spacing w:after="0" w:line="135"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48" w:lineRule="exact"/>
        <w:rPr>
          <w:sz w:val="20"/>
          <w:szCs w:val="20"/>
          <w:color w:val="auto"/>
        </w:rPr>
      </w:pPr>
    </w:p>
    <w:p>
      <w:pPr>
        <w:ind w:left="1260" w:right="739" w:firstLine="360"/>
        <w:spacing w:after="0" w:line="237" w:lineRule="auto"/>
        <w:rPr>
          <w:sz w:val="20"/>
          <w:szCs w:val="20"/>
          <w:color w:val="auto"/>
        </w:rPr>
      </w:pPr>
      <w:r>
        <w:rPr>
          <w:rFonts w:ascii="Arial" w:cs="Arial" w:eastAsia="Arial" w:hAnsi="Arial"/>
          <w:sz w:val="18"/>
          <w:szCs w:val="18"/>
          <w:color w:val="auto"/>
        </w:rPr>
        <w:t>Immediately after this offering we will have 12,875,000 (or 14,780,000 if the underwriters’ over-allotment option is exercised in full) shares of common stock outstanding. Of these shares, the shares of Class A common stock sold in this offering (10,000,000 Class A common stock if the underwriters’ over allotment option is not exercised and 11,500,000 shares if the underwriters’ over- allotment option is exercised in full) will be freely tradable without restriction or further registration under the Securities Act, except for any Class A common stock purchased by one of our affiliates within the meaning of Rule 144 under the Securities Act. All of the outstanding founder shares (2,500,000 founder shares if the underwriters’ over- allotment option is not exercised and 2,875,000 founder shares if the underwriters’ over-allotment option is exercised in full) and all of the outstanding private placement units (375,000 units if the underwriters’ over- allotment option is not exercised and 405,000 units if the underwriters’ over-allotment option is exercised in full) will be restricted securities under Rule 144, in that they were issued in private transactions not involving a public offering.</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35"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2" w:lineRule="exact"/>
        <w:rPr>
          <w:sz w:val="20"/>
          <w:szCs w:val="20"/>
          <w:color w:val="auto"/>
        </w:rPr>
      </w:pPr>
    </w:p>
    <w:p>
      <w:pPr>
        <w:ind w:left="1260" w:right="779" w:firstLine="360"/>
        <w:spacing w:after="0" w:line="243"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53" w:lineRule="exact"/>
        <w:rPr>
          <w:sz w:val="20"/>
          <w:szCs w:val="20"/>
          <w:color w:val="auto"/>
        </w:rPr>
      </w:pPr>
    </w:p>
    <w:p>
      <w:pPr>
        <w:ind w:left="1800" w:right="699" w:hanging="178"/>
        <w:spacing w:after="0" w:line="263"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 of the total number of shares of common stock then outstanding, which will equal 128,750 shares immediately after this offering (or 147,800 if the underwriters exercise in full their over-allotment option); or</w:t>
      </w:r>
    </w:p>
    <w:p>
      <w:pPr>
        <w:spacing w:after="0" w:line="48" w:lineRule="exact"/>
        <w:rPr>
          <w:rFonts w:ascii="Arial" w:cs="Arial" w:eastAsia="Arial" w:hAnsi="Arial"/>
          <w:sz w:val="18"/>
          <w:szCs w:val="18"/>
          <w:color w:val="auto"/>
        </w:rPr>
      </w:pPr>
    </w:p>
    <w:p>
      <w:pPr>
        <w:ind w:left="1800" w:right="879" w:hanging="178"/>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76" w:lineRule="exact"/>
        <w:rPr>
          <w:sz w:val="20"/>
          <w:szCs w:val="20"/>
          <w:color w:val="auto"/>
        </w:rPr>
      </w:pPr>
    </w:p>
    <w:p>
      <w:pPr>
        <w:ind w:left="1260" w:right="1399" w:firstLine="360"/>
        <w:spacing w:after="0" w:line="261"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31" w:lineRule="exact"/>
        <w:rPr>
          <w:sz w:val="20"/>
          <w:szCs w:val="20"/>
          <w:color w:val="auto"/>
        </w:rPr>
      </w:pPr>
    </w:p>
    <w:p>
      <w:pPr>
        <w:ind w:left="1260" w:right="1099" w:firstLine="360"/>
        <w:spacing w:after="0" w:line="24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ectPr>
          <w:pgSz w:w="11900" w:h="16838" w:orient="portrait"/>
          <w:cols w:equalWidth="0" w:num="1">
            <w:col w:w="10139"/>
          </w:cols>
          <w:pgMar w:left="320" w:top="131"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6" w:name="page137"/>
    <w:bookmarkEnd w:id="13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28" w:lineRule="exact"/>
        <w:rPr>
          <w:rFonts w:ascii="Arial" w:cs="Arial" w:eastAsia="Arial" w:hAnsi="Arial"/>
          <w:sz w:val="17"/>
          <w:szCs w:val="17"/>
          <w:color w:val="auto"/>
        </w:rPr>
      </w:pPr>
    </w:p>
    <w:p>
      <w:pPr>
        <w:ind w:left="1800" w:right="1159" w:hanging="178"/>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62" w:lineRule="exact"/>
        <w:rPr>
          <w:rFonts w:ascii="Arial" w:cs="Arial" w:eastAsia="Arial" w:hAnsi="Arial"/>
          <w:sz w:val="18"/>
          <w:szCs w:val="18"/>
          <w:color w:val="auto"/>
        </w:rPr>
      </w:pPr>
    </w:p>
    <w:p>
      <w:pPr>
        <w:ind w:left="1800" w:right="699" w:hanging="178"/>
        <w:spacing w:after="0" w:line="26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75" w:lineRule="exact"/>
        <w:rPr>
          <w:rFonts w:ascii="Arial" w:cs="Arial" w:eastAsia="Arial" w:hAnsi="Arial"/>
          <w:sz w:val="18"/>
          <w:szCs w:val="18"/>
          <w:color w:val="auto"/>
        </w:rPr>
      </w:pPr>
    </w:p>
    <w:p>
      <w:pPr>
        <w:ind w:left="1800" w:right="1039" w:hanging="178"/>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89"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As a result, our initial stockholders will be able to sell their founder shares and private placement units, as applicable, pursuant to Rule 144 without registration one year after we have completed our initial business combination.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Arial" w:cs="Arial" w:eastAsia="Arial" w:hAnsi="Arial"/>
          <w:sz w:val="17"/>
          <w:szCs w:val="17"/>
          <w:color w:val="auto"/>
        </w:rPr>
        <w:t>The holders of the founder shares, private placement unit, private placement shares, private placement warrants (and any Class A common stock issuable upon the exercise of the private placement warrants) and securities that may be issued upon conversion of working capital loans (and any Class A common stock issuable upon the conversion of such securities) will be entitled to registration rights pursuant to a registration rights agreement to be signed prior to or on the effective date of this offering, requiring us to register such securities and any other securities of the Company acquired by them prior to the consummation of our initial business combination for resale. Pursuant to the registration rights agreement and assuming the underwriters exercise their over-allotment option in full and $1.5 million of working capital loans are converted into private placement units, we will be obligated to register up to 3,430,000 shares of Class A common stock and 277,500 warrants. The number of shares of Class A common stock includes (i) 2,875,000 shares of Class A common stock to be issued upon conversion of the founder shares,</w:t>
      </w:r>
    </w:p>
    <w:p>
      <w:pPr>
        <w:spacing w:after="0" w:line="7" w:lineRule="exact"/>
        <w:rPr>
          <w:sz w:val="20"/>
          <w:szCs w:val="20"/>
          <w:color w:val="auto"/>
        </w:rPr>
      </w:pPr>
    </w:p>
    <w:p>
      <w:pPr>
        <w:ind w:left="1260" w:right="679" w:firstLine="2"/>
        <w:spacing w:after="0" w:line="268" w:lineRule="auto"/>
        <w:tabs>
          <w:tab w:leader="none" w:pos="1543" w:val="left"/>
        </w:tabs>
        <w:numPr>
          <w:ilvl w:val="0"/>
          <w:numId w:val="75"/>
        </w:numPr>
        <w:rPr>
          <w:rFonts w:ascii="Arial" w:cs="Arial" w:eastAsia="Arial" w:hAnsi="Arial"/>
          <w:sz w:val="17"/>
          <w:szCs w:val="17"/>
          <w:color w:val="auto"/>
        </w:rPr>
      </w:pPr>
      <w:r>
        <w:rPr>
          <w:rFonts w:ascii="Arial" w:cs="Arial" w:eastAsia="Arial" w:hAnsi="Arial"/>
          <w:sz w:val="17"/>
          <w:szCs w:val="17"/>
          <w:color w:val="auto"/>
        </w:rPr>
        <w:t>405,000 shares of Class A common stock underlying the private placement units and (iii) 150,000 shares of Class A common stock underlying the private placement units issued upon conversion of working capital loans. The number of warrants includes 202,500 private placement warrants and 75,000 private placement warrants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 of Securities</w:t>
      </w:r>
    </w:p>
    <w:p>
      <w:pPr>
        <w:spacing w:after="0" w:line="162" w:lineRule="exact"/>
        <w:rPr>
          <w:sz w:val="20"/>
          <w:szCs w:val="20"/>
          <w:color w:val="auto"/>
        </w:rPr>
      </w:pPr>
    </w:p>
    <w:p>
      <w:pPr>
        <w:ind w:left="1260" w:right="939" w:firstLine="360"/>
        <w:spacing w:after="0" w:line="257" w:lineRule="auto"/>
        <w:rPr>
          <w:sz w:val="20"/>
          <w:szCs w:val="20"/>
          <w:color w:val="auto"/>
        </w:rPr>
      </w:pPr>
      <w:r>
        <w:rPr>
          <w:rFonts w:ascii="Arial" w:cs="Arial" w:eastAsia="Arial" w:hAnsi="Arial"/>
          <w:sz w:val="18"/>
          <w:szCs w:val="18"/>
          <w:color w:val="auto"/>
        </w:rPr>
        <w:t>We have applied to have our units listed on Nasdaq under the symbol “CAPAU” commencing on or promptly after the date of this prospectus. We cannot guarantee that our securities will be approved for listing on Nasdaq. Once the securities comprising the units begin separate trading, we expect that the Class A common stock and warrants will be listed on Nasdaq under the symbols “CAPA” and “CAPAW,”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4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following is a discussion of certain material U.S. federal income tax consequences of the acquisition, ownership and disposition of our units, shares of Class A common stock and warrants, which we refer to collectively as our securities. Because the components of a unit are separable at the option of the holder, the holder of a unit generally should be treated, for U.S. federal income tax purposes, as the owner of the underlying Class A common stock and one-half of one redeemable warrant components of the unit, as the case may be. As a result, the discussion below with respect to actual holders of Class A common stock and warrants should also apply to holders of units (as the deemed owners of the underlying Class A common stock and warrants that comprise the units). This discussion applies only to securities that are held as capital assets for U.S. federal income tax purposes and is applicable only to holders who purchased units in this offering.</w:t>
      </w:r>
    </w:p>
    <w:p>
      <w:pPr>
        <w:spacing w:after="0" w:line="127"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63" w:lineRule="exact"/>
        <w:rPr>
          <w:sz w:val="20"/>
          <w:szCs w:val="20"/>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44"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44"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expatriates or former long-term residents of the U.S.;</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44"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dealers or traders subject to a mark-to-market method of accounting with respect to the securities;</w:t>
      </w:r>
    </w:p>
    <w:p>
      <w:pPr>
        <w:spacing w:after="0" w:line="142" w:lineRule="exact"/>
        <w:rPr>
          <w:rFonts w:ascii="Arial" w:cs="Arial" w:eastAsia="Arial" w:hAnsi="Arial"/>
          <w:sz w:val="17"/>
          <w:szCs w:val="17"/>
          <w:color w:val="auto"/>
        </w:rPr>
      </w:pPr>
    </w:p>
    <w:p>
      <w:pPr>
        <w:ind w:left="1800" w:right="1339" w:hanging="178"/>
        <w:spacing w:after="0" w:line="277"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44" w:lineRule="exact"/>
        <w:rPr>
          <w:rFonts w:ascii="Arial" w:cs="Arial" w:eastAsia="Arial" w:hAnsi="Arial"/>
          <w:sz w:val="18"/>
          <w:szCs w:val="18"/>
          <w:color w:val="auto"/>
        </w:rPr>
      </w:pPr>
    </w:p>
    <w:p>
      <w:pPr>
        <w:ind w:left="1800" w:right="899" w:hanging="178"/>
        <w:spacing w:after="0" w:line="277"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 and</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5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your partners will generally depend on the status of the partners and your activities.</w:t>
      </w:r>
    </w:p>
    <w:p>
      <w:pPr>
        <w:spacing w:after="0" w:line="89"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This discussion is based on the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25"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ectPr>
          <w:pgSz w:w="11900" w:h="16838" w:orient="portrait"/>
          <w:cols w:equalWidth="0" w:num="1">
            <w:col w:w="10139"/>
          </w:cols>
          <w:pgMar w:left="320" w:top="131" w:right="1440" w:bottom="1440" w:gutter="0" w:footer="0" w:header="0"/>
        </w:sectPr>
      </w:pP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Personal Holding Company Status</w:t>
      </w:r>
    </w:p>
    <w:p>
      <w:pPr>
        <w:spacing w:after="0" w:line="14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could be subject to a second level of U.S. federal income tax on a portion of our income if we are determined to be a personal holding company, or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18"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At least 60% of our adjusted ordinary gross income may consist of PHC income, depending on the date and size of our initial business combination. In addition, depending on the concentration of our stock in the hands of individuals, including the members of our sponsor and certain tax-exempt organizations, pension funds and charitable trusts, more than 50% of our stock may be owned or 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162"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share of our Class A common stock and one-half of one warrant to acquire one share of our Class A common stock. For U.S. federal income tax purposes, each holder of a unit must allocate the purchase price paid by such holder for such unit between the one share of Class A common stock and the one-half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adviser regarding the determination of value for these purposes. The price allocated to each share of Class A common stock and the one-half of one warrant should be the stockholder’s initial tax basis in such share or warrant, as the case may be. Any disposition of a unit should be treated for U.S. federal income tax purposes as a disposition of the share of Class A common stock and one-half of one warrant comprising the unit, and the amount realized on the disposition should be allocated between the Class A common stock and the one-half of one warrant based on their respective relative fair market values (as determined by each such unit holder on all the relevant facts and circumstances) at the time of disposition. The separation of shares of Class A common stock and warrants comprising units should not be a taxable event for U.S. federal income tax purposes.</w:t>
      </w:r>
    </w:p>
    <w:p>
      <w:pPr>
        <w:spacing w:after="0" w:line="109"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The foregoing treatment of the shares of Class A common stock and warrants and a holder’s purchase price allocation are not binding on the Internal Revenue Service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Holders</w:t>
      </w:r>
    </w:p>
    <w:p>
      <w:pPr>
        <w:spacing w:after="0" w:line="162"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This section applies to you if you are a “U.S. holder.” A U.S. holder is a beneficial owner of our units, shares of Class A common stock or warrants who or that is, for U.S. federal income tax purposes:</w:t>
      </w:r>
    </w:p>
    <w:p>
      <w:pPr>
        <w:spacing w:after="0" w:line="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an individual who is a citizen or resident of the United States;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9" w:name="page140"/>
    <w:bookmarkEnd w:id="13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59" w:hanging="178"/>
        <w:spacing w:after="0" w:line="277"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62" w:lineRule="exact"/>
        <w:rPr>
          <w:rFonts w:ascii="Arial" w:cs="Arial" w:eastAsia="Arial" w:hAnsi="Arial"/>
          <w:sz w:val="18"/>
          <w:szCs w:val="18"/>
          <w:color w:val="auto"/>
        </w:rPr>
      </w:pPr>
    </w:p>
    <w:p>
      <w:pPr>
        <w:ind w:left="1800" w:right="1059" w:hanging="178"/>
        <w:spacing w:after="0" w:line="277"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48" w:lineRule="exact"/>
        <w:rPr>
          <w:rFonts w:ascii="Arial" w:cs="Arial" w:eastAsia="Arial" w:hAnsi="Arial"/>
          <w:sz w:val="18"/>
          <w:szCs w:val="18"/>
          <w:color w:val="auto"/>
        </w:rPr>
      </w:pPr>
    </w:p>
    <w:p>
      <w:pPr>
        <w:ind w:left="1800" w:right="899" w:hanging="178"/>
        <w:spacing w:after="0" w:line="259"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15"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b w:val="1"/>
          <w:bCs w:val="1"/>
          <w:color w:val="auto"/>
        </w:rPr>
        <w:t xml:space="preserve">Taxation of Distributions. </w:t>
      </w:r>
      <w:r>
        <w:rPr>
          <w:rFonts w:ascii="Arial" w:cs="Arial" w:eastAsia="Arial" w:hAnsi="Arial"/>
          <w:sz w:val="18"/>
          <w:szCs w:val="18"/>
          <w:color w:val="auto"/>
        </w:rPr>
        <w:t>If we pay distributions in cash or other property (other than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 — Gain or Loss on Sale, Taxable Exchange or Other Taxable Disposition of Class A Common Stock and Warrants” below.</w:t>
      </w:r>
    </w:p>
    <w:p>
      <w:pPr>
        <w:spacing w:after="0" w:line="125"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 corporate holders may be subject to tax on such dividend at regular ordinary income tax rates instead of the preferential rate that applies to qualified dividend income.</w:t>
      </w:r>
    </w:p>
    <w:p>
      <w:pPr>
        <w:spacing w:after="0" w:line="98"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b w:val="1"/>
          <w:bCs w:val="1"/>
          <w:color w:val="auto"/>
        </w:rPr>
        <w:t xml:space="preserve">Gain or Loss on Sale, Taxable Exchange or Other Taxable Disposition of Class A Common Stock and Warrants. </w:t>
      </w:r>
      <w:r>
        <w:rPr>
          <w:rFonts w:ascii="Arial" w:cs="Arial" w:eastAsia="Arial" w:hAnsi="Arial"/>
          <w:sz w:val="17"/>
          <w:szCs w:val="17"/>
          <w:color w:val="auto"/>
        </w:rPr>
        <w:t>Upon a sale or other taxable disposition of our Class A common stock or warrants which, in</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would include a redemption of Class A common stock or warrants that is treated as a sale of such securities as described below, and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Class A common stock or warrants. Any such capital gain or loss generally will be long-term capital gain or loss if the U.S. holder’s holding period for the Class A common stock or warrants so disposed of exceeds one year. It is unclear, however, whether the redemption rights with respect to the Class A common stock described in this prospectus may suspend the running of the applicable holding period for this purpose. If the running of the holding period for the Class A common stock is suspended, then non-corporate U.S. holders may not be able to satisfy the one-year holding period requirement for long-term capital gain treatment, in which case any gain on a sale or taxable disposition of the shares or warrants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116"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Generally, the amount of gain or loss recognized by a U.S. holder is an amount equal to the difference between (i) the sum of the amount of cash and the fair market value of any property received in such disposition (or, if the Class A common stock or warrants are held as part of units at the time of the disposition, the portion of the amount realized on such disposition that is allocated to the Class A common stock or the warrants based upon the then fair market values of the Class A common stock and the warrants included in the units) and (ii) the U.S. holder’s adjusted tax basis in its Class A common stock or</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rPr>
          <w:sz w:val="20"/>
          <w:szCs w:val="20"/>
          <w:color w:val="auto"/>
        </w:rPr>
      </w:pPr>
      <w:r>
        <w:rPr>
          <w:rFonts w:ascii="Arial" w:cs="Arial" w:eastAsia="Arial" w:hAnsi="Arial"/>
          <w:sz w:val="18"/>
          <w:szCs w:val="18"/>
          <w:color w:val="auto"/>
        </w:rPr>
        <w:t>warrants so disposed of. A U.S. holder’s adjusted tax basis in its Class A common stock or warrants generally will equal the U.S. holder’s acquisition cost (that is, as discussed above, the portion of the purchase price of a unit allocated to a share of Class A common stock or one-half of one warrant or, as discussed below, the U.S. holder’s initial basis for Class A common stock received upon exercise of warrants) less, in the case of a share of Class A common stock, any prior distributions treated as a return of capital.</w:t>
      </w:r>
    </w:p>
    <w:p>
      <w:pPr>
        <w:spacing w:after="0" w:line="104" w:lineRule="exact"/>
        <w:rPr>
          <w:sz w:val="20"/>
          <w:szCs w:val="20"/>
          <w:color w:val="auto"/>
        </w:rPr>
      </w:pPr>
    </w:p>
    <w:p>
      <w:pPr>
        <w:ind w:left="1260" w:right="739" w:firstLine="360"/>
        <w:spacing w:after="0" w:line="236" w:lineRule="auto"/>
        <w:rPr>
          <w:sz w:val="20"/>
          <w:szCs w:val="20"/>
          <w:color w:val="auto"/>
        </w:rPr>
      </w:pPr>
      <w:r>
        <w:rPr>
          <w:rFonts w:ascii="Arial" w:cs="Arial" w:eastAsia="Arial" w:hAnsi="Arial"/>
          <w:sz w:val="18"/>
          <w:szCs w:val="18"/>
          <w:b w:val="1"/>
          <w:bCs w:val="1"/>
          <w:color w:val="auto"/>
        </w:rPr>
        <w:t xml:space="preserve">Redemption of Class A Common Stock. </w:t>
      </w:r>
      <w:r>
        <w:rPr>
          <w:rFonts w:ascii="Arial" w:cs="Arial" w:eastAsia="Arial" w:hAnsi="Arial"/>
          <w:sz w:val="18"/>
          <w:szCs w:val="18"/>
          <w:color w:val="auto"/>
        </w:rPr>
        <w:t>In the event that a U.S. holder’s Class A common stock is</w:t>
      </w:r>
      <w:r>
        <w:rPr>
          <w:rFonts w:ascii="Arial" w:cs="Arial" w:eastAsia="Arial" w:hAnsi="Arial"/>
          <w:sz w:val="18"/>
          <w:szCs w:val="18"/>
          <w:b w:val="1"/>
          <w:bCs w:val="1"/>
          <w:color w:val="auto"/>
        </w:rPr>
        <w:t xml:space="preserve"> </w:t>
      </w:r>
      <w:r>
        <w:rPr>
          <w:rFonts w:ascii="Arial" w:cs="Arial" w:eastAsia="Arial" w:hAnsi="Arial"/>
          <w:sz w:val="18"/>
          <w:szCs w:val="18"/>
          <w:color w:val="auto"/>
        </w:rPr>
        <w:t>redeemed pursuant to the redemption provisions described in this prospectus under the section of this prospectus entitled “Description of Securities — Common Stock” or if we purchase a U.S. holder’s Class A common stock in an open market transaction, the treatment of the transaction for U.S. federal income tax purposes will depend on whether the redemption or purchase by us qualifies as a sale of the Class A common stock under Section 302 of the Code. If the redemption or purchase by us qualifies as a sale of common stock, the U.S. holder will be treated as described under “U.S. Holders — Gain or Loss on Sale, Taxable Exchange or Other Taxable Disposition of Class A Common Stock and Warrants” above. If the redemption or purchase by us does not qualify as a sale of common stock, the U.S. holder will be treated as receiving a corporate distribution with the tax consequences described above under “U.S. Holders — Taxation of Distributions”. Whether a redemption or purchase by us qualifies for sale treatment will depend largely on the total number of shares of our stock treated as held by the U.S. holder (including any stock constructively owned by the U.S. holder as a result of owning warrants) relative to all of our shares outstanding both before and after the redemption. The redemption or purchase by us of Class A common stock generally will be treated as a sale of the Class A common stock (rather than as a corporate distribution) if the redemption or purchase by us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33"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Class A common stock which could be acquired pursuant to the exercise of the warrants. In order to meet the substantially disproportionate test, the percentage of our outstanding voting stock actually and constructively owned by the U.S. holder immediately following the redemption of Class A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The redemption or purchase by us of the Class A common stock will not be essentially equivalent to a dividend if the redemption or purchase by us results in a “meaningful reduction” of the U.S. holder’s proportionate interest in us. Whether the redemption or purchase by us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332"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If none of the foregoing tests is satisfied, then the redemption or purchase by us will be treated as a corporate distribution and the tax effects will be as described under “U.S. Holders — Taxation of Distributions,” above. After the application of those rules, any remaining tax basis of the U.S. holder in the redeemed Class A common stock will be added to the U.S. holder’s adjusted tax basis in its remaining stock, or, if it has none, to the U.S. holder’s adjusted tax basis in its warrants or possibly in other stock constructively owned by it.</w:t>
      </w:r>
    </w:p>
    <w:p>
      <w:pPr>
        <w:spacing w:after="0" w:line="107" w:lineRule="exact"/>
        <w:rPr>
          <w:sz w:val="20"/>
          <w:szCs w:val="20"/>
          <w:color w:val="auto"/>
        </w:rPr>
      </w:pPr>
    </w:p>
    <w:p>
      <w:pPr>
        <w:ind w:left="1260" w:right="939" w:firstLine="360"/>
        <w:spacing w:after="0" w:line="347" w:lineRule="auto"/>
        <w:rPr>
          <w:sz w:val="20"/>
          <w:szCs w:val="20"/>
          <w:color w:val="auto"/>
        </w:rPr>
      </w:pPr>
      <w:r>
        <w:rPr>
          <w:rFonts w:ascii="Arial" w:cs="Arial" w:eastAsia="Arial" w:hAnsi="Arial"/>
          <w:sz w:val="16"/>
          <w:szCs w:val="16"/>
          <w:b w:val="1"/>
          <w:bCs w:val="1"/>
          <w:color w:val="auto"/>
        </w:rPr>
        <w:t xml:space="preserve">Exercise, Lapse or Redemption of a Warrant. </w:t>
      </w:r>
      <w:r>
        <w:rPr>
          <w:rFonts w:ascii="Arial" w:cs="Arial" w:eastAsia="Arial" w:hAnsi="Arial"/>
          <w:sz w:val="16"/>
          <w:szCs w:val="16"/>
          <w:color w:val="auto"/>
        </w:rPr>
        <w:t>Except as discussed below with respect to the cashless</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a warrant, a U.S. holder generally will not recognize taxable gain or loss on the acquisition of</w:t>
      </w:r>
    </w:p>
    <w:p>
      <w:pPr>
        <w:sectPr>
          <w:pgSz w:w="11900" w:h="16838" w:orient="portrait"/>
          <w:cols w:equalWidth="0" w:num="1">
            <w:col w:w="10139"/>
          </w:cols>
          <w:pgMar w:left="320" w:top="131" w:right="1440" w:bottom="1440" w:gutter="0" w:footer="0" w:header="0"/>
        </w:sectPr>
      </w:pPr>
    </w:p>
    <w:p>
      <w:pPr>
        <w:spacing w:after="0" w:line="30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3" w:lineRule="auto"/>
        <w:rPr>
          <w:sz w:val="20"/>
          <w:szCs w:val="20"/>
          <w:color w:val="auto"/>
        </w:rPr>
      </w:pPr>
      <w:r>
        <w:rPr>
          <w:rFonts w:ascii="Arial" w:cs="Arial" w:eastAsia="Arial" w:hAnsi="Arial"/>
          <w:sz w:val="17"/>
          <w:szCs w:val="17"/>
          <w:color w:val="auto"/>
        </w:rPr>
        <w:t>common stock upon exercise of a warrant for cash. The U.S. holder’s tax basis in the share of our Class A common stock received upon exercise of the warrant generally will be an amount equal to the sum of the U.S. holder’s initial investment in the warrant (i.e., the portion of the U.S. holder’s purchase price for units that is allocated to the warrant, as described above under “— Allocation of Purchase Price and Characterization of a Unit”) and the exercise price. It is unclear whether the U.S. holder’s holding period for the Class A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03"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basis in the Class A common stock received would equal the holder’s basis in the warrants exercised therefor. If the cashless exercise were treated as not being a realization event (and not a recapitalization),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13"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It is also possible that a cashless exercise could be treated in part as a taxable exchange in which gain or loss would be recognized. In such event, a U.S. holder could be deemed to have surrendered warrants equal to the number of shares of Class A common stock having a value equal to the exercise price for the total number of warrants to be exercised. The U.S. holder would recognize capital gain or loss in an amount equal to the difference between the fair market value of the Class A common stock received in respect of the warrants deemed surrendered and the U.S. holder’s adjusted tax basis in the warrants deemed surrendered. In this case, a U.S. holder’s tax basis in the Class A common stock received would equal the sum of the fair market value of the Class A common stock received in respect of the warrants deemed surrendered and the U.S. holder’s tax basis in the warrants exercised.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126"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08"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If we redeem warrants for cash pursuant to the redemption provisions described in the section of this prospectus entitled “Description of Securities — Redeemable Warrants — Public Stockholders’ Warrants — Redemption of warrants for cash” or if we purchase warrants in an open market transaction, such redemption or purchase generally will be treated as a taxable disposition to the U.S. holder, taxed as described above under “— Gain or Loss on Sale, Taxable Exchange or Other Taxable Disposition of Class A Common Stock and Warrants.”</w:t>
      </w:r>
    </w:p>
    <w:p>
      <w:pPr>
        <w:spacing w:after="0" w:line="11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b w:val="1"/>
          <w:bCs w:val="1"/>
          <w:color w:val="auto"/>
        </w:rPr>
        <w:t xml:space="preserve">Possible Constructive Distributions. </w:t>
      </w:r>
      <w:r>
        <w:rPr>
          <w:rFonts w:ascii="Arial" w:cs="Arial" w:eastAsia="Arial" w:hAnsi="Arial"/>
          <w:sz w:val="17"/>
          <w:szCs w:val="17"/>
          <w:color w:val="auto"/>
        </w:rPr>
        <w:t>The terms of each warrant provide for an adjustment to the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of common stock for which the warrant may be exercised or to the exercise price of the warrant in certain events, as discussed in the section of this prospectus entitled “Description of Securities — Redeemable Warrants — Public Stockholders’ Warrants.”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48" w:lineRule="auto"/>
        <w:rPr>
          <w:sz w:val="20"/>
          <w:szCs w:val="20"/>
          <w:color w:val="auto"/>
        </w:rPr>
      </w:pPr>
      <w:r>
        <w:rPr>
          <w:rFonts w:ascii="Arial" w:cs="Arial" w:eastAsia="Arial" w:hAnsi="Arial"/>
          <w:sz w:val="18"/>
          <w:szCs w:val="18"/>
          <w:color w:val="auto"/>
        </w:rPr>
        <w:t>taxable to the holders of such shares as a distribution. Such constructive distribution would be subject to tax as described under that section in the same manner as if the U.S. holders of the warrants received a cash distribution from us equal to the fair market value of such increased interest.</w:t>
      </w:r>
    </w:p>
    <w:p>
      <w:pPr>
        <w:spacing w:after="0" w:line="97"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b w:val="1"/>
          <w:bCs w:val="1"/>
          <w:color w:val="auto"/>
        </w:rPr>
        <w:t xml:space="preserve">Information Reporting and Backup Withholding. </w:t>
      </w:r>
      <w:r>
        <w:rPr>
          <w:rFonts w:ascii="Arial" w:cs="Arial" w:eastAsia="Arial" w:hAnsi="Arial"/>
          <w:sz w:val="18"/>
          <w:szCs w:val="18"/>
          <w:color w:val="auto"/>
        </w:rPr>
        <w:t>In general, information reporting requirements may</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dividends paid to a U.S. holder and to the proceeds of the sale or other disposition of our units,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20" w:lineRule="exact"/>
        <w:rPr>
          <w:sz w:val="20"/>
          <w:szCs w:val="20"/>
          <w:color w:val="auto"/>
        </w:rPr>
      </w:pPr>
    </w:p>
    <w:p>
      <w:pPr>
        <w:ind w:left="1260" w:right="1179" w:firstLine="360"/>
        <w:spacing w:after="0" w:line="248" w:lineRule="auto"/>
        <w:rPr>
          <w:sz w:val="20"/>
          <w:szCs w:val="20"/>
          <w:color w:val="auto"/>
        </w:rPr>
      </w:pPr>
      <w:r>
        <w:rPr>
          <w:rFonts w:ascii="Arial" w:cs="Arial" w:eastAsia="Arial" w:hAnsi="Arial"/>
          <w:sz w:val="18"/>
          <w:szCs w:val="18"/>
          <w:color w:val="auto"/>
        </w:rPr>
        <w:t>Any amounts withheld under the backup withholding rules will be allowed as a refund or a credit against a U.S. holder’s U.S. federal income tax liability provided the required information is timely furnished to the IRS.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Non-U.S. Holders</w:t>
      </w:r>
    </w:p>
    <w:p>
      <w:pPr>
        <w:spacing w:after="0" w:line="162"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common stock or warrants who or that is for U.S. federal income tax purposes:</w:t>
      </w:r>
    </w:p>
    <w:p>
      <w:pPr>
        <w:spacing w:after="0" w:line="60" w:lineRule="exact"/>
        <w:rPr>
          <w:sz w:val="20"/>
          <w:szCs w:val="20"/>
          <w:color w:val="auto"/>
        </w:rPr>
      </w:pPr>
    </w:p>
    <w:p>
      <w:pPr>
        <w:ind w:left="1800" w:right="719" w:hanging="178"/>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U.S. subject to U.S. tax as expatriates);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44" w:lineRule="exact"/>
        <w:rPr>
          <w:sz w:val="20"/>
          <w:szCs w:val="20"/>
          <w:color w:val="auto"/>
        </w:rPr>
      </w:pPr>
    </w:p>
    <w:p>
      <w:pPr>
        <w:ind w:left="1260" w:right="759"/>
        <w:spacing w:after="0" w:line="270" w:lineRule="auto"/>
        <w:rPr>
          <w:sz w:val="20"/>
          <w:szCs w:val="20"/>
          <w:color w:val="auto"/>
        </w:rPr>
      </w:pPr>
      <w:r>
        <w:rPr>
          <w:rFonts w:ascii="Arial" w:cs="Arial" w:eastAsia="Arial" w:hAnsi="Arial"/>
          <w:sz w:val="17"/>
          <w:szCs w:val="17"/>
          <w:color w:val="auto"/>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92"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b w:val="1"/>
          <w:bCs w:val="1"/>
          <w:color w:val="auto"/>
        </w:rPr>
        <w:t xml:space="preserve">Taxation of Distributions. </w:t>
      </w:r>
      <w:r>
        <w:rPr>
          <w:rFonts w:ascii="Arial" w:cs="Arial" w:eastAsia="Arial" w:hAnsi="Arial"/>
          <w:sz w:val="17"/>
          <w:szCs w:val="17"/>
          <w:color w:val="auto"/>
        </w:rPr>
        <w:t>In general, any distributions we make to a Non-U.S. holder of shares of our</w:t>
      </w:r>
      <w:r>
        <w:rPr>
          <w:rFonts w:ascii="Arial" w:cs="Arial" w:eastAsia="Arial" w:hAnsi="Arial"/>
          <w:sz w:val="17"/>
          <w:szCs w:val="17"/>
          <w:b w:val="1"/>
          <w:bCs w:val="1"/>
          <w:color w:val="auto"/>
        </w:rPr>
        <w:t xml:space="preserve"> </w:t>
      </w:r>
      <w:r>
        <w:rPr>
          <w:rFonts w:ascii="Arial" w:cs="Arial" w:eastAsia="Arial" w:hAnsi="Arial"/>
          <w:sz w:val="17"/>
          <w:szCs w:val="17"/>
          <w:color w:val="auto"/>
        </w:rPr>
        <w:t>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W- 8BEN or W- 8BEN-E).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 — Gain on Sale, Taxable Exchange or Other Taxable Disposition of Class A Common Stock and Warrants” below. In addition, if we determine that we are likely to be classified as a “U.S. real property holding corporation” (see “Non-U.S. Holders — Gain on Sale, Taxable Exchange or Other Taxable Disposition of Class A Common Stock and Warrants” below), we will withhold 15% of any distribution that exceeds our current and accumulated earnings and profits.</w:t>
      </w:r>
    </w:p>
    <w:p>
      <w:pPr>
        <w:spacing w:after="0" w:line="122"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The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90" w:lineRule="exact"/>
        <w:rPr>
          <w:sz w:val="20"/>
          <w:szCs w:val="20"/>
          <w:color w:val="auto"/>
        </w:rPr>
      </w:pPr>
    </w:p>
    <w:p>
      <w:pPr>
        <w:ind w:left="1260" w:right="699" w:firstLine="360"/>
        <w:spacing w:after="0" w:line="242" w:lineRule="auto"/>
        <w:rPr>
          <w:sz w:val="20"/>
          <w:szCs w:val="20"/>
          <w:color w:val="auto"/>
        </w:rPr>
      </w:pPr>
      <w:r>
        <w:rPr>
          <w:rFonts w:ascii="Arial" w:cs="Arial" w:eastAsia="Arial" w:hAnsi="Arial"/>
          <w:sz w:val="18"/>
          <w:szCs w:val="18"/>
          <w:b w:val="1"/>
          <w:bCs w:val="1"/>
          <w:color w:val="auto"/>
        </w:rPr>
        <w:t xml:space="preserve">Exercise, Lapse or Redemption of a Warrant. </w:t>
      </w:r>
      <w:r>
        <w:rPr>
          <w:rFonts w:ascii="Arial" w:cs="Arial" w:eastAsia="Arial" w:hAnsi="Arial"/>
          <w:sz w:val="18"/>
          <w:szCs w:val="18"/>
          <w:color w:val="auto"/>
        </w:rPr>
        <w:t>The U.S. federal income tax treatment of a Non-U.S.</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exercise of a warrant, or the lapse of a warrant held by a Non -U.S. holder, generally will correspond to the U.S. federal income tax treatment of the exercise or lapse of a warrant by a U.S. holder, as described under “U.S. holders — Exercise, Lapse or Redemption” above, although to the extent a cashless exercise</w:t>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53" w:lineRule="auto"/>
        <w:rPr>
          <w:sz w:val="20"/>
          <w:szCs w:val="20"/>
          <w:color w:val="auto"/>
        </w:rPr>
      </w:pPr>
      <w:r>
        <w:rPr>
          <w:rFonts w:ascii="Arial" w:cs="Arial" w:eastAsia="Arial" w:hAnsi="Arial"/>
          <w:sz w:val="17"/>
          <w:szCs w:val="17"/>
          <w:color w:val="auto"/>
        </w:rPr>
        <w:t>results in a taxable exchange, the consequences would be similar to those described below in “Non-U.S. Holders — Gain on Sale, Taxable Exchange or Other Taxable Disposition of Class A Common Stock and Warrants.” The U.S. federal income tax treatment for a Non-U.S. holder of a redemption of warrants for cash described in the section of this prospectus entitled “Description of Securities — Redeemable Warrants</w:t>
      </w:r>
    </w:p>
    <w:p>
      <w:pPr>
        <w:spacing w:after="0" w:line="2" w:lineRule="exact"/>
        <w:rPr>
          <w:sz w:val="20"/>
          <w:szCs w:val="20"/>
          <w:color w:val="auto"/>
        </w:rPr>
      </w:pPr>
    </w:p>
    <w:p>
      <w:pPr>
        <w:ind w:left="1260" w:right="919"/>
        <w:spacing w:after="0" w:line="260" w:lineRule="auto"/>
        <w:rPr>
          <w:sz w:val="20"/>
          <w:szCs w:val="20"/>
          <w:color w:val="auto"/>
        </w:rPr>
      </w:pPr>
      <w:r>
        <w:rPr>
          <w:rFonts w:ascii="Arial" w:cs="Arial" w:eastAsia="Arial" w:hAnsi="Arial"/>
          <w:sz w:val="17"/>
          <w:szCs w:val="17"/>
          <w:color w:val="auto"/>
        </w:rPr>
        <w:t>— Public Stockholders’ Warrants — Redemption of warrants for cash” (or if we purchase warrants in an open market transaction) would be similar to that described below in “Non-U.S. Holders — Gain on Sale, Taxable Exchange or Other Taxable Disposition of Class A Common Stock and Warrants.”</w:t>
      </w:r>
    </w:p>
    <w:p>
      <w:pPr>
        <w:spacing w:after="0" w:line="87"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b w:val="1"/>
          <w:bCs w:val="1"/>
          <w:color w:val="auto"/>
        </w:rPr>
        <w:t xml:space="preserve">Gain on Sale, Taxable Exchange or Other Taxable Disposition of Class A Common Stock and Warrants. </w:t>
      </w:r>
      <w:r>
        <w:rPr>
          <w:rFonts w:ascii="Arial" w:cs="Arial" w:eastAsia="Arial" w:hAnsi="Arial"/>
          <w:sz w:val="18"/>
          <w:szCs w:val="18"/>
          <w:color w:val="auto"/>
        </w:rPr>
        <w:t>A Non-U.S. holder generally will not be subject to U.S. federal income or withholding tax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gain recognized on a sale, taxable exchange or other taxable disposition of our Class A common stock, which would include a dissolution and liquidation in the event we do not complete an initial business combination within 18 months from the closing of this offering, or warrants (including an expiration or redemption of our warrants), in each case without regard to whether those securities were held as part of a unit, unless:</w:t>
      </w:r>
    </w:p>
    <w:p>
      <w:pPr>
        <w:spacing w:after="0" w:line="81" w:lineRule="exact"/>
        <w:rPr>
          <w:sz w:val="20"/>
          <w:szCs w:val="20"/>
          <w:color w:val="auto"/>
        </w:rPr>
      </w:pPr>
    </w:p>
    <w:p>
      <w:pPr>
        <w:ind w:left="1800" w:right="1059" w:hanging="178"/>
        <w:spacing w:after="0" w:line="286" w:lineRule="auto"/>
        <w:tabs>
          <w:tab w:leader="none" w:pos="18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57" w:lineRule="exact"/>
        <w:rPr>
          <w:rFonts w:ascii="Arial" w:cs="Arial" w:eastAsia="Arial" w:hAnsi="Arial"/>
          <w:sz w:val="17"/>
          <w:szCs w:val="17"/>
          <w:color w:val="auto"/>
        </w:rPr>
      </w:pPr>
    </w:p>
    <w:p>
      <w:pPr>
        <w:ind w:left="1800" w:right="679" w:hanging="178"/>
        <w:spacing w:after="0" w:line="271" w:lineRule="auto"/>
        <w:tabs>
          <w:tab w:leader="none" w:pos="18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97" w:lineRule="exact"/>
        <w:rPr>
          <w:sz w:val="20"/>
          <w:szCs w:val="20"/>
          <w:color w:val="auto"/>
        </w:rPr>
      </w:pPr>
    </w:p>
    <w:p>
      <w:pPr>
        <w:ind w:left="1260" w:right="999" w:firstLine="360"/>
        <w:spacing w:after="0" w:line="262" w:lineRule="auto"/>
        <w:rPr>
          <w:sz w:val="20"/>
          <w:szCs w:val="20"/>
          <w:color w:val="auto"/>
        </w:rPr>
      </w:pPr>
      <w:r>
        <w:rPr>
          <w:rFonts w:ascii="Arial" w:cs="Arial" w:eastAsia="Arial" w:hAnsi="Arial"/>
          <w:sz w:val="17"/>
          <w:szCs w:val="17"/>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 -U.S. holder that is a foreign corporation may also be subject to an additional “branch profits tax” at a 30% rate (or lower treaty rate).</w:t>
      </w:r>
    </w:p>
    <w:p>
      <w:pPr>
        <w:spacing w:after="0" w:line="105" w:lineRule="exact"/>
        <w:rPr>
          <w:sz w:val="20"/>
          <w:szCs w:val="20"/>
          <w:color w:val="auto"/>
        </w:rPr>
      </w:pPr>
    </w:p>
    <w:p>
      <w:pPr>
        <w:ind w:left="1260" w:right="899" w:firstLine="360"/>
        <w:spacing w:after="0" w:line="238"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federal income tax at a rate of 15% of the amount realized upon such disposition. We cannot determine whether we will be a “United States real property holding corporation” in the future until we complete an initial business combination. We will be classified as a U.S. real property holding corporation if the fair market value of our “United States real property interests” equals or exceeds 50 percent of the sum of the fair market value of our worldwide real property interests plus our other assets used or held for use in a trade or business, as determined for U.S. federal income tax purposes.</w:t>
      </w:r>
    </w:p>
    <w:p>
      <w:pPr>
        <w:spacing w:after="0" w:line="11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b w:val="1"/>
          <w:bCs w:val="1"/>
          <w:color w:val="auto"/>
        </w:rPr>
        <w:t xml:space="preserve">Redemption of Class A Common Stock. </w:t>
      </w:r>
      <w:r>
        <w:rPr>
          <w:rFonts w:ascii="Arial" w:cs="Arial" w:eastAsia="Arial" w:hAnsi="Arial"/>
          <w:sz w:val="17"/>
          <w:szCs w:val="17"/>
          <w:color w:val="auto"/>
        </w:rPr>
        <w:t>The characterization for U.S. federal income tax purposes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redemption of a Non-U.S. holder’s Class A common stock pursuant to the redemption provisions described in the section of this prospectus entitled “Description of Securities — Common Stock” generally will correspond to the U.S. federal income tax characterization of such a redemption of a U.S. holder’s Class A common stock, as described under “U.S. Holders — Redemption of Class A Common Stock” above, and the consequences of the redemption to the Non-U.S. holder will be as described above under “Non-U.S. holders — Taxation of Distributions” and “Non -U.S. Holders — Gain on Sale, Taxable Exchange or Other Taxable Disposition of Class A Common Stock and Warrants,” as applicable.</w:t>
      </w:r>
    </w:p>
    <w:p>
      <w:pPr>
        <w:spacing w:after="0" w:line="93"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6"/>
          <w:szCs w:val="16"/>
          <w:b w:val="1"/>
          <w:bCs w:val="1"/>
          <w:color w:val="auto"/>
        </w:rPr>
        <w:t xml:space="preserve">Possible Constructive Distributions. </w:t>
      </w:r>
      <w:r>
        <w:rPr>
          <w:rFonts w:ascii="Arial" w:cs="Arial" w:eastAsia="Arial" w:hAnsi="Arial"/>
          <w:sz w:val="16"/>
          <w:szCs w:val="16"/>
          <w:color w:val="auto"/>
        </w:rPr>
        <w:t>The terms of each warrant provide for an adjustment to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of Class A common stock for which the warrant may be exercised or to the exercise price of the warrant in certain events, as discussed in the section of this prospectus captioned “Description of Securities</w:t>
      </w:r>
    </w:p>
    <w:p>
      <w:pPr>
        <w:spacing w:after="0" w:line="2" w:lineRule="exact"/>
        <w:rPr>
          <w:sz w:val="20"/>
          <w:szCs w:val="20"/>
          <w:color w:val="auto"/>
        </w:rPr>
      </w:pPr>
    </w:p>
    <w:p>
      <w:pPr>
        <w:ind w:left="1260" w:right="859"/>
        <w:spacing w:after="0" w:line="260" w:lineRule="auto"/>
        <w:rPr>
          <w:sz w:val="20"/>
          <w:szCs w:val="20"/>
          <w:color w:val="auto"/>
        </w:rPr>
      </w:pPr>
      <w:r>
        <w:rPr>
          <w:rFonts w:ascii="Arial" w:cs="Arial" w:eastAsia="Arial" w:hAnsi="Arial"/>
          <w:sz w:val="17"/>
          <w:szCs w:val="17"/>
          <w:color w:val="auto"/>
        </w:rPr>
        <w:t>— Redeemable Warrants — Public Stockholders’ Warrants.” An adjustment which has the effect of preventing dilution is generally not a taxable event. Nevertheless, a Non-U.S. holder of warrants would be treated as receiving a constructive distribution from us if, for example, the adjustment increases the</w:t>
      </w:r>
    </w:p>
    <w:p>
      <w:pPr>
        <w:sectPr>
          <w:pgSz w:w="11900" w:h="16838" w:orient="portrait"/>
          <w:cols w:equalWidth="0" w:num="1">
            <w:col w:w="10139"/>
          </w:cols>
          <w:pgMar w:left="320" w:top="131"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4" w:lineRule="auto"/>
        <w:rPr>
          <w:sz w:val="20"/>
          <w:szCs w:val="20"/>
          <w:color w:val="auto"/>
        </w:rPr>
      </w:pPr>
      <w:r>
        <w:rPr>
          <w:rFonts w:ascii="Arial" w:cs="Arial" w:eastAsia="Arial" w:hAnsi="Arial"/>
          <w:sz w:val="18"/>
          <w:szCs w:val="18"/>
          <w:color w:val="auto"/>
        </w:rPr>
        <w:t>holder’s proportionate interest in our assets or earnings and profits (e.g., through an increase in the number of shares of Class A common stock that would be obtained upon exercise) as a result of a distribution of cash or other property, such as other securities, to the holders of shares of our Class A common stock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w:t>
      </w:r>
    </w:p>
    <w:p>
      <w:pPr>
        <w:spacing w:after="0" w:line="11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b w:val="1"/>
          <w:bCs w:val="1"/>
          <w:color w:val="auto"/>
        </w:rPr>
        <w:t xml:space="preserve">Information Reporting and Backup Withholding. </w:t>
      </w:r>
      <w:r>
        <w:rPr>
          <w:rFonts w:ascii="Arial" w:cs="Arial" w:eastAsia="Arial" w:hAnsi="Arial"/>
          <w:sz w:val="18"/>
          <w:szCs w:val="18"/>
          <w:color w:val="auto"/>
        </w:rPr>
        <w:t>Information returns will be filed with the IRS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payments of dividends and the proceeds from a sale or other disposition of our units, shares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21"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b w:val="1"/>
          <w:bCs w:val="1"/>
          <w:color w:val="auto"/>
        </w:rPr>
        <w:t xml:space="preserve">FATCA Withholding Taxes. </w:t>
      </w:r>
      <w:r>
        <w:rPr>
          <w:rFonts w:ascii="Arial" w:cs="Arial" w:eastAsia="Arial" w:hAnsi="Arial"/>
          <w:sz w:val="18"/>
          <w:szCs w:val="18"/>
          <w:color w:val="auto"/>
        </w:rPr>
        <w:t>Provisions commonly referred to as “FATCA” impose withholding of 30%</w:t>
      </w:r>
      <w:r>
        <w:rPr>
          <w:rFonts w:ascii="Arial" w:cs="Arial" w:eastAsia="Arial" w:hAnsi="Arial"/>
          <w:sz w:val="18"/>
          <w:szCs w:val="18"/>
          <w:b w:val="1"/>
          <w:bCs w:val="1"/>
          <w:color w:val="auto"/>
        </w:rPr>
        <w:t xml:space="preserve"> </w:t>
      </w:r>
      <w:r>
        <w:rPr>
          <w:rFonts w:ascii="Arial" w:cs="Arial" w:eastAsia="Arial" w:hAnsi="Arial"/>
          <w:sz w:val="18"/>
          <w:szCs w:val="18"/>
          <w:color w:val="auto"/>
        </w:rPr>
        <w:t>on payments of dividends (including constructive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The IRS has issued proposed regulations (on which taxpayers may rely until final regulations are issued) that would generally not apply these withholding requirements to gross proceeds from sales or other disposition proceeds from our units, shares of Class A common stock and warrants.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Cantor is acting as the sole bookrunner and representative of the underwriters. Subject to the terms and conditions stated in the underwriting agreement dated the date of this prospectus, each underwriter named below has severally agreed to purchase, and we have agreed to sell to that underwriter, the number of units set forth opposite the underwriter’s name.:</w:t>
      </w:r>
    </w:p>
    <w:p>
      <w:pPr>
        <w:spacing w:after="0" w:line="15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r>
      <w:tr>
        <w:trPr>
          <w:trHeight w:val="186"/>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r>
      <w:tr>
        <w:trPr>
          <w:trHeight w:val="26"/>
        </w:trPr>
        <w:tc>
          <w:tcPr>
            <w:tcW w:w="6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Cantor Fitzgerald &amp; Co.</w:t>
            </w:r>
          </w:p>
        </w:tc>
        <w:tc>
          <w:tcPr>
            <w:tcW w:w="800" w:type="dxa"/>
            <w:vAlign w:val="bottom"/>
            <w:shd w:val="clear" w:color="auto" w:fill="CCEEFF"/>
          </w:tcPr>
          <w:p>
            <w:pPr>
              <w:spacing w:after="0"/>
              <w:rPr>
                <w:sz w:val="21"/>
                <w:szCs w:val="21"/>
                <w:color w:val="auto"/>
              </w:rPr>
            </w:pP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10,000,000</w:t>
            </w:r>
          </w:p>
        </w:tc>
      </w:tr>
      <w:tr>
        <w:trPr>
          <w:trHeight w:val="20"/>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-359410</wp:posOffset>
            </wp:positionV>
            <wp:extent cx="137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units included in this offering are subject to approval of legal matters by counsel and to other conditions. The underwriters are obligated to purchase all of the units (other than those covered by the over-allotment option described below) if they purchase any of the units.</w:t>
      </w:r>
    </w:p>
    <w:p>
      <w:pPr>
        <w:spacing w:after="0" w:line="119"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Units sold by the underwriters to the public will initially be offered at the initial public offering price set forth on the cover of this prospectus. If all of the units are not sold at the initial offering price, the underwriters may change the offering price and the other selling terms. The representative has advised us that the underwriters do not intend to make sales to discretionary accounts.</w:t>
      </w:r>
    </w:p>
    <w:p>
      <w:pPr>
        <w:spacing w:after="0" w:line="106"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If the underwriters sell more units than the total number set forth in the table above, we have granted to the underwriters an option, exercisable for 45 days from the date of this prospectus, to purchase up to 1,500,000 additional units at the public offering price less the underwriting discount. The underwriters may exercise this option solely for the purpose of covering over-allotments, if any, in connection with this offering. To the extent the option is exercised, each underwriter must purchase a number of additional units approximately proportionate to that underwriter’s initial purchase commitment. Any units issued or sold under the option will be issued and sold on the same terms and conditions as the other units that are the subject of this offering.</w:t>
      </w:r>
    </w:p>
    <w:p>
      <w:pPr>
        <w:spacing w:after="0" w:line="12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our sponsor and our officers and directors have agreed that, for a period of 180 days from the date of this prospectus, we and they will not, without the prior written consent of the representative, offer, sell, contract to sell, pledge or otherwise dispose of, directly or indirectly, any units, warrants, shares of common stock or any other securities convertible into, or exercisable, or exchangeable for, shares of common stock, subject to certain exceptions. The representative in its sole discretion may release any of the securities subject to these lock-up agreements at any time without notice. Our sponsor, officers and directors are also subject to separate transfer restrictions on their founder shares and private placement units pursuant to the insider letters as described herein.</w:t>
      </w:r>
    </w:p>
    <w:p>
      <w:pPr>
        <w:spacing w:after="0" w:line="124"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color w:val="auto"/>
        </w:rPr>
        <w:t>Our sponsor, founder, officers and directors have agreed not to transfer, assign or sell any founder shares held by them until the earlier to occur of: (1) one year after the completion of our initial business combination; or (2) the date on which we complete a liquidation, merger, stock exchange, reorganization or other similar transaction after our initial business combination that results in all of our public stockholders having the right to exchange their shares of common stock for cash, securities or other property (except as described herein under “Principal Stockholders — Transfers of Founder Shares and Private Placement Units”). Any permitted transferees would be subject to the same restrictions and other agreements of our sponsor with respect to any founder shares. We refer to such transfer restrictions throughout this prospectus as the lock-up. Notwithstanding the foregoing, if the closing price of our common stock equals or exceeds $12.00 per share (as adjusted for stock splits, stock dividends, reorganizations, recapitalizations and the like) for any 20 trading days within any 30-trading day period commencing at least 150 days after our initial business combination, the founder shares will be released from the lock-up. The private placement units (including the underlying private placement shares, private placement warrants and Class A common stock issuable upon exercise of the private placement warrants) will not be transferable, assignable or saleable until 30 days after the completion of our initial business combination (except with respect to permitted transferees as described herein under the section of this prospectus entitled “Principal Stockholders — Transfers of Founder Shares and Private Placement Units”).</w:t>
      </w:r>
    </w:p>
    <w:p>
      <w:pPr>
        <w:sectPr>
          <w:pgSz w:w="11900" w:h="16838" w:orient="portrait"/>
          <w:cols w:equalWidth="0" w:num="1">
            <w:col w:w="10139"/>
          </w:cols>
          <w:pgMar w:left="32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Prior to this offering, there has been no public market for our securities. Consequently, the initial public offering price for the units was determined by negotiations between us and the representative.</w:t>
      </w:r>
    </w:p>
    <w:p>
      <w:pPr>
        <w:spacing w:after="0" w:line="90" w:lineRule="exact"/>
        <w:rPr>
          <w:sz w:val="20"/>
          <w:szCs w:val="20"/>
          <w:color w:val="auto"/>
        </w:rPr>
      </w:pPr>
    </w:p>
    <w:p>
      <w:pPr>
        <w:ind w:left="1260" w:right="799" w:firstLine="360"/>
        <w:spacing w:after="0" w:line="238" w:lineRule="auto"/>
        <w:rPr>
          <w:sz w:val="20"/>
          <w:szCs w:val="20"/>
          <w:color w:val="auto"/>
        </w:rPr>
      </w:pPr>
      <w:r>
        <w:rPr>
          <w:rFonts w:ascii="Arial" w:cs="Arial" w:eastAsia="Arial" w:hAnsi="Arial"/>
          <w:sz w:val="18"/>
          <w:szCs w:val="18"/>
          <w:color w:val="auto"/>
        </w:rPr>
        <w:t>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the equity securities markets, including current market valuations of publicly traded companies considered comparable to our company. We cannot assure you, however, that the price at which the units, Class A common stock or warrants will sell in the public market after this offering will not be lower than the initial public offering price or that an active trading market in our units, Class A common stock or warrants will develop and continue after this offering.</w:t>
      </w:r>
    </w:p>
    <w:p>
      <w:pPr>
        <w:spacing w:after="0" w:line="126"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We have applied to list our units on Nasdaq under the symbol “CAPAU.” We cannot guarantee that our securities will be approved for listing on Nasdaq. We expect that our Class A common stock and warrants will be listed under the symbols “CAPA” and “CAPAW,” respectively, once the Class A common stock and warrants begin separate trading.</w:t>
      </w:r>
    </w:p>
    <w:p>
      <w:pPr>
        <w:spacing w:after="0" w:line="120"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over-allotment option.</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72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Paid by HighCape Capital Acquisition Corp.</w:t>
            </w:r>
          </w:p>
        </w:tc>
      </w:tr>
      <w:tr>
        <w:trPr>
          <w:trHeight w:val="26"/>
        </w:trPr>
        <w:tc>
          <w:tcPr>
            <w:tcW w:w="476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197"/>
        </w:trPr>
        <w:tc>
          <w:tcPr>
            <w:tcW w:w="4760" w:type="dxa"/>
            <w:vAlign w:val="bottom"/>
          </w:tcPr>
          <w:p>
            <w:pPr>
              <w:spacing w:after="0"/>
              <w:rPr>
                <w:sz w:val="17"/>
                <w:szCs w:val="17"/>
                <w:color w:val="auto"/>
              </w:rPr>
            </w:pPr>
          </w:p>
        </w:tc>
        <w:tc>
          <w:tcPr>
            <w:tcW w:w="1480" w:type="dxa"/>
            <w:vAlign w:val="bottom"/>
            <w:gridSpan w:val="3"/>
          </w:tcPr>
          <w:p>
            <w:pPr>
              <w:ind w:left="280"/>
              <w:spacing w:after="0"/>
              <w:rPr>
                <w:sz w:val="20"/>
                <w:szCs w:val="20"/>
                <w:color w:val="auto"/>
              </w:rPr>
            </w:pPr>
            <w:r>
              <w:rPr>
                <w:rFonts w:ascii="Arial" w:cs="Arial" w:eastAsia="Arial" w:hAnsi="Arial"/>
                <w:sz w:val="14"/>
                <w:szCs w:val="14"/>
                <w:b w:val="1"/>
                <w:bCs w:val="1"/>
                <w:color w:val="auto"/>
              </w:rPr>
              <w:t>No Exercise</w:t>
            </w:r>
          </w:p>
        </w:tc>
        <w:tc>
          <w:tcPr>
            <w:tcW w:w="12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Full Exercise</w:t>
            </w:r>
          </w:p>
        </w:tc>
      </w:tr>
      <w:tr>
        <w:trPr>
          <w:trHeight w:val="26"/>
        </w:trPr>
        <w:tc>
          <w:tcPr>
            <w:tcW w:w="4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476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Per Unit</w:t>
            </w:r>
            <w:r>
              <w:rPr>
                <w:rFonts w:ascii="Arial" w:cs="Arial" w:eastAsia="Arial" w:hAnsi="Arial"/>
                <w:sz w:val="26"/>
                <w:szCs w:val="26"/>
                <w:color w:val="auto"/>
                <w:vertAlign w:val="superscript"/>
              </w:rPr>
              <w:t>(1)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0.55</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0.55</w:t>
            </w:r>
          </w:p>
        </w:tc>
      </w:tr>
      <w:tr>
        <w:trPr>
          <w:trHeight w:val="353"/>
        </w:trPr>
        <w:tc>
          <w:tcPr>
            <w:tcW w:w="476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6"/>
                <w:szCs w:val="26"/>
                <w:color w:val="auto"/>
                <w:vertAlign w:val="superscript"/>
              </w:rPr>
              <w:t>(1)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w w:val="89"/>
              </w:rPr>
              <w:t>5,500,000</w:t>
            </w:r>
          </w:p>
        </w:tc>
        <w:tc>
          <w:tcPr>
            <w:tcW w:w="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6,325,000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-403225</wp:posOffset>
            </wp:positionV>
            <wp:extent cx="39516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9516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93345</wp:posOffset>
            </wp:positionV>
            <wp:extent cx="12344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1" w:lineRule="exact"/>
        <w:rPr>
          <w:sz w:val="20"/>
          <w:szCs w:val="20"/>
          <w:color w:val="auto"/>
        </w:rPr>
      </w:pPr>
    </w:p>
    <w:p>
      <w:pPr>
        <w:ind w:left="1620" w:right="719" w:hanging="358"/>
        <w:spacing w:after="0" w:line="255"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$0.35 per unit, or $3,500,000 in the aggregate (or $4,025,000 in the aggregate if the over-allotment option is exercised in full) payable to the underwriters for deferred underwriting commissions will be placed in a trust account located in the United States as described herein. The deferred commissions will be released to the underwriters only on completion of an initial business combination, in an amount equal to $0.35 multiplied by the number of shares of Class A common stock sold as part of the units in this offering, as described in this prospectus.</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If we do not complete our initial business combination and subsequently liquidate, the trustee and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underwriters have agreed that (i) they will forfeit any rights or claims to their deferred underwriting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discounts and commissions, including any accrued interest thereon, then in the trust account upon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liquidation, and (ii) that the deferred underwriters’ discounts and commissions will be distributed on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 rata basis, including interest earned on the funds held in the trust account and not previously released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us to pay our taxes to the public stockholders.</w:t>
      </w:r>
    </w:p>
    <w:p>
      <w:pPr>
        <w:spacing w:after="0" w:line="143"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In connection with the offering, the underwriters may purchase and sell units in the open market. Purchases and sales in the open market may include short sales, purchases to cover short positions, which may include purchases pursuant to the over-allotment option and stabilizing purchases, in accordance with Regulation M under the Exchange Act.</w:t>
      </w:r>
    </w:p>
    <w:p>
      <w:pPr>
        <w:spacing w:after="0" w:line="79" w:lineRule="exact"/>
        <w:rPr>
          <w:sz w:val="20"/>
          <w:szCs w:val="20"/>
          <w:color w:val="auto"/>
        </w:rPr>
      </w:pPr>
    </w:p>
    <w:p>
      <w:pPr>
        <w:ind w:left="1800" w:right="699" w:hanging="178"/>
        <w:spacing w:after="0" w:line="277"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units than they are required to purchase in the offering.</w:t>
      </w:r>
    </w:p>
    <w:p>
      <w:pPr>
        <w:spacing w:after="0" w:line="62" w:lineRule="exact"/>
        <w:rPr>
          <w:rFonts w:ascii="Arial" w:cs="Arial" w:eastAsia="Arial" w:hAnsi="Arial"/>
          <w:sz w:val="18"/>
          <w:szCs w:val="18"/>
          <w:color w:val="auto"/>
        </w:rPr>
      </w:pPr>
    </w:p>
    <w:p>
      <w:pPr>
        <w:ind w:left="1800" w:right="959" w:hanging="178"/>
        <w:spacing w:after="0" w:line="277"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“Covered” short sales are sales of units in an amount up to the number of units represented by the underwriters’ over-allotment option.</w:t>
      </w:r>
    </w:p>
    <w:p>
      <w:pPr>
        <w:spacing w:after="0" w:line="62" w:lineRule="exact"/>
        <w:rPr>
          <w:rFonts w:ascii="Arial" w:cs="Arial" w:eastAsia="Arial" w:hAnsi="Arial"/>
          <w:sz w:val="18"/>
          <w:szCs w:val="18"/>
          <w:color w:val="auto"/>
        </w:rPr>
      </w:pPr>
    </w:p>
    <w:p>
      <w:pPr>
        <w:ind w:left="1800" w:right="879" w:hanging="178"/>
        <w:spacing w:after="0" w:line="277"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“Naked” short sales are sales of units in an amount in excess of the number of units represented by the underwriters’ over-allotment option.</w:t>
      </w:r>
    </w:p>
    <w:p>
      <w:pPr>
        <w:spacing w:after="0" w:line="62" w:lineRule="exact"/>
        <w:rPr>
          <w:rFonts w:ascii="Arial" w:cs="Arial" w:eastAsia="Arial" w:hAnsi="Arial"/>
          <w:sz w:val="18"/>
          <w:szCs w:val="18"/>
          <w:color w:val="auto"/>
        </w:rPr>
      </w:pPr>
    </w:p>
    <w:p>
      <w:pPr>
        <w:ind w:left="1800" w:right="919" w:hanging="178"/>
        <w:spacing w:after="0" w:line="308" w:lineRule="auto"/>
        <w:tabs>
          <w:tab w:leader="none" w:pos="18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Covering transactions involve purchases of units either pursuant to the over-allotment option or in the open market after the distribution has been completed in order to cover short positions.</w:t>
      </w:r>
    </w:p>
    <w:p>
      <w:pPr>
        <w:spacing w:after="0" w:line="38" w:lineRule="exact"/>
        <w:rPr>
          <w:rFonts w:ascii="Arial" w:cs="Arial" w:eastAsia="Arial" w:hAnsi="Arial"/>
          <w:sz w:val="17"/>
          <w:szCs w:val="17"/>
          <w:color w:val="auto"/>
        </w:rPr>
      </w:pPr>
    </w:p>
    <w:p>
      <w:pPr>
        <w:ind w:left="1800" w:right="999" w:hanging="178"/>
        <w:spacing w:after="0" w:line="263"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close a naked short position, the underwriters must purchase units in the open market after the distribution has been completed. A naked short position is more likely to be created if the underwriters</w:t>
      </w:r>
    </w:p>
    <w:p>
      <w:pPr>
        <w:sectPr>
          <w:pgSz w:w="11900" w:h="16838" w:orient="portrait"/>
          <w:cols w:equalWidth="0" w:num="1">
            <w:col w:w="10139"/>
          </w:cols>
          <w:pgMar w:left="32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7" w:name="page148"/>
    <w:bookmarkEnd w:id="14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19"/>
        <w:spacing w:after="0" w:line="277" w:lineRule="auto"/>
        <w:rPr>
          <w:sz w:val="20"/>
          <w:szCs w:val="20"/>
          <w:color w:val="auto"/>
        </w:rPr>
      </w:pPr>
      <w:r>
        <w:rPr>
          <w:rFonts w:ascii="Arial" w:cs="Arial" w:eastAsia="Arial" w:hAnsi="Arial"/>
          <w:sz w:val="18"/>
          <w:szCs w:val="18"/>
          <w:color w:val="auto"/>
        </w:rPr>
        <w:t>are concerned that there may be downward pressure on the price of the units in the open market after pricing that could adversely affect investors who purchase in the offering.</w:t>
      </w:r>
    </w:p>
    <w:p>
      <w:pPr>
        <w:spacing w:after="0" w:line="62" w:lineRule="exact"/>
        <w:rPr>
          <w:sz w:val="20"/>
          <w:szCs w:val="20"/>
          <w:color w:val="auto"/>
        </w:rPr>
      </w:pPr>
    </w:p>
    <w:p>
      <w:pPr>
        <w:ind w:left="1800" w:right="739" w:hanging="178"/>
        <w:spacing w:after="0" w:line="257" w:lineRule="auto"/>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units in the open market after the distribution has been completed or must exercise the over-allotment option. In determining the source of units to close the covered short position, the underwriters will consider, among other things, the price of units available for purchase in the open market as compared to the price at which they may purchase units through the over-allotment option.</w:t>
      </w:r>
    </w:p>
    <w:p>
      <w:pPr>
        <w:spacing w:after="0" w:line="79"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units so long as the stabilizing bids do not exceed a specified maximum.</w:t>
      </w:r>
    </w:p>
    <w:p>
      <w:pPr>
        <w:spacing w:after="0" w:line="103"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units. They may also cause the price of the units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25"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We estimate that the total expenses of this offering payable by us will be $1,000,000, excluding underwriting discounts and commissions. We have also agreed to pay certain expenses of the underwriter, including the FINRA-related fees and expenses of the underwriters’ legal counsel and background searches, not to exceed an aggregate reimbursement of $50,000.</w:t>
      </w:r>
    </w:p>
    <w:p>
      <w:pPr>
        <w:spacing w:after="0" w:line="106"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Upon the closing of this offering and until the completion of the initial business combination (but in no event longer than three years from the commencement of sales for this offering), we will grant Cantor a right of first refusal to act as an underwriter or co-manager with at least 25% of the economics for any and all public and private equity and debt offerings of the company that we may undertake in connection with the business combination.</w:t>
      </w:r>
    </w:p>
    <w:p>
      <w:pPr>
        <w:spacing w:after="0" w:line="120"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0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18" w:lineRule="exact"/>
        <w:rPr>
          <w:sz w:val="20"/>
          <w:szCs w:val="20"/>
          <w:color w:val="auto"/>
        </w:rPr>
      </w:pPr>
    </w:p>
    <w:p>
      <w:pPr>
        <w:ind w:left="1260" w:right="1179" w:firstLine="360"/>
        <w:spacing w:after="0" w:line="259"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19"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ectPr>
          <w:pgSz w:w="11900" w:h="16838" w:orient="portrait"/>
          <w:cols w:equalWidth="0" w:num="1">
            <w:col w:w="10139"/>
          </w:cols>
          <w:pgMar w:left="32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8" w:name="page149"/>
    <w:bookmarkEnd w:id="14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48"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units described in this prospectus may not be made to the public in that relevant member state prior to the publication of a prospectus in relation to the units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our units may be made to the public in that relevant member state at any time:</w:t>
      </w:r>
    </w:p>
    <w:p>
      <w:pPr>
        <w:spacing w:after="0" w:line="116" w:lineRule="exact"/>
        <w:rPr>
          <w:sz w:val="20"/>
          <w:szCs w:val="20"/>
          <w:color w:val="auto"/>
        </w:rPr>
      </w:pPr>
    </w:p>
    <w:p>
      <w:pPr>
        <w:ind w:left="1980" w:hanging="358"/>
        <w:spacing w:after="0"/>
        <w:tabs>
          <w:tab w:leader="none" w:pos="1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44" w:lineRule="exact"/>
        <w:rPr>
          <w:rFonts w:ascii="Arial" w:cs="Arial" w:eastAsia="Arial" w:hAnsi="Arial"/>
          <w:sz w:val="18"/>
          <w:szCs w:val="18"/>
          <w:color w:val="auto"/>
        </w:rPr>
      </w:pPr>
    </w:p>
    <w:p>
      <w:pPr>
        <w:ind w:left="1980" w:right="779" w:hanging="358"/>
        <w:spacing w:after="0" w:line="273" w:lineRule="auto"/>
        <w:tabs>
          <w:tab w:leader="none" w:pos="19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natural or legal persons (other than qualified investors as defined below) subject to obtaining the prior consent of the underwriters for any such offer; or</w:t>
      </w:r>
    </w:p>
    <w:p>
      <w:pPr>
        <w:spacing w:after="0" w:line="96" w:lineRule="exact"/>
        <w:rPr>
          <w:rFonts w:ascii="Arial" w:cs="Arial" w:eastAsia="Arial" w:hAnsi="Arial"/>
          <w:sz w:val="17"/>
          <w:szCs w:val="17"/>
          <w:color w:val="auto"/>
        </w:rPr>
      </w:pPr>
    </w:p>
    <w:p>
      <w:pPr>
        <w:ind w:left="1980" w:right="999" w:hanging="358"/>
        <w:spacing w:after="0" w:line="277" w:lineRule="auto"/>
        <w:tabs>
          <w:tab w:leader="none" w:pos="1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by us of a prospectus pursuant to Article 3 of the Prospectus Directive.</w:t>
      </w:r>
    </w:p>
    <w:p>
      <w:pPr>
        <w:spacing w:after="0" w:line="103"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Each purchaser of units described in this prospectus located within a relevant member state will be deemed to have represented, acknowledged and agreed that it is a “qualified investor” within the meaning of Article 2(1)(e) of the Prospectus Directive.</w:t>
      </w:r>
    </w:p>
    <w:p>
      <w:pPr>
        <w:spacing w:after="0" w:line="114" w:lineRule="exact"/>
        <w:rPr>
          <w:sz w:val="20"/>
          <w:szCs w:val="20"/>
          <w:color w:val="auto"/>
        </w:rPr>
      </w:pPr>
    </w:p>
    <w:p>
      <w:pPr>
        <w:ind w:left="1260" w:right="879" w:firstLine="360"/>
        <w:spacing w:after="0" w:line="254" w:lineRule="auto"/>
        <w:rPr>
          <w:sz w:val="20"/>
          <w:szCs w:val="20"/>
          <w:color w:val="auto"/>
        </w:rPr>
      </w:pPr>
      <w:r>
        <w:rPr>
          <w:rFonts w:ascii="Arial" w:cs="Arial" w:eastAsia="Arial" w:hAnsi="Arial"/>
          <w:sz w:val="17"/>
          <w:szCs w:val="17"/>
          <w:color w:val="auto"/>
        </w:rPr>
        <w:t>For the purpose of this provision, the expression an “offer of units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by the relevant member state) and includes any relevant implementing measure in each relevant member state. The expression 2010 PD Amending Directive means Directive 2010/73/EU.</w:t>
      </w:r>
    </w:p>
    <w:p>
      <w:pPr>
        <w:spacing w:after="0" w:line="100" w:lineRule="exact"/>
        <w:rPr>
          <w:sz w:val="20"/>
          <w:szCs w:val="20"/>
          <w:color w:val="auto"/>
        </w:rPr>
      </w:pPr>
    </w:p>
    <w:p>
      <w:pPr>
        <w:ind w:left="1260" w:right="839" w:firstLine="360"/>
        <w:spacing w:after="0" w:line="262" w:lineRule="auto"/>
        <w:rPr>
          <w:sz w:val="20"/>
          <w:szCs w:val="20"/>
          <w:color w:val="auto"/>
        </w:rPr>
      </w:pPr>
      <w:r>
        <w:rPr>
          <w:rFonts w:ascii="Arial" w:cs="Arial" w:eastAsia="Arial" w:hAnsi="Arial"/>
          <w:sz w:val="17"/>
          <w:szCs w:val="17"/>
          <w:color w:val="auto"/>
        </w:rPr>
        <w:t>We have not authorized and do not authorize the making of any offer of units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62" w:lineRule="exact"/>
        <w:rPr>
          <w:sz w:val="20"/>
          <w:szCs w:val="20"/>
          <w:color w:val="auto"/>
        </w:rPr>
      </w:pPr>
    </w:p>
    <w:p>
      <w:pPr>
        <w:ind w:left="1260" w:right="699" w:firstLine="360"/>
        <w:spacing w:after="0" w:line="258"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w:t>
      </w:r>
    </w:p>
    <w:p>
      <w:pPr>
        <w:spacing w:after="0" w:line="1" w:lineRule="exact"/>
        <w:rPr>
          <w:sz w:val="20"/>
          <w:szCs w:val="20"/>
          <w:color w:val="auto"/>
        </w:rPr>
      </w:pPr>
    </w:p>
    <w:p>
      <w:pPr>
        <w:ind w:left="1260" w:right="679" w:firstLine="2"/>
        <w:spacing w:after="0" w:line="251" w:lineRule="auto"/>
        <w:tabs>
          <w:tab w:leader="none" w:pos="1489"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62" w:lineRule="exact"/>
        <w:rPr>
          <w:sz w:val="20"/>
          <w:szCs w:val="20"/>
          <w:color w:val="auto"/>
        </w:rPr>
      </w:pPr>
    </w:p>
    <w:p>
      <w:pPr>
        <w:ind w:left="1260" w:right="739" w:firstLine="360"/>
        <w:spacing w:after="0" w:line="324" w:lineRule="auto"/>
        <w:rPr>
          <w:sz w:val="20"/>
          <w:szCs w:val="20"/>
          <w:color w:val="auto"/>
        </w:rPr>
      </w:pPr>
      <w:r>
        <w:rPr>
          <w:rFonts w:ascii="Arial" w:cs="Arial" w:eastAsia="Arial" w:hAnsi="Arial"/>
          <w:sz w:val="16"/>
          <w:szCs w:val="16"/>
          <w:color w:val="auto"/>
        </w:rPr>
        <w:t>Neither this prospectus nor any other offering material relating to the units described in this prospectus has been submitted to the clearance procedures of the Autorité des Marchés Financiers or by the competent</w:t>
      </w:r>
    </w:p>
    <w:p>
      <w:pPr>
        <w:spacing w:after="0" w:line="3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79" w:lineRule="exact"/>
        <w:rPr>
          <w:sz w:val="20"/>
          <w:szCs w:val="20"/>
          <w:color w:val="auto"/>
        </w:rPr>
      </w:pPr>
    </w:p>
    <w:p>
      <w:pPr>
        <w:ind w:left="1800" w:hanging="178"/>
        <w:spacing w:after="0"/>
        <w:tabs>
          <w:tab w:leader="none" w:pos="18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released, issued, distributed or caused to be released, issued or distributed to the public in France; or</w:t>
      </w:r>
    </w:p>
    <w:p>
      <w:pPr>
        <w:spacing w:after="0" w:line="142" w:lineRule="exact"/>
        <w:rPr>
          <w:rFonts w:ascii="Arial" w:cs="Arial" w:eastAsia="Arial" w:hAnsi="Arial"/>
          <w:sz w:val="17"/>
          <w:szCs w:val="17"/>
          <w:color w:val="auto"/>
        </w:rPr>
      </w:pPr>
    </w:p>
    <w:p>
      <w:pPr>
        <w:ind w:left="1800" w:right="899" w:hanging="178"/>
        <w:spacing w:after="0" w:line="277"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units to the public in France. Such offers, sales and distributions will be made in France only:</w:t>
      </w:r>
    </w:p>
    <w:p>
      <w:pPr>
        <w:spacing w:after="0" w:line="89" w:lineRule="exact"/>
        <w:rPr>
          <w:rFonts w:ascii="Arial" w:cs="Arial" w:eastAsia="Arial" w:hAnsi="Arial"/>
          <w:sz w:val="18"/>
          <w:szCs w:val="18"/>
          <w:color w:val="auto"/>
        </w:rPr>
      </w:pPr>
    </w:p>
    <w:p>
      <w:pPr>
        <w:ind w:left="1800" w:right="799" w:hanging="178"/>
        <w:spacing w:after="0" w:line="259"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92" w:lineRule="exact"/>
        <w:rPr>
          <w:rFonts w:ascii="Arial" w:cs="Arial" w:eastAsia="Arial" w:hAnsi="Arial"/>
          <w:sz w:val="18"/>
          <w:szCs w:val="18"/>
          <w:color w:val="auto"/>
        </w:rPr>
      </w:pPr>
    </w:p>
    <w:p>
      <w:pPr>
        <w:ind w:left="1800" w:right="999" w:hanging="178"/>
        <w:spacing w:after="0" w:line="277"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75" w:lineRule="exact"/>
        <w:rPr>
          <w:rFonts w:ascii="Arial" w:cs="Arial" w:eastAsia="Arial" w:hAnsi="Arial"/>
          <w:sz w:val="18"/>
          <w:szCs w:val="18"/>
          <w:color w:val="auto"/>
        </w:rPr>
      </w:pPr>
    </w:p>
    <w:p>
      <w:pPr>
        <w:ind w:left="1800" w:right="1179" w:hanging="178"/>
        <w:spacing w:after="0" w:line="286" w:lineRule="auto"/>
        <w:tabs>
          <w:tab w:leader="none" w:pos="18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98" w:lineRule="exact"/>
        <w:rPr>
          <w:sz w:val="20"/>
          <w:szCs w:val="20"/>
          <w:color w:val="auto"/>
        </w:rPr>
      </w:pPr>
    </w:p>
    <w:p>
      <w:pPr>
        <w:ind w:left="1260" w:right="1159" w:firstLine="360"/>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6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4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units offered in this prospectus have not been and will not be registered under the Financial Instruments and Exchange Law of Japan. The units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62"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91" w:lineRule="auto"/>
        <w:rPr>
          <w:sz w:val="20"/>
          <w:szCs w:val="20"/>
          <w:color w:val="auto"/>
        </w:rPr>
      </w:pPr>
      <w:r>
        <w:rPr>
          <w:rFonts w:ascii="Arial" w:cs="Arial" w:eastAsia="Arial" w:hAnsi="Arial"/>
          <w:sz w:val="17"/>
          <w:szCs w:val="17"/>
          <w:color w:val="auto"/>
        </w:rPr>
        <w:t>in Section 275 of the SFA or (iii) otherwise pursuant to, and in accordance with the conditions of, any other applicable provision of the SFA, in each case subject to compliance with conditions set forth in the SFA.</w:t>
      </w:r>
    </w:p>
    <w:p>
      <w:pPr>
        <w:spacing w:after="0" w:line="6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Where the units are subscribed or purchased under Section 275 of the SFA by a relevant person which</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w:t>
      </w:r>
    </w:p>
    <w:p>
      <w:pPr>
        <w:spacing w:after="0" w:line="88" w:lineRule="exact"/>
        <w:rPr>
          <w:sz w:val="20"/>
          <w:szCs w:val="20"/>
          <w:color w:val="auto"/>
        </w:rPr>
      </w:pPr>
    </w:p>
    <w:p>
      <w:pPr>
        <w:jc w:val="both"/>
        <w:ind w:left="1800" w:right="1019" w:hanging="178"/>
        <w:spacing w:after="0" w:line="263"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800" w:right="699" w:hanging="178"/>
        <w:spacing w:after="0" w:line="277"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103" w:lineRule="exact"/>
        <w:rPr>
          <w:sz w:val="20"/>
          <w:szCs w:val="20"/>
          <w:color w:val="auto"/>
        </w:rPr>
      </w:pPr>
    </w:p>
    <w:p>
      <w:pPr>
        <w:ind w:left="1260" w:right="819"/>
        <w:spacing w:after="0" w:line="286" w:lineRule="auto"/>
        <w:rPr>
          <w:sz w:val="20"/>
          <w:szCs w:val="20"/>
          <w:color w:val="auto"/>
        </w:rPr>
      </w:pPr>
      <w:r>
        <w:rPr>
          <w:rFonts w:ascii="Arial" w:cs="Arial" w:eastAsia="Arial" w:hAnsi="Arial"/>
          <w:sz w:val="17"/>
          <w:szCs w:val="17"/>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57" w:lineRule="exact"/>
        <w:rPr>
          <w:sz w:val="20"/>
          <w:szCs w:val="20"/>
          <w:color w:val="auto"/>
        </w:rPr>
      </w:pPr>
    </w:p>
    <w:p>
      <w:pPr>
        <w:ind w:left="1800" w:right="719" w:hanging="178"/>
        <w:spacing w:after="0" w:line="254"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S$300,000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86" w:lineRule="exact"/>
        <w:rPr>
          <w:rFonts w:ascii="Arial" w:cs="Arial" w:eastAsia="Arial" w:hAnsi="Arial"/>
          <w:sz w:val="18"/>
          <w:szCs w:val="18"/>
          <w:color w:val="auto"/>
        </w:rPr>
      </w:pPr>
    </w:p>
    <w:p>
      <w:pPr>
        <w:ind w:left="1800" w:hanging="178"/>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4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 xml:space="preserve">The units may be sold in Canada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 or</w:t>
      </w:r>
      <w:r>
        <w:rPr>
          <w:rFonts w:ascii="Arial" w:cs="Arial" w:eastAsia="Arial" w:hAnsi="Arial"/>
          <w:sz w:val="18"/>
          <w:szCs w:val="18"/>
          <w:color w:val="auto"/>
        </w:rPr>
        <w:t xml:space="preserve">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units must be made in accordance with an exemption from, or in a transaction not subject to, the prospectus requirements of applicable securities laws.</w:t>
      </w:r>
    </w:p>
    <w:p>
      <w:pPr>
        <w:spacing w:after="0" w:line="125"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5" w:lineRule="exact"/>
        <w:rPr>
          <w:sz w:val="20"/>
          <w:szCs w:val="20"/>
          <w:color w:val="auto"/>
        </w:rPr>
      </w:pPr>
    </w:p>
    <w:p>
      <w:pPr>
        <w:ind w:left="1260" w:right="1239" w:firstLine="360"/>
        <w:spacing w:after="0" w:line="263"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48"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ectPr>
          <w:pgSz w:w="11900" w:h="16838" w:orient="portrait"/>
          <w:cols w:equalWidth="0" w:num="1">
            <w:col w:w="10139"/>
          </w:cols>
          <w:pgMar w:left="320" w:top="131"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4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5"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20"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48" w:lineRule="exact"/>
        <w:rPr>
          <w:sz w:val="20"/>
          <w:szCs w:val="20"/>
          <w:color w:val="auto"/>
        </w:rPr>
      </w:pPr>
    </w:p>
    <w:p>
      <w:pPr>
        <w:ind w:left="1260" w:right="719" w:firstLine="360"/>
        <w:spacing w:after="0" w:line="272"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10"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White &amp; Case LLP, New York, New York, is acting as counsel in connection with the registration of our securities under the Securities Act, and as such, will pass upon the validity of the securities offered in this prospectus. Ellenoff Grossman &amp; Schole LLP, New York, New York, is acting as counsel to the underwriters in connection with the offering of the securities.</w:t>
      </w:r>
    </w:p>
    <w:p>
      <w:pPr>
        <w:spacing w:after="0" w:line="183"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financial statements of HighCape Capital Acquisition Corp. as of June 30, 2020 and for the period from June 10, 2020 (inception) through June 30, 2020 appearing in this prospectus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18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11" w:lineRule="exact"/>
        <w:rPr>
          <w:sz w:val="20"/>
          <w:szCs w:val="20"/>
          <w:color w:val="auto"/>
        </w:rPr>
      </w:pPr>
    </w:p>
    <w:p>
      <w:pPr>
        <w:jc w:val="both"/>
        <w:ind w:left="1260" w:right="839" w:firstLine="360"/>
        <w:spacing w:after="0" w:line="259" w:lineRule="auto"/>
        <w:rPr>
          <w:sz w:val="20"/>
          <w:szCs w:val="20"/>
          <w:color w:val="auto"/>
        </w:rPr>
      </w:pPr>
      <w:r>
        <w:rPr>
          <w:rFonts w:ascii="Arial" w:cs="Arial" w:eastAsia="Arial" w:hAnsi="Arial"/>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INDEX TO FINANCIAL STATEMENTS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7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7380" w:type="dxa"/>
            <w:vAlign w:val="bottom"/>
            <w:shd w:val="clear" w:color="auto" w:fill="CCEEFF"/>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Report of Independent Registered Public Accounting Firm</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96"/>
              </w:rPr>
            </w:pPr>
            <w:hyperlink w:anchor="page154">
              <w:r>
                <w:rPr>
                  <w:rFonts w:ascii="Arial" w:cs="Arial" w:eastAsia="Arial" w:hAnsi="Arial"/>
                  <w:sz w:val="18"/>
                  <w:szCs w:val="18"/>
                  <w:u w:val="single" w:color="auto"/>
                  <w:color w:val="0000EE"/>
                  <w:w w:val="96"/>
                </w:rPr>
                <w:t>F-2</w:t>
              </w:r>
            </w:hyperlink>
          </w:p>
        </w:tc>
      </w:tr>
      <w:tr>
        <w:trPr>
          <w:trHeight w:val="257"/>
        </w:trPr>
        <w:tc>
          <w:tcPr>
            <w:tcW w:w="7380" w:type="dxa"/>
            <w:vAlign w:val="bottom"/>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Balance Sheet</w:t>
              </w:r>
            </w:hyperlink>
          </w:p>
        </w:tc>
        <w:tc>
          <w:tcPr>
            <w:tcW w:w="840" w:type="dxa"/>
            <w:vAlign w:val="bottom"/>
          </w:tcPr>
          <w:p>
            <w:pPr>
              <w:jc w:val="center"/>
              <w:spacing w:after="0"/>
              <w:rPr>
                <w:rFonts w:ascii="Arial" w:cs="Arial" w:eastAsia="Arial" w:hAnsi="Arial"/>
                <w:sz w:val="18"/>
                <w:szCs w:val="18"/>
                <w:u w:val="single" w:color="auto"/>
                <w:color w:val="0000EE"/>
                <w:w w:val="96"/>
              </w:rPr>
            </w:pPr>
            <w:hyperlink w:anchor="page155">
              <w:r>
                <w:rPr>
                  <w:rFonts w:ascii="Arial" w:cs="Arial" w:eastAsia="Arial" w:hAnsi="Arial"/>
                  <w:sz w:val="18"/>
                  <w:szCs w:val="18"/>
                  <w:u w:val="single" w:color="auto"/>
                  <w:color w:val="0000EE"/>
                  <w:w w:val="96"/>
                </w:rPr>
                <w:t>F-3</w:t>
              </w:r>
            </w:hyperlink>
          </w:p>
        </w:tc>
      </w:tr>
      <w:tr>
        <w:trPr>
          <w:trHeight w:val="256"/>
        </w:trPr>
        <w:tc>
          <w:tcPr>
            <w:tcW w:w="7380" w:type="dxa"/>
            <w:vAlign w:val="bottom"/>
            <w:shd w:val="clear" w:color="auto" w:fill="CCEEFF"/>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Statement of Operations</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96"/>
              </w:rPr>
            </w:pPr>
            <w:hyperlink w:anchor="page156">
              <w:r>
                <w:rPr>
                  <w:rFonts w:ascii="Arial" w:cs="Arial" w:eastAsia="Arial" w:hAnsi="Arial"/>
                  <w:sz w:val="18"/>
                  <w:szCs w:val="18"/>
                  <w:u w:val="single" w:color="auto"/>
                  <w:color w:val="0000EE"/>
                  <w:w w:val="96"/>
                </w:rPr>
                <w:t>F-4</w:t>
              </w:r>
            </w:hyperlink>
          </w:p>
        </w:tc>
      </w:tr>
      <w:tr>
        <w:trPr>
          <w:trHeight w:val="270"/>
        </w:trPr>
        <w:tc>
          <w:tcPr>
            <w:tcW w:w="7380" w:type="dxa"/>
            <w:vAlign w:val="bottom"/>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Statement of Changes in Stockholder’s Equity</w:t>
              </w:r>
            </w:hyperlink>
          </w:p>
        </w:tc>
        <w:tc>
          <w:tcPr>
            <w:tcW w:w="840" w:type="dxa"/>
            <w:vAlign w:val="bottom"/>
          </w:tcPr>
          <w:p>
            <w:pPr>
              <w:jc w:val="center"/>
              <w:spacing w:after="0"/>
              <w:rPr>
                <w:rFonts w:ascii="Arial" w:cs="Arial" w:eastAsia="Arial" w:hAnsi="Arial"/>
                <w:sz w:val="18"/>
                <w:szCs w:val="18"/>
                <w:u w:val="single" w:color="auto"/>
                <w:color w:val="0000EE"/>
                <w:w w:val="96"/>
              </w:rPr>
            </w:pPr>
            <w:hyperlink w:anchor="page157">
              <w:r>
                <w:rPr>
                  <w:rFonts w:ascii="Arial" w:cs="Arial" w:eastAsia="Arial" w:hAnsi="Arial"/>
                  <w:sz w:val="18"/>
                  <w:szCs w:val="18"/>
                  <w:u w:val="single" w:color="auto"/>
                  <w:color w:val="0000EE"/>
                  <w:w w:val="96"/>
                </w:rPr>
                <w:t>F-5</w:t>
              </w:r>
            </w:hyperlink>
          </w:p>
        </w:tc>
      </w:tr>
      <w:tr>
        <w:trPr>
          <w:trHeight w:val="270"/>
        </w:trPr>
        <w:tc>
          <w:tcPr>
            <w:tcW w:w="7380" w:type="dxa"/>
            <w:vAlign w:val="bottom"/>
            <w:shd w:val="clear" w:color="auto" w:fill="CCEEFF"/>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Statement of Cash Flows</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96"/>
              </w:rPr>
            </w:pPr>
            <w:hyperlink w:anchor="page158">
              <w:r>
                <w:rPr>
                  <w:rFonts w:ascii="Arial" w:cs="Arial" w:eastAsia="Arial" w:hAnsi="Arial"/>
                  <w:sz w:val="18"/>
                  <w:szCs w:val="18"/>
                  <w:u w:val="single" w:color="auto"/>
                  <w:color w:val="0000EE"/>
                  <w:w w:val="96"/>
                </w:rPr>
                <w:t>F-6</w:t>
              </w:r>
            </w:hyperlink>
          </w:p>
        </w:tc>
      </w:tr>
      <w:tr>
        <w:trPr>
          <w:trHeight w:val="270"/>
        </w:trPr>
        <w:tc>
          <w:tcPr>
            <w:tcW w:w="7380" w:type="dxa"/>
            <w:vAlign w:val="bottom"/>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Notes to Financial Statements</w:t>
              </w:r>
            </w:hyperlink>
          </w:p>
        </w:tc>
        <w:tc>
          <w:tcPr>
            <w:tcW w:w="840" w:type="dxa"/>
            <w:vAlign w:val="bottom"/>
          </w:tcPr>
          <w:p>
            <w:pPr>
              <w:jc w:val="center"/>
              <w:spacing w:after="0"/>
              <w:rPr>
                <w:rFonts w:ascii="Arial" w:cs="Arial" w:eastAsia="Arial" w:hAnsi="Arial"/>
                <w:sz w:val="18"/>
                <w:szCs w:val="18"/>
                <w:color w:val="0000EE"/>
                <w:w w:val="92"/>
              </w:rPr>
            </w:pPr>
            <w:hyperlink w:anchor="page159">
              <w:r>
                <w:rPr>
                  <w:rFonts w:ascii="Arial" w:cs="Arial" w:eastAsia="Arial" w:hAnsi="Arial"/>
                  <w:sz w:val="18"/>
                  <w:szCs w:val="18"/>
                  <w:u w:val="single" w:color="auto"/>
                  <w:color w:val="0000EE"/>
                  <w:w w:val="92"/>
                </w:rPr>
                <w:t>F-7</w:t>
              </w:r>
              <w:r>
                <w:rPr>
                  <w:rFonts w:ascii="Arial" w:cs="Arial" w:eastAsia="Arial" w:hAnsi="Arial"/>
                  <w:sz w:val="18"/>
                  <w:szCs w:val="18"/>
                  <w:color w:val="0000EE"/>
                  <w:w w:val="92"/>
                </w:rPr>
                <w:t xml:space="preserve"> </w:t>
              </w:r>
            </w:hyperlink>
            <w:r>
              <w:rPr>
                <w:rFonts w:ascii="Arial" w:cs="Arial" w:eastAsia="Arial" w:hAnsi="Arial"/>
                <w:sz w:val="18"/>
                <w:szCs w:val="18"/>
                <w:color w:val="000000"/>
                <w:w w:val="92"/>
              </w:rPr>
              <w:t>–</w:t>
            </w:r>
            <w:r>
              <w:rPr>
                <w:rFonts w:ascii="Arial" w:cs="Arial" w:eastAsia="Arial" w:hAnsi="Arial"/>
                <w:sz w:val="18"/>
                <w:szCs w:val="18"/>
                <w:color w:val="0000EE"/>
                <w:w w:val="92"/>
              </w:rPr>
              <w:t xml:space="preserve"> </w:t>
            </w:r>
            <w:r>
              <w:rPr>
                <w:rFonts w:ascii="Arial" w:cs="Arial" w:eastAsia="Arial" w:hAnsi="Arial"/>
                <w:sz w:val="18"/>
                <w:szCs w:val="18"/>
                <w:color w:val="000000"/>
                <w:w w:val="92"/>
              </w:rPr>
              <w:t>F-</w:t>
            </w:r>
            <w:r>
              <w:rPr>
                <w:rFonts w:ascii="Arial" w:cs="Arial" w:eastAsia="Arial" w:hAnsi="Arial"/>
                <w:sz w:val="18"/>
                <w:szCs w:val="18"/>
                <w:color w:val="0000EE"/>
                <w:w w:val="92"/>
              </w:rPr>
              <w:t xml:space="preserve"> </w:t>
            </w:r>
            <w:hyperlink w:anchor="page167">
              <w:r>
                <w:rPr>
                  <w:rFonts w:ascii="Arial" w:cs="Arial" w:eastAsia="Arial" w:hAnsi="Arial"/>
                  <w:sz w:val="18"/>
                  <w:szCs w:val="18"/>
                  <w:u w:val="single" w:color="auto"/>
                  <w:color w:val="0000EE"/>
                  <w:w w:val="92"/>
                </w:rPr>
                <w:t>15</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-1010920</wp:posOffset>
            </wp:positionV>
            <wp:extent cx="46805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HighCape Capital Acquisition Corp.</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We have audited the accompanying balance sheet of HighCape Capital Acquisition Corp. (the “Company”) as of June 30, 2020, the related statements of operations, changes in stockholder’s equity and cash flows for the period from June 10,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June 10, 2020 (inception) through June 30, 2020, in conformity with accounting principles generally accepted in the United States of America.</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1260" w:right="719" w:firstLine="360"/>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2020.</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July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580" w:type="dxa"/>
            <w:vAlign w:val="bottom"/>
          </w:tcPr>
          <w:p>
            <w:pPr>
              <w:jc w:val="center"/>
              <w:ind w:right="1210"/>
              <w:spacing w:after="0"/>
              <w:rPr>
                <w:sz w:val="20"/>
                <w:szCs w:val="20"/>
                <w:color w:val="auto"/>
              </w:rPr>
            </w:pPr>
            <w:r>
              <w:rPr>
                <w:rFonts w:ascii="Arial" w:cs="Arial" w:eastAsia="Arial" w:hAnsi="Arial"/>
                <w:sz w:val="18"/>
                <w:szCs w:val="18"/>
                <w:b w:val="1"/>
                <w:bCs w:val="1"/>
                <w:color w:val="auto"/>
                <w:w w:val="98"/>
              </w:rPr>
              <w:t>HIGHCAPE CAPITAL ACQUISITION CORP.</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580" w:type="dxa"/>
            <w:vAlign w:val="bottom"/>
          </w:tcPr>
          <w:p>
            <w:pPr>
              <w:jc w:val="center"/>
              <w:ind w:right="1210"/>
              <w:spacing w:after="0"/>
              <w:rPr>
                <w:sz w:val="20"/>
                <w:szCs w:val="20"/>
                <w:color w:val="auto"/>
              </w:rPr>
            </w:pPr>
            <w:r>
              <w:rPr>
                <w:rFonts w:ascii="Arial" w:cs="Arial" w:eastAsia="Arial" w:hAnsi="Arial"/>
                <w:sz w:val="18"/>
                <w:szCs w:val="18"/>
                <w:b w:val="1"/>
                <w:bCs w:val="1"/>
                <w:color w:val="auto"/>
                <w:w w:val="96"/>
              </w:rPr>
              <w:t>BALANCE SHEET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580" w:type="dxa"/>
            <w:vAlign w:val="bottom"/>
          </w:tcPr>
          <w:p>
            <w:pPr>
              <w:jc w:val="center"/>
              <w:ind w:right="1150"/>
              <w:spacing w:after="0"/>
              <w:rPr>
                <w:sz w:val="20"/>
                <w:szCs w:val="20"/>
                <w:color w:val="auto"/>
              </w:rPr>
            </w:pPr>
            <w:r>
              <w:rPr>
                <w:rFonts w:ascii="Arial" w:cs="Arial" w:eastAsia="Arial" w:hAnsi="Arial"/>
                <w:sz w:val="18"/>
                <w:szCs w:val="18"/>
                <w:b w:val="1"/>
                <w:bCs w:val="1"/>
                <w:color w:val="auto"/>
                <w:w w:val="89"/>
              </w:rPr>
              <w:t>JUNE 30, 2020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9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gridSpan w:val="2"/>
          </w:tcPr>
          <w:p>
            <w:pPr>
              <w:ind w:left="160"/>
              <w:spacing w:after="0"/>
              <w:rPr>
                <w:sz w:val="20"/>
                <w:szCs w:val="20"/>
                <w:color w:val="auto"/>
              </w:rPr>
            </w:pPr>
            <w:r>
              <w:rPr>
                <w:rFonts w:ascii="Arial" w:cs="Arial" w:eastAsia="Arial" w:hAnsi="Arial"/>
                <w:sz w:val="18"/>
                <w:szCs w:val="18"/>
                <w:color w:val="auto"/>
              </w:rPr>
              <w:t>Current asset – 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offering costs</w:t>
            </w: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5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00" w:type="dxa"/>
            <w:vAlign w:val="bottom"/>
            <w:gridSpan w:val="2"/>
          </w:tcPr>
          <w:p>
            <w:pPr>
              <w:ind w:left="160"/>
              <w:spacing w:after="0"/>
              <w:rPr>
                <w:sz w:val="20"/>
                <w:szCs w:val="20"/>
                <w:color w:val="auto"/>
              </w:rPr>
            </w:pPr>
            <w:r>
              <w:rPr>
                <w:rFonts w:ascii="Arial" w:cs="Arial" w:eastAsia="Arial" w:hAnsi="Arial"/>
                <w:sz w:val="18"/>
                <w:szCs w:val="18"/>
                <w:color w:val="auto"/>
              </w:rPr>
              <w:t>Accrued offering costs</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Promissory note – related party</w:t>
            </w: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91,000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Preferred stock, $0.0001 par value; 1,000,000 shares authorized; none issued and outstanding</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7520" w:type="dxa"/>
            <w:vAlign w:val="bottom"/>
            <w:gridSpan w:val="3"/>
          </w:tcPr>
          <w:p>
            <w:pPr>
              <w:spacing w:after="0"/>
              <w:rPr>
                <w:sz w:val="20"/>
                <w:szCs w:val="20"/>
                <w:color w:val="auto"/>
              </w:rPr>
            </w:pPr>
            <w:r>
              <w:rPr>
                <w:rFonts w:ascii="Arial" w:cs="Arial" w:eastAsia="Arial" w:hAnsi="Arial"/>
                <w:sz w:val="18"/>
                <w:szCs w:val="18"/>
                <w:color w:val="auto"/>
              </w:rPr>
              <w:t>Class A common stock, $0.0001 par value; 100,000,000 shares authorized; none issued and</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00" w:type="dxa"/>
            <w:vAlign w:val="bottom"/>
            <w:gridSpan w:val="2"/>
          </w:tcPr>
          <w:p>
            <w:pPr>
              <w:ind w:left="16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common stock, $0.0001 par value; 10,000,000 shares authorized; 2,875,000 shares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7500" w:type="dxa"/>
            <w:vAlign w:val="bottom"/>
            <w:gridSpan w:val="2"/>
            <w:shd w:val="clear" w:color="auto" w:fill="CCEEFF"/>
          </w:tcPr>
          <w:p>
            <w:pPr>
              <w:ind w:left="160"/>
              <w:spacing w:after="0" w:line="295" w:lineRule="exact"/>
              <w:rPr>
                <w:sz w:val="20"/>
                <w:szCs w:val="20"/>
                <w:color w:val="auto"/>
              </w:rPr>
            </w:pPr>
            <w:r>
              <w:rPr>
                <w:rFonts w:ascii="Arial" w:cs="Arial" w:eastAsia="Arial" w:hAnsi="Arial"/>
                <w:sz w:val="18"/>
                <w:szCs w:val="18"/>
                <w:color w:val="auto"/>
              </w:rPr>
              <w:t>issued and outstanding</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2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24,712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24,000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-290830</wp:posOffset>
            </wp:positionV>
            <wp:extent cx="47745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-1962150</wp:posOffset>
            </wp:positionV>
            <wp:extent cx="47745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101" w:lineRule="exact"/>
        <w:rPr>
          <w:sz w:val="20"/>
          <w:szCs w:val="20"/>
          <w:color w:val="auto"/>
        </w:rPr>
      </w:pPr>
    </w:p>
    <w:p>
      <w:pPr>
        <w:ind w:left="1620" w:right="739" w:hanging="358"/>
        <w:spacing w:after="0" w:line="27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up to 375,000 Class B shares subject to forfeiture if the over-allotment option is not exercised in full or in part by the underwriters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HIGHCAPE CAPITAL ACQUISITION CORP.</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FOR THE PERIOD FROM JUNE 10, 2020 (INCEPTION) THROUGH JUNE 30, 2020</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r>
      <w:tr>
        <w:trPr>
          <w:trHeight w:val="297"/>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360" w:type="dxa"/>
            <w:vAlign w:val="bottom"/>
            <w:tcBorders>
              <w:top w:val="single" w:sz="8" w:color="CCEEFF"/>
              <w:bottom w:val="single" w:sz="8" w:color="CCEEFF"/>
            </w:tcBorders>
            <w:gridSpan w:val="2"/>
            <w:shd w:val="clear" w:color="auto" w:fill="CCEEFF"/>
          </w:tcPr>
          <w:p>
            <w:pPr>
              <w:spacing w:after="0" w:line="243" w:lineRule="exact"/>
              <w:rPr>
                <w:sz w:val="20"/>
                <w:szCs w:val="20"/>
                <w:color w:val="auto"/>
              </w:rPr>
            </w:pPr>
            <w:r>
              <w:rPr>
                <w:rFonts w:ascii="Arial" w:cs="Arial" w:eastAsia="Arial" w:hAnsi="Arial"/>
                <w:sz w:val="18"/>
                <w:szCs w:val="18"/>
                <w:color w:val="auto"/>
              </w:rPr>
              <w:t>Weighted average shares outstanding, basic and diluted</w:t>
            </w:r>
            <w:r>
              <w:rPr>
                <w:rFonts w:ascii="Arial" w:cs="Arial" w:eastAsia="Arial" w:hAnsi="Arial"/>
                <w:sz w:val="26"/>
                <w:szCs w:val="26"/>
                <w:color w:val="auto"/>
                <w:vertAlign w:val="superscript"/>
              </w:rPr>
              <w:t>(1)</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2,500,000</w:t>
            </w:r>
          </w:p>
        </w:tc>
        <w:tc>
          <w:tcPr>
            <w:tcW w:w="60" w:type="dxa"/>
            <w:vAlign w:val="bottom"/>
          </w:tcPr>
          <w:p>
            <w:pPr>
              <w:spacing w:after="0"/>
              <w:rPr>
                <w:sz w:val="21"/>
                <w:szCs w:val="21"/>
                <w:color w:val="auto"/>
              </w:rPr>
            </w:pPr>
          </w:p>
        </w:tc>
      </w:tr>
      <w:tr>
        <w:trPr>
          <w:trHeight w:val="20"/>
        </w:trPr>
        <w:tc>
          <w:tcPr>
            <w:tcW w:w="1940" w:type="dxa"/>
            <w:vAlign w:val="bottom"/>
            <w:gridSpan w:val="2"/>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1"/>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(0.00</w:t>
            </w: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21" w:lineRule="exact"/>
        <w:rPr>
          <w:sz w:val="20"/>
          <w:szCs w:val="20"/>
          <w:color w:val="auto"/>
        </w:rPr>
      </w:pPr>
    </w:p>
    <w:p>
      <w:pPr>
        <w:ind w:left="1620" w:right="699" w:hanging="358"/>
        <w:spacing w:after="0" w:line="277"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Excludes up to 375,000 Class B shares subject to forfeiture if the over-allotment option is not exercised in full or in part by the underwriters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580" w:right="880"/>
        <w:spacing w:after="0" w:line="266" w:lineRule="auto"/>
        <w:rPr>
          <w:sz w:val="20"/>
          <w:szCs w:val="20"/>
          <w:color w:val="auto"/>
        </w:rPr>
      </w:pPr>
      <w:r>
        <w:rPr>
          <w:rFonts w:ascii="Arial" w:cs="Arial" w:eastAsia="Arial" w:hAnsi="Arial"/>
          <w:sz w:val="18"/>
          <w:szCs w:val="18"/>
          <w:b w:val="1"/>
          <w:bCs w:val="1"/>
          <w:color w:val="auto"/>
        </w:rPr>
        <w:t>HIGHCAPE CAPITAL ACQUISITION CORP. STATEMENT OF CHANGES IN STOCKHOLDER’S EQUITY FOR THE PERIOD FROM JUNE 10, 2020 (INCEPTION) THROUGH JUNE 30, 2020</w:t>
      </w:r>
    </w:p>
    <w:p>
      <w:pPr>
        <w:spacing w:after="0" w:line="114"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20" w:type="dxa"/>
            <w:vAlign w:val="bottom"/>
            <w:gridSpan w:val="2"/>
          </w:tcPr>
          <w:p>
            <w:pPr>
              <w:ind w:left="480"/>
              <w:spacing w:after="0"/>
              <w:rPr>
                <w:sz w:val="20"/>
                <w:szCs w:val="20"/>
                <w:color w:val="auto"/>
              </w:rPr>
            </w:pPr>
            <w:r>
              <w:rPr>
                <w:rFonts w:ascii="Arial" w:cs="Arial" w:eastAsia="Arial" w:hAnsi="Arial"/>
                <w:sz w:val="14"/>
                <w:szCs w:val="14"/>
                <w:b w:val="1"/>
                <w:bCs w:val="1"/>
                <w:color w:val="auto"/>
                <w:w w:val="97"/>
              </w:rPr>
              <w:t>Class B</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Additional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60" w:type="dxa"/>
            <w:vAlign w:val="bottom"/>
            <w:gridSpan w:val="4"/>
          </w:tcPr>
          <w:p>
            <w:pPr>
              <w:jc w:val="right"/>
              <w:ind w:right="220"/>
              <w:spacing w:after="0" w:line="162" w:lineRule="exact"/>
              <w:rPr>
                <w:sz w:val="20"/>
                <w:szCs w:val="20"/>
                <w:color w:val="auto"/>
              </w:rPr>
            </w:pPr>
            <w:r>
              <w:rPr>
                <w:rFonts w:ascii="Arial" w:cs="Arial" w:eastAsia="Arial" w:hAnsi="Arial"/>
                <w:sz w:val="13"/>
                <w:szCs w:val="13"/>
                <w:b w:val="1"/>
                <w:bCs w:val="1"/>
                <w:color w:val="auto"/>
              </w:rPr>
              <w:t>Common Stock</w:t>
            </w:r>
            <w:r>
              <w:rPr>
                <w:rFonts w:ascii="Arial" w:cs="Arial" w:eastAsia="Arial" w:hAnsi="Arial"/>
                <w:sz w:val="18"/>
                <w:szCs w:val="18"/>
                <w:b w:val="1"/>
                <w:bCs w:val="1"/>
                <w:color w:val="auto"/>
                <w:vertAlign w:val="superscript"/>
              </w:rPr>
              <w:t>(1)</w:t>
            </w:r>
          </w:p>
        </w:tc>
        <w:tc>
          <w:tcPr>
            <w:tcW w:w="2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gridSpan w:val="2"/>
          </w:tcPr>
          <w:p>
            <w:pPr>
              <w:jc w:val="right"/>
              <w:ind w:right="34"/>
              <w:spacing w:after="0" w:line="75" w:lineRule="exact"/>
              <w:rPr>
                <w:sz w:val="20"/>
                <w:szCs w:val="20"/>
                <w:color w:val="auto"/>
              </w:rPr>
            </w:pPr>
            <w:r>
              <w:rPr>
                <w:rFonts w:ascii="Arial" w:cs="Arial" w:eastAsia="Arial" w:hAnsi="Arial"/>
                <w:sz w:val="8"/>
                <w:szCs w:val="8"/>
                <w:b w:val="1"/>
                <w:bCs w:val="1"/>
                <w:color w:val="auto"/>
              </w:rPr>
              <w:t>Paid-In</w:t>
            </w:r>
          </w:p>
        </w:tc>
        <w:tc>
          <w:tcPr>
            <w:tcW w:w="220" w:type="dxa"/>
            <w:vAlign w:val="bottom"/>
          </w:tcPr>
          <w:p>
            <w:pPr>
              <w:spacing w:after="0"/>
              <w:rPr>
                <w:sz w:val="7"/>
                <w:szCs w:val="7"/>
                <w:color w:val="auto"/>
              </w:rPr>
            </w:pPr>
          </w:p>
        </w:tc>
        <w:tc>
          <w:tcPr>
            <w:tcW w:w="1040" w:type="dxa"/>
            <w:vAlign w:val="bottom"/>
            <w:gridSpan w:val="5"/>
          </w:tcPr>
          <w:p>
            <w:pPr>
              <w:jc w:val="center"/>
              <w:ind w:right="260"/>
              <w:spacing w:after="0" w:line="75" w:lineRule="exact"/>
              <w:rPr>
                <w:sz w:val="20"/>
                <w:szCs w:val="20"/>
                <w:color w:val="auto"/>
              </w:rPr>
            </w:pPr>
            <w:r>
              <w:rPr>
                <w:rFonts w:ascii="Arial" w:cs="Arial" w:eastAsia="Arial" w:hAnsi="Arial"/>
                <w:sz w:val="8"/>
                <w:szCs w:val="8"/>
                <w:b w:val="1"/>
                <w:bCs w:val="1"/>
                <w:color w:val="auto"/>
              </w:rPr>
              <w:t>Accumulated</w:t>
            </w:r>
          </w:p>
        </w:tc>
        <w:tc>
          <w:tcPr>
            <w:tcW w:w="860" w:type="dxa"/>
            <w:vAlign w:val="bottom"/>
            <w:gridSpan w:val="4"/>
          </w:tcPr>
          <w:p>
            <w:pPr>
              <w:jc w:val="center"/>
              <w:ind w:right="40"/>
              <w:spacing w:after="0" w:line="75"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5"/>
              </w:rPr>
              <w:t>Amount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Capital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June 10, 2020 (inception)</w:t>
            </w: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3760" w:type="dxa"/>
            <w:vAlign w:val="bottom"/>
            <w:gridSpan w:val="2"/>
          </w:tcPr>
          <w:p>
            <w:pPr>
              <w:spacing w:after="0" w:line="192" w:lineRule="exact"/>
              <w:rPr>
                <w:sz w:val="20"/>
                <w:szCs w:val="20"/>
                <w:color w:val="auto"/>
              </w:rPr>
            </w:pPr>
            <w:r>
              <w:rPr>
                <w:rFonts w:ascii="Arial" w:cs="Arial" w:eastAsia="Arial" w:hAnsi="Arial"/>
                <w:sz w:val="18"/>
                <w:szCs w:val="18"/>
                <w:color w:val="auto"/>
              </w:rPr>
              <w:t>Issuance of Class B common stock to</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376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Sponsor</w:t>
            </w:r>
            <w:r>
              <w:rPr>
                <w:rFonts w:ascii="Arial" w:cs="Arial" w:eastAsia="Arial" w:hAnsi="Arial"/>
                <w:sz w:val="26"/>
                <w:szCs w:val="26"/>
                <w:color w:val="auto"/>
                <w:vertAlign w:val="superscript"/>
              </w:rPr>
              <w:t>(1)</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2,875,000</w:t>
            </w:r>
          </w:p>
        </w:tc>
        <w:tc>
          <w:tcPr>
            <w:tcW w:w="2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24,712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2"/>
                <w:szCs w:val="2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Balance – June 30, 2020</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2,875,000</w:t>
            </w:r>
          </w:p>
        </w:tc>
        <w:tc>
          <w:tcPr>
            <w:tcW w:w="2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$288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0"/>
              </w:rPr>
              <w:t>24,712</w:t>
            </w:r>
          </w:p>
        </w:tc>
        <w:tc>
          <w:tcPr>
            <w:tcW w:w="34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7"/>
              </w:rPr>
              <w:t>(1,000)</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24,000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-933450</wp:posOffset>
            </wp:positionV>
            <wp:extent cx="46716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01" w:lineRule="exact"/>
        <w:rPr>
          <w:sz w:val="20"/>
          <w:szCs w:val="20"/>
          <w:color w:val="auto"/>
        </w:rPr>
      </w:pPr>
    </w:p>
    <w:p>
      <w:pPr>
        <w:ind w:left="1620" w:right="739" w:hanging="358"/>
        <w:spacing w:after="0" w:line="277" w:lineRule="auto"/>
        <w:tabs>
          <w:tab w:leader="none" w:pos="1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up to 375,000 Class B shares subject to forfeiture if the over-allotment option is not exercised in full or in part by the underwriters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HIGHCAPE CAPITAL ACQUISITION CORP.</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FOR THE PERIOD FROM JUNE 10, 2020 (INCEPTION) THROUGH JUNE 30, 2020</w:t>
      </w:r>
    </w:p>
    <w:p>
      <w:pPr>
        <w:sectPr>
          <w:pgSz w:w="11900" w:h="16838" w:orient="portrait"/>
          <w:cols w:equalWidth="0" w:num="1">
            <w:col w:w="10139"/>
          </w:cols>
          <w:pgMar w:left="320" w:top="132" w:right="1440" w:bottom="1440" w:gutter="0" w:footer="0" w:header="0"/>
        </w:sectPr>
      </w:pP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-110490</wp:posOffset>
            </wp:positionV>
            <wp:extent cx="5212080" cy="1200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wp:posOffset>
            </wp:positionV>
            <wp:extent cx="5212080" cy="163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Changes in operating assets and liabilities:</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23495</wp:posOffset>
            </wp:positionV>
            <wp:extent cx="5212080"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17145</wp:posOffset>
            </wp:positionV>
            <wp:extent cx="521208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Proceeds from issuance of Class B common stock to Sponsor</w:t>
      </w:r>
    </w:p>
    <w:p>
      <w:pPr>
        <w:spacing w:after="0" w:line="7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26035</wp:posOffset>
            </wp:positionV>
            <wp:extent cx="5212080"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Change in Cash</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23495</wp:posOffset>
            </wp:positionV>
            <wp:extent cx="5212080"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 end of the period</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39370</wp:posOffset>
            </wp:positionV>
            <wp:extent cx="5212080"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82" w:lineRule="exact"/>
        <w:rPr>
          <w:sz w:val="20"/>
          <w:szCs w:val="20"/>
          <w:color w:val="auto"/>
        </w:rPr>
      </w:pPr>
    </w:p>
    <w:p>
      <w:pPr>
        <w:ind w:left="1260" w:right="2380"/>
        <w:spacing w:after="0" w:line="424" w:lineRule="auto"/>
        <w:rPr>
          <w:sz w:val="20"/>
          <w:szCs w:val="20"/>
          <w:color w:val="auto"/>
        </w:rPr>
      </w:pPr>
      <w:r>
        <w:rPr>
          <w:rFonts w:ascii="Arial" w:cs="Arial" w:eastAsia="Arial" w:hAnsi="Arial"/>
          <w:sz w:val="17"/>
          <w:szCs w:val="17"/>
          <w:color w:val="auto"/>
        </w:rPr>
        <w:t>Payment of deferred offering costs through promissory note Deferred offering costs included in accrued offering costs</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 (1,000)</w:t>
      </w:r>
    </w:p>
    <w:p>
      <w:pPr>
        <w:spacing w:after="0" w:line="32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1,000</w:t>
      </w:r>
    </w:p>
    <w:p>
      <w:pPr>
        <w:spacing w:after="0" w:line="73" w:lineRule="exact"/>
        <w:rPr>
          <w:sz w:val="20"/>
          <w:szCs w:val="20"/>
          <w:color w:val="auto"/>
        </w:rPr>
      </w:pPr>
    </w:p>
    <w:p>
      <w:pPr>
        <w:jc w:val="right"/>
        <w:ind w:right="679"/>
        <w:spacing w:after="0"/>
        <w:rPr>
          <w:sz w:val="20"/>
          <w:szCs w:val="20"/>
          <w:color w:val="auto"/>
        </w:rPr>
      </w:pPr>
      <w:r>
        <w:rPr>
          <w:rFonts w:ascii="Arial" w:cs="Arial" w:eastAsia="Arial" w:hAnsi="Arial"/>
          <w:sz w:val="18"/>
          <w:szCs w:val="18"/>
          <w:b w:val="1"/>
          <w:bCs w:val="1"/>
          <w:color w:val="auto"/>
        </w:rPr>
        <w:t>—</w:t>
      </w:r>
    </w:p>
    <w:p>
      <w:pPr>
        <w:spacing w:after="0" w:line="33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25,000</w:t>
      </w:r>
    </w:p>
    <w:p>
      <w:pPr>
        <w:spacing w:after="0" w:line="9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25,000</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25,000</w:t>
      </w:r>
    </w:p>
    <w:p>
      <w:pPr>
        <w:spacing w:after="0" w:line="77"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w:t>
      </w:r>
    </w:p>
    <w:p>
      <w:pPr>
        <w:spacing w:after="0" w:line="73" w:lineRule="exact"/>
        <w:rPr>
          <w:sz w:val="20"/>
          <w:szCs w:val="20"/>
          <w:color w:val="auto"/>
        </w:rPr>
      </w:pPr>
    </w:p>
    <w:p>
      <w:pPr>
        <w:jc w:val="right"/>
        <w:ind w:right="659"/>
        <w:spacing w:after="0"/>
        <w:rPr>
          <w:sz w:val="20"/>
          <w:szCs w:val="20"/>
          <w:color w:val="auto"/>
        </w:rPr>
      </w:pPr>
      <w:r>
        <w:rPr>
          <w:rFonts w:ascii="Arial" w:cs="Arial" w:eastAsia="Arial" w:hAnsi="Arial"/>
          <w:sz w:val="16"/>
          <w:szCs w:val="16"/>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3771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3771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$65,000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3771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40640</wp:posOffset>
            </wp:positionV>
            <wp:extent cx="3771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373" w:lineRule="exact"/>
        <w:rPr>
          <w:sz w:val="20"/>
          <w:szCs w:val="20"/>
          <w:color w:val="auto"/>
        </w:rPr>
      </w:pPr>
    </w:p>
    <w:p>
      <w:pPr>
        <w:sectPr>
          <w:pgSz w:w="11900" w:h="16838" w:orient="portrait"/>
          <w:cols w:equalWidth="0" w:num="2">
            <w:col w:w="8160" w:space="720"/>
            <w:col w:w="125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40"/>
        <w:spacing w:after="0"/>
        <w:rPr>
          <w:sz w:val="20"/>
          <w:szCs w:val="20"/>
          <w:color w:val="auto"/>
        </w:rPr>
      </w:pPr>
      <w:r>
        <w:rPr>
          <w:rFonts w:ascii="Arial" w:cs="Arial" w:eastAsia="Arial" w:hAnsi="Arial"/>
          <w:sz w:val="17"/>
          <w:szCs w:val="17"/>
          <w:i w:val="1"/>
          <w:iCs w:val="1"/>
          <w:color w:val="auto"/>
        </w:rPr>
        <w:t>The accompanying notes are an integral part of these financial statements.</w:t>
      </w:r>
    </w:p>
    <w:p>
      <w:pPr>
        <w:spacing w:after="0" w:line="11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9" w:name="page160"/>
    <w:bookmarkEnd w:id="159"/>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HIGHCAPE CAPITAL ACQUISITION CORP.</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FINANCIAL STATEMENTS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4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HighCape Capital Acquisition Corp. (the “Company”) was incorporated in Delaware on June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7"/>
          <w:szCs w:val="17"/>
          <w:color w:val="auto"/>
        </w:rPr>
        <w:t>As of June 30, 2020, the Company had not commenced any operations. All activity for the period from June 10, 2020 (inception) through June 30, 2020 relates to the Company’s formation and the proposed initial public offering (“Proposed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Proposed Public Offering. The Company has selected December 31 as its fiscal year end.</w:t>
      </w:r>
    </w:p>
    <w:p>
      <w:pPr>
        <w:spacing w:after="0" w:line="108"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the Proposed Public Offering of 10,000,000 units (the “Units” and, with respect to the shares of Class A common stock included in the Units being offered, the “Public Shares”) at $10.00 per Unit (or 11,500,000 Units if the underwriters’ over-allotment option is exercised in full), which is discussed in Note 3, and the sale of 375,000 units (or 405,000 units if the underwriters’ over-allotment option is exercised in full) (each, a “Private Placement Unit” and collectively, the “Private Placement Units”) at a price of $ 10.00 per Private Placement Unit in a private placement to HighCape Capital Acquisition, LLC, a Delaware limited liability company (the “Sponsor”), that will close simultaneously with the Proposed Public Offering.</w:t>
      </w:r>
    </w:p>
    <w:p>
      <w:pPr>
        <w:spacing w:after="0" w:line="110" w:lineRule="exact"/>
        <w:rPr>
          <w:sz w:val="20"/>
          <w:szCs w:val="20"/>
          <w:color w:val="auto"/>
        </w:rPr>
      </w:pPr>
    </w:p>
    <w:p>
      <w:pPr>
        <w:ind w:left="1260" w:right="719" w:firstLine="360"/>
        <w:spacing w:after="0" w:line="25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Private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(as defined below)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Upon the closing of the Proposed Public Offering, management has agreed that an amount equal to at least $ 10.00 per Unit sold in the Proposed Public Offering, including proceeds of the Private Placement Units, will be held in a trust account (“Trust Account”), located in the United States and invested only in U.S. government securities, within the meaning set forth in Section 2(a)(16) of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12"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anticipated to be $10.00 per Public Share, plus any pro rata interest then in the Trust Account, net of taxes payable). There will be no redemption rights upon the completion of a Business Combination with respect to the Company’s warrants. The Public Shares subject to redemption will be</w:t>
      </w:r>
    </w:p>
    <w:p>
      <w:pPr>
        <w:spacing w:after="0" w:line="36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HIGHCAPE CAPITAL ACQUISITION CORP.</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1260" w:right="1079"/>
        <w:spacing w:after="0" w:line="248" w:lineRule="auto"/>
        <w:rPr>
          <w:sz w:val="20"/>
          <w:szCs w:val="20"/>
          <w:color w:val="auto"/>
        </w:rPr>
      </w:pPr>
      <w:r>
        <w:rPr>
          <w:rFonts w:ascii="Arial" w:cs="Arial" w:eastAsia="Arial" w:hAnsi="Arial"/>
          <w:sz w:val="18"/>
          <w:szCs w:val="18"/>
          <w:color w:val="auto"/>
        </w:rPr>
        <w:t>recorded at a redemption value and classified as temporary equity upon the completion of the Proposed Public Offering in accordance with the Accounting Standards Codification (“ASC”) Topic 480 “Distinguishing Liabilities from Equity.”</w:t>
      </w:r>
    </w:p>
    <w:p>
      <w:pPr>
        <w:spacing w:after="0" w:line="101"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The Company will only proceed with a Business Combination if the Company has net tangible assets of at least $ 5,000,001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Proposed Public Offering (the “initial stockholders”) have agreed to vote their Founder Shares (as defined in Note 5), Private Placement Shares (as defined in Note 4) and any Public Shares purchased during or after the Proposed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14"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If the Company seeks stockholder approval of a Business Combination and it does not conduct redemptions pursuant to the tender offer rules, 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0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7"/>
          <w:szCs w:val="17"/>
          <w:color w:val="auto"/>
        </w:rPr>
        <w:t>The Sponsor has agreed (a) to waive its redemption rights with respect to the Founder Shares, Private Placement Shares and Public Shares held by it in connection with the completion of a Business Combination and (b) not to propose an amendment to the Certificate of Incorporation (i) to modify the substance or timing of the Company’s obligation to allow redemptions in connection with a Business Combination or to redeem 100% of its Public Shares if the Company does not complete a Business Combination within the Combination Period (as defined below) or (ii) with respect to any other provision relating to stockholders’ rights or pre -business combination activity, unless the Company provides the Public Stockholders with the opportunity to redeem their Public Shares in conjunction with any such amendment.</w:t>
      </w:r>
    </w:p>
    <w:p>
      <w:pPr>
        <w:spacing w:after="0" w:line="100"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7"/>
          <w:szCs w:val="17"/>
          <w:color w:val="auto"/>
        </w:rPr>
        <w:t>If the Company has not completed a Business Combination within 18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13"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The Sponsor has agreed to waive its liquidation rights with respect to the Founder Shares and Private Placement Shares if the Company fails to complete a Business Combination within the Combination Period.</w:t>
      </w:r>
    </w:p>
    <w:p>
      <w:pPr>
        <w:spacing w:after="0" w:line="32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HIGHCAPE CAPITAL ACQUISITION CORP.</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1260" w:right="699"/>
        <w:spacing w:after="0" w:line="254" w:lineRule="auto"/>
        <w:rPr>
          <w:sz w:val="20"/>
          <w:szCs w:val="20"/>
          <w:color w:val="auto"/>
        </w:rPr>
      </w:pPr>
      <w:r>
        <w:rPr>
          <w:rFonts w:ascii="Arial" w:cs="Arial" w:eastAsia="Arial" w:hAnsi="Arial"/>
          <w:sz w:val="17"/>
          <w:szCs w:val="17"/>
          <w:color w:val="auto"/>
        </w:rPr>
        <w:t>However, if the Sponsor acquires Public Shares in or after the Proposed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100" w:lineRule="exact"/>
        <w:rPr>
          <w:sz w:val="20"/>
          <w:szCs w:val="20"/>
          <w:color w:val="auto"/>
        </w:rPr>
      </w:pPr>
    </w:p>
    <w:p>
      <w:pPr>
        <w:ind w:left="1260" w:right="719" w:firstLine="360"/>
        <w:spacing w:after="0" w:line="251"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accounting firm), prospective target businesses and other entities with which the Company does business, execute agreements with the Company waiving any right, title, interest or claim of any kind in or to monies held in the Trust Account.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The accompanying audited financial statements are presented in conformity with accounting principles generally accepted in the United States of America (“GAAP”) and pursuant to the rules and regulations of the SEC.</w:t>
      </w:r>
    </w:p>
    <w:p>
      <w:pPr>
        <w:spacing w:after="0" w:line="11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date of issuance of these financial statements. In connection with the Company’s assessment of going concern considerations in accordance with Accounting Standards Update (“ASU”) 2014-15 ,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date of issuance of these financial statements.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44"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38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HIGHCAPE CAPITAL ACQUISITION CORP.</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19"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5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1"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2020. The Company is currently not aware of any issues under review that could result in significant payments, accruals or material deviation from its position. The Company is subject to income tax examinations by major taxing authorities since inception.</w:t>
      </w:r>
    </w:p>
    <w:p>
      <w:pPr>
        <w:sectPr>
          <w:pgSz w:w="11900" w:h="16838" w:orient="portrait"/>
          <w:cols w:equalWidth="0" w:num="1">
            <w:col w:w="10139"/>
          </w:cols>
          <w:pgMar w:left="320" w:top="132" w:right="1440" w:bottom="1440" w:gutter="0" w:footer="0" w:header="0"/>
        </w:sectPr>
      </w:pPr>
    </w:p>
    <w:p>
      <w:pPr>
        <w:spacing w:after="0" w:line="35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3" w:name="page164"/>
    <w:bookmarkEnd w:id="163"/>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HIGHCAPE CAPITAL ACQUISITION CORP.</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1260" w:right="1299" w:firstLine="360"/>
        <w:spacing w:after="0" w:line="277" w:lineRule="auto"/>
        <w:rPr>
          <w:sz w:val="20"/>
          <w:szCs w:val="20"/>
          <w:color w:val="auto"/>
        </w:rPr>
      </w:pPr>
      <w:r>
        <w:rPr>
          <w:rFonts w:ascii="Arial" w:cs="Arial" w:eastAsia="Arial" w:hAnsi="Arial"/>
          <w:sz w:val="18"/>
          <w:szCs w:val="18"/>
          <w:color w:val="auto"/>
        </w:rPr>
        <w:t>The provision for income taxes was deemed to be de minimis for the period from June 10, 2020 (inception) through June 30, 2020.</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44"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Net loss per share is computed by dividing net loss by the weighted average number of shares of common stock outstanding during the period, excluding shares of common stock subject to forfeiture by the Sponsor. Weighted average shares were reduced for the effect of an aggregate of 375,000 shares of Class B common stock that are subject to forfeiture if the over-allotment option is not exercised by the underwriters (see Note 5).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58"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58"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 approximates the carrying amounts represented in the balance sheet, primarily due to their short-term nature.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4" w:lineRule="exact"/>
        <w:rPr>
          <w:sz w:val="20"/>
          <w:szCs w:val="20"/>
          <w:color w:val="auto"/>
        </w:rPr>
      </w:pPr>
    </w:p>
    <w:p>
      <w:pPr>
        <w:ind w:left="1260" w:right="799" w:firstLine="360"/>
        <w:spacing w:after="0" w:line="308" w:lineRule="auto"/>
        <w:rPr>
          <w:sz w:val="20"/>
          <w:szCs w:val="20"/>
          <w:color w:val="auto"/>
        </w:rPr>
      </w:pPr>
      <w:r>
        <w:rPr>
          <w:rFonts w:ascii="Arial" w:cs="Arial" w:eastAsia="Arial" w:hAnsi="Arial"/>
          <w:sz w:val="17"/>
          <w:szCs w:val="17"/>
          <w:color w:val="auto"/>
        </w:rPr>
        <w:t>Management does not believe that any recently issued, but not yet effective, accounting pronouncements, if currently adopted, would have a material effect on the Company’s financial statements.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Proposed Public Offering</w:t>
      </w:r>
    </w:p>
    <w:p>
      <w:pPr>
        <w:spacing w:after="0" w:line="162"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Pursuant to the Proposed Public Offering, the Company intends to offer for sale 10,000,000 Units (or 11,500,000 Units if the underwriters’ over-allotment option is exercised in full) at a price of $10.00 per Unit. Each Unit will consist of one share of Class A common stock and one-half of one redeemable warrant (“Public Warrant”). Each whole Public Warrant will entitle the holder to purchase one share of Class A common stock at a price of $11.50 per share, subject to adjustment (see Note 7).</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Private Placement</w:t>
      </w:r>
    </w:p>
    <w:p>
      <w:pPr>
        <w:spacing w:after="0" w:line="162"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The Sponsor has agreed to purchase an aggregate of 375,000 Private Placement Units (or 405,000 Private Placement Units if the over-allotment option is exercised in full) at a price of $10.00 per Private Placement Unit, for an aggregate purchase price of $3,750,000 (or $4,050,000 if the over-allotment option is exercised in full), in a private placement that will occur simultaneously with the closing of the Proposed Public Offering. Each Private Placement Unit will consist of one share of Class A common stock (“Private Placement Share” or, collectively, “Private Placement Shares”) and one-half of one warrant (each, a “Private Placement Warrant”). Each whole Private Placement Warrant is exercisable to purchase one share of Class A common stock at a price of $11.50 per share, subject to adjustment. A portion of the proceeds from the Private Placement Units will be added to the proceeds from the Proposed Public Offering to be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Private Placement Units and all underlying securities will expire worthless.</w:t>
      </w:r>
    </w:p>
    <w:p>
      <w:pPr>
        <w:sectPr>
          <w:pgSz w:w="11900" w:h="16838" w:orient="portrait"/>
          <w:cols w:equalWidth="0" w:num="1">
            <w:col w:w="10139"/>
          </w:cols>
          <w:pgMar w:left="320" w:top="132" w:right="1440" w:bottom="1440" w:gutter="0" w:footer="0" w:header="0"/>
        </w:sectPr>
      </w:pPr>
    </w:p>
    <w:p>
      <w:pPr>
        <w:spacing w:after="0" w:line="37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4" w:name="page165"/>
    <w:bookmarkEnd w:id="164"/>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HIGHCAPE CAPITAL ACQUISITION CORP.</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Related Party Transactions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4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6"/>
          <w:szCs w:val="16"/>
          <w:color w:val="auto"/>
        </w:rPr>
        <w:t>On June 10, 2020, the Company issued an aggregate of 2,875,000 shares of Class B common stock to the Sponsor (the “Founder Shares”) for an aggregate price of $25,000. On June 30, 2020, the Sponsor transferred 30,000 Founder Shares to each of its three independent directors, or an aggregate of 90,000 Founder Shares, resulting in the Sponsor holding an aggregate of 2,785,000 Founder Shares. The Founder Shares include an aggregate of up to 375,000 shares subject to forfeiture to the extent that the underwriters’ over-allotment option is not exercised in full or in part, so that the number of Founder Shares will equal 20% of the Company’s issued and outstanding shares after the Proposed Public Offering (not including the Private Placement Shares) . If the Company increases or decreases the size of the Proposed Public Offering, the Company will effect a share capitalization or a share repurchase or redemption or other appropriate mechanism, as applicable, with respect to the shares of common stock prior to the consummation of the Proposed Public Offering in such amount as to maintain the number of Founder Shares at 20% of the Company’s issued and outstanding common stock upon the consummation of the Proposed Public Offering.</w:t>
      </w:r>
    </w:p>
    <w:p>
      <w:pPr>
        <w:spacing w:after="0" w:line="104" w:lineRule="exact"/>
        <w:rPr>
          <w:sz w:val="20"/>
          <w:szCs w:val="20"/>
          <w:color w:val="auto"/>
        </w:rPr>
      </w:pPr>
    </w:p>
    <w:p>
      <w:pPr>
        <w:ind w:left="1260" w:right="739" w:firstLine="360"/>
        <w:spacing w:after="0" w:line="274" w:lineRule="auto"/>
        <w:rPr>
          <w:sz w:val="20"/>
          <w:szCs w:val="20"/>
          <w:color w:val="auto"/>
        </w:rPr>
      </w:pPr>
      <w:r>
        <w:rPr>
          <w:rFonts w:ascii="Arial" w:cs="Arial" w:eastAsia="Arial" w:hAnsi="Arial"/>
          <w:sz w:val="16"/>
          <w:szCs w:val="16"/>
          <w:color w:val="auto"/>
        </w:rPr>
        <w:t>The Sponsor has agreed, subject to limited exceptions, not to transfer, assign or sell any of the Founder Shares until the earlier to occur of: (A) one year after the completion of a Business Combination and</w:t>
      </w:r>
    </w:p>
    <w:p>
      <w:pPr>
        <w:spacing w:after="0" w:line="1" w:lineRule="exact"/>
        <w:rPr>
          <w:sz w:val="20"/>
          <w:szCs w:val="20"/>
          <w:color w:val="auto"/>
        </w:rPr>
      </w:pPr>
    </w:p>
    <w:p>
      <w:pPr>
        <w:ind w:left="1260" w:right="719" w:firstLine="2"/>
        <w:spacing w:after="0" w:line="253" w:lineRule="auto"/>
        <w:tabs>
          <w:tab w:leader="none" w:pos="1559" w:val="left"/>
        </w:tabs>
        <w:numPr>
          <w:ilvl w:val="0"/>
          <w:numId w:val="93"/>
        </w:numPr>
        <w:rPr>
          <w:rFonts w:ascii="Arial" w:cs="Arial" w:eastAsia="Arial" w:hAnsi="Arial"/>
          <w:sz w:val="17"/>
          <w:szCs w:val="17"/>
          <w:color w:val="auto"/>
        </w:rPr>
      </w:pPr>
      <w:r>
        <w:rPr>
          <w:rFonts w:ascii="Arial" w:cs="Arial" w:eastAsia="Arial" w:hAnsi="Arial"/>
          <w:sz w:val="17"/>
          <w:szCs w:val="17"/>
          <w:color w:val="auto"/>
        </w:rPr>
        <w:t>subsequent to a Business Combination, (x) if the last reported sale price of the Class A common stock equals or exceeds $12.00 per share (as adjusted for stock splits, stock dividends,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58"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color w:val="auto"/>
        </w:rPr>
        <w:t>On June 10, 2020, the Sponsor issued an unsecured promissory note to the Company (the “Promissory Note”), pursuant to which the Company may borrow up to an aggregate principal amount of $300,000, of which $25,000 was outstanding under the Promissory Note as of June 30, 2020. The Promissory Note is non-interest bearing and payable on the earlier of June 10, 2021 or the consummation of the Proposed Public Offering.</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44" w:lineRule="exact"/>
        <w:rPr>
          <w:sz w:val="20"/>
          <w:szCs w:val="20"/>
          <w:color w:val="auto"/>
        </w:rPr>
      </w:pPr>
    </w:p>
    <w:p>
      <w:pPr>
        <w:ind w:left="1260" w:right="679" w:firstLine="360"/>
        <w:spacing w:after="0" w:line="236" w:lineRule="auto"/>
        <w:rPr>
          <w:sz w:val="20"/>
          <w:szCs w:val="20"/>
          <w:color w:val="auto"/>
        </w:rPr>
      </w:pPr>
      <w:r>
        <w:rPr>
          <w:rFonts w:ascii="Arial" w:cs="Arial" w:eastAsia="Arial" w:hAnsi="Arial"/>
          <w:sz w:val="18"/>
          <w:szCs w:val="18"/>
          <w:color w:val="auto"/>
        </w:rPr>
        <w:t>In addition, in order to fund working capital deficiencies or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$1,500,000 of such Working Capital Loans may be convertible into units upon consummation of the Business Combination at a price of $10.00 per unit. The units would be identical to the Private Placement Units. Except for the foregoing, the terms of such Working Capital Loans, if any, have not been determined and no written agreements exist with respect to such loans. As of June 30, 2020, there were no amounts outstanding under the Working Capital Loans.</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58" w:lineRule="exact"/>
        <w:rPr>
          <w:sz w:val="20"/>
          <w:szCs w:val="20"/>
          <w:color w:val="auto"/>
        </w:rPr>
      </w:pPr>
    </w:p>
    <w:p>
      <w:pPr>
        <w:ind w:left="1260" w:right="699" w:firstLine="360"/>
        <w:spacing w:after="0" w:line="291" w:lineRule="auto"/>
        <w:rPr>
          <w:sz w:val="20"/>
          <w:szCs w:val="20"/>
          <w:color w:val="auto"/>
        </w:rPr>
      </w:pPr>
      <w:r>
        <w:rPr>
          <w:rFonts w:ascii="Arial" w:cs="Arial" w:eastAsia="Arial" w:hAnsi="Arial"/>
          <w:sz w:val="17"/>
          <w:szCs w:val="17"/>
          <w:color w:val="auto"/>
        </w:rPr>
        <w:t>The Company will enter into an agreement, commencing on the effective date of the Proposed Public Offering through the earlier of the Company’s consummation of a Business Combination and its liquidation,</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5" w:name="page166"/>
    <w:bookmarkEnd w:id="165"/>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HIGHCAPE CAPITAL ACQUISITION CORP.</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1260" w:right="1359"/>
        <w:spacing w:after="0" w:line="261" w:lineRule="auto"/>
        <w:rPr>
          <w:sz w:val="20"/>
          <w:szCs w:val="20"/>
          <w:color w:val="auto"/>
        </w:rPr>
      </w:pPr>
      <w:r>
        <w:rPr>
          <w:rFonts w:ascii="Arial" w:cs="Arial" w:eastAsia="Arial" w:hAnsi="Arial"/>
          <w:sz w:val="18"/>
          <w:szCs w:val="18"/>
          <w:color w:val="auto"/>
        </w:rPr>
        <w:t>to pay an affiliate of the Sponsor a total of up to $10,000 per month for office space, secretarial and administrative services.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90"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7"/>
          <w:szCs w:val="17"/>
          <w:color w:val="auto"/>
        </w:rPr>
        <w:t>Management is currently evaluating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04"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The holders of the Founder Shares, Private Placement Units, Private Placement Shares, Private Placement Warrants and securities that may be issued upon conversion of Working Capital Loans (and any Class A common stock issuable upon the exercise of the Private Placement Warrants and warrants that may be issued upon conversion of Working Capital Loans and upon conversion of the Founder Shares)will be entitled to registration rights pursuant to a registration rights agreement to be signed prior to or on the effective date of Proposed Public Offering, requiring the Company to register such securities and any other securities of the Company acquired by them prior to the consummation of our initial business combination for resale. The holders of these securities will be entitled to make up to three demands, excluding short form demands, that the Company register such securities. In addition, the holders have certain “piggy -back” registration rights with respect to registration statements filed subsequent to the completion of a Business Combination. The Company will bear the expenses incurred in connection with the filing of any such registration statements.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04" w:lineRule="exact"/>
        <w:rPr>
          <w:sz w:val="20"/>
          <w:szCs w:val="20"/>
          <w:color w:val="auto"/>
        </w:rPr>
      </w:pPr>
    </w:p>
    <w:p>
      <w:pPr>
        <w:jc w:val="both"/>
        <w:ind w:left="1260" w:right="739" w:firstLine="360"/>
        <w:spacing w:after="0" w:line="248" w:lineRule="auto"/>
        <w:rPr>
          <w:sz w:val="20"/>
          <w:szCs w:val="20"/>
          <w:color w:val="auto"/>
        </w:rPr>
      </w:pPr>
      <w:r>
        <w:rPr>
          <w:rFonts w:ascii="Arial" w:cs="Arial" w:eastAsia="Arial" w:hAnsi="Arial"/>
          <w:sz w:val="18"/>
          <w:szCs w:val="18"/>
          <w:color w:val="auto"/>
        </w:rPr>
        <w:t>The Company will grant the underwriters a 45 -day option from the date of Proposed Public Offering to purchase up to 1,500,000 additional Units to cover over-allotments, if any, at the Proposed Public Offering price less the underwriting discounts and commissions.</w:t>
      </w:r>
    </w:p>
    <w:p>
      <w:pPr>
        <w:spacing w:after="0" w:line="101"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The underwriters will be entitled to a cash underwriting discount of $0.20 per Unit, or $2,000,000 in the aggregate (or $2,300,000 in the aggregate if the underwriters’ over-allotment option is exercised in full), payable upon the closing of the Proposed Public Offering. In addition, the underwriters will be entitled to a deferred fee of $0.35 per Unit, or $3,500,000 in the aggregate (or $4,025,000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Stockholders’ Equity</w:t>
      </w:r>
    </w:p>
    <w:p>
      <w:pPr>
        <w:spacing w:after="0" w:line="108"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$0.0001 per share with such designations, voting and other rights and preferences as may be determined from time to time by the Company’s board of directors. At June 30, 2020, there were no shares of preferred stock issued or outstanding.</w:t>
      </w:r>
    </w:p>
    <w:p>
      <w:pPr>
        <w:spacing w:after="0" w:line="66" w:lineRule="exact"/>
        <w:rPr>
          <w:sz w:val="20"/>
          <w:szCs w:val="20"/>
          <w:color w:val="auto"/>
        </w:rPr>
      </w:pPr>
    </w:p>
    <w:p>
      <w:pPr>
        <w:jc w:val="both"/>
        <w:ind w:left="1260" w:right="839" w:firstLine="360"/>
        <w:spacing w:after="0" w:line="294" w:lineRule="auto"/>
        <w:rPr>
          <w:sz w:val="20"/>
          <w:szCs w:val="20"/>
          <w:color w:val="auto"/>
        </w:rPr>
      </w:pPr>
      <w:r>
        <w:rPr>
          <w:rFonts w:ascii="Arial" w:cs="Arial" w:eastAsia="Arial" w:hAnsi="Arial"/>
          <w:sz w:val="16"/>
          <w:szCs w:val="16"/>
          <w:b w:val="1"/>
          <w:bCs w:val="1"/>
          <w:i w:val="1"/>
          <w:iCs w:val="1"/>
          <w:color w:val="auto"/>
        </w:rPr>
        <w:t xml:space="preserve">Class A Common Stock </w:t>
      </w:r>
      <w:r>
        <w:rPr>
          <w:rFonts w:ascii="Arial" w:cs="Arial" w:eastAsia="Arial" w:hAnsi="Arial"/>
          <w:sz w:val="16"/>
          <w:szCs w:val="16"/>
          <w:color w:val="auto"/>
        </w:rPr>
        <w:t>— The Company is authorized to issue 100,000,000 shares of Class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with a par value of $0.0001 per share. Holders of Class A common stock are entitled to one vote for each share. At June 30, 2020, there were no shares of Class A common stock issued or outstanding.</w:t>
      </w:r>
    </w:p>
    <w:p>
      <w:pPr>
        <w:spacing w:after="0" w:line="12" w:lineRule="exact"/>
        <w:rPr>
          <w:sz w:val="20"/>
          <w:szCs w:val="20"/>
          <w:color w:val="auto"/>
        </w:rPr>
      </w:pPr>
    </w:p>
    <w:p>
      <w:pPr>
        <w:ind w:left="1260" w:right="699" w:firstLine="360"/>
        <w:spacing w:after="0" w:line="284" w:lineRule="auto"/>
        <w:rPr>
          <w:sz w:val="20"/>
          <w:szCs w:val="20"/>
          <w:color w:val="auto"/>
        </w:rPr>
      </w:pPr>
      <w:r>
        <w:rPr>
          <w:rFonts w:ascii="Arial" w:cs="Arial" w:eastAsia="Arial" w:hAnsi="Arial"/>
          <w:sz w:val="16"/>
          <w:szCs w:val="16"/>
          <w:b w:val="1"/>
          <w:bCs w:val="1"/>
          <w:i w:val="1"/>
          <w:iCs w:val="1"/>
          <w:color w:val="auto"/>
        </w:rPr>
        <w:t xml:space="preserve">Class B Common Stock </w:t>
      </w:r>
      <w:r>
        <w:rPr>
          <w:rFonts w:ascii="Arial" w:cs="Arial" w:eastAsia="Arial" w:hAnsi="Arial"/>
          <w:sz w:val="16"/>
          <w:szCs w:val="16"/>
          <w:color w:val="auto"/>
        </w:rPr>
        <w:t>— The Company is authorized to issue 10,000,000 shares of Class B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with a par value of $0.0001 per share. Holders of Class B common stock are entitled to one vote for each share. At June 30, 2020, there were 2,875,000 shares of Class B common stock issued and outstanding, of which an aggregate of up to 375,000 shares are subject to forfeiture to the extent that the underwriters’</w:t>
      </w:r>
    </w:p>
    <w:p>
      <w:pPr>
        <w:spacing w:after="0" w:line="34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HIGHCAPE CAPITAL ACQUISITION CORP.</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1260" w:right="1019"/>
        <w:spacing w:after="0" w:line="248" w:lineRule="auto"/>
        <w:rPr>
          <w:sz w:val="20"/>
          <w:szCs w:val="20"/>
          <w:color w:val="auto"/>
        </w:rPr>
      </w:pPr>
      <w:r>
        <w:rPr>
          <w:rFonts w:ascii="Arial" w:cs="Arial" w:eastAsia="Arial" w:hAnsi="Arial"/>
          <w:sz w:val="18"/>
          <w:szCs w:val="18"/>
          <w:color w:val="auto"/>
        </w:rPr>
        <w:t>over-allotment option is not exercised in full or in part, so that the number of shares of Class B common stock will equal 20% of the Company’s issued and outstanding common stock after the Proposed Public Offering (not including the Private Placement Shares).</w:t>
      </w:r>
    </w:p>
    <w:p>
      <w:pPr>
        <w:spacing w:after="0" w:line="101"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Only holders of the Class B common stock will have the right to vote on the election of directors prior to the Business Combination. Holders of Class A common stock and holders of Class B common stock will vote together as a single class on all matters submitted to a vote of our shareholders except as otherwise required by law.</w:t>
      </w:r>
    </w:p>
    <w:p>
      <w:pPr>
        <w:spacing w:after="0" w:line="120"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7"/>
          <w:szCs w:val="17"/>
          <w:color w:val="auto"/>
        </w:rPr>
        <w:t>The shares of Class B common stock will automatically convert into Class A common stock immediately following the completion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and excluding the Private Placement Shares underlying the Private Placement Warrants), including the total number of shares of Class A common stock issued, or deemed issued or issuable upon conversion or exercise of any equity -linked securities or rights issued or deemed issued, by the Company in connection with or in relation to the consummation of a Business Combination, excluding any shares of Class A common stock or equity- linked securities or rights exercisable for or convertible into shares of Class A common stock issued, or to be issued, to any seller in a Business Combination and any Private Placement Units issued to the Sponsor, officers or directors upon conversion of Working Capital Loans, provided that such conversion of Founder Shares will never occur on a less than one-for-one basis.</w:t>
      </w:r>
    </w:p>
    <w:p>
      <w:pPr>
        <w:spacing w:after="0" w:line="120"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 Public Warrants may only be exercised for a whole number of shares. No fractional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will be issued upon separation of the Units and only whole warrants will trade. The Public Warrants will become exercisable on the later of (a) 30 days after the completion of a Business Combination and (b) 12 months from the closing of the Proposed Public Offering. The Public Warrants will expire five years after the completion of a Business Combination or earlier upon redemption or liquidation.</w:t>
      </w:r>
    </w:p>
    <w:p>
      <w:pPr>
        <w:spacing w:after="0" w:line="93"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current prospectus relating thereto is current, subject to the Company satisfying its obligations with respect to registration. No warrant will be exercisable and the Company will not be obligated to issue shares of Class A common stock upon exercise of a warrant unless the shares of Class A common stock issuable upon such warrant exercise has been registered, qualified or deemed to be exempt under the securities laws of the state of residence of the registered holder of the warrants.</w:t>
      </w:r>
    </w:p>
    <w:p>
      <w:pPr>
        <w:spacing w:after="0" w:line="113" w:lineRule="exact"/>
        <w:rPr>
          <w:sz w:val="20"/>
          <w:szCs w:val="20"/>
          <w:color w:val="auto"/>
        </w:rPr>
      </w:pPr>
    </w:p>
    <w:p>
      <w:pPr>
        <w:ind w:left="1260" w:right="699" w:firstLine="360"/>
        <w:spacing w:after="0" w:line="250"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w:t>
      </w:r>
    </w:p>
    <w:p>
      <w:pPr>
        <w:spacing w:after="0" w:line="1" w:lineRule="exact"/>
        <w:rPr>
          <w:sz w:val="20"/>
          <w:szCs w:val="20"/>
          <w:color w:val="auto"/>
        </w:rPr>
      </w:pPr>
    </w:p>
    <w:p>
      <w:pPr>
        <w:ind w:left="1260" w:right="739" w:firstLine="2"/>
        <w:spacing w:after="0" w:line="239" w:lineRule="auto"/>
        <w:tabs>
          <w:tab w:leader="none" w:pos="1529" w:val="left"/>
        </w:tabs>
        <w:numPr>
          <w:ilvl w:val="0"/>
          <w:numId w:val="94"/>
        </w:numPr>
        <w:rPr>
          <w:rFonts w:ascii="Arial" w:cs="Arial" w:eastAsia="Arial" w:hAnsi="Arial"/>
          <w:sz w:val="18"/>
          <w:szCs w:val="18"/>
          <w:color w:val="auto"/>
        </w:rPr>
      </w:pPr>
      <w:r>
        <w:rPr>
          <w:rFonts w:ascii="Arial" w:cs="Arial" w:eastAsia="Arial" w:hAnsi="Arial"/>
          <w:sz w:val="18"/>
          <w:szCs w:val="18"/>
          <w:color w:val="auto"/>
        </w:rPr>
        <w:t>of the Securities Act, the Company may, at its option, require holders of Public Warrants who exercise their Public Warrants to do so on a “cashless basis” in accordance with Section 3(a)(9) of the Securities Act and, in the event</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HIGHCAPE CAPITAL ACQUISITION CORP.</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1260" w:right="939"/>
        <w:spacing w:after="0" w:line="263" w:lineRule="auto"/>
        <w:rPr>
          <w:sz w:val="20"/>
          <w:szCs w:val="20"/>
          <w:color w:val="auto"/>
        </w:rPr>
      </w:pPr>
      <w:r>
        <w:rPr>
          <w:rFonts w:ascii="Arial" w:cs="Arial" w:eastAsia="Arial" w:hAnsi="Arial"/>
          <w:sz w:val="18"/>
          <w:szCs w:val="18"/>
          <w:color w:val="auto"/>
        </w:rPr>
        <w:t>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117" w:lineRule="exact"/>
        <w:rPr>
          <w:sz w:val="20"/>
          <w:szCs w:val="20"/>
          <w:color w:val="auto"/>
        </w:rPr>
      </w:pPr>
    </w:p>
    <w:p>
      <w:pPr>
        <w:ind w:left="1800" w:hanging="178"/>
        <w:spacing w:after="0"/>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49" w:lineRule="exact"/>
        <w:rPr>
          <w:rFonts w:ascii="Arial" w:cs="Arial" w:eastAsia="Arial" w:hAnsi="Arial"/>
          <w:sz w:val="18"/>
          <w:szCs w:val="18"/>
          <w:color w:val="auto"/>
        </w:rPr>
      </w:pPr>
    </w:p>
    <w:p>
      <w:pPr>
        <w:ind w:left="1800" w:hanging="178"/>
        <w:spacing w:after="0"/>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49" w:lineRule="exact"/>
        <w:rPr>
          <w:rFonts w:ascii="Arial" w:cs="Arial" w:eastAsia="Arial" w:hAnsi="Arial"/>
          <w:sz w:val="18"/>
          <w:szCs w:val="18"/>
          <w:color w:val="auto"/>
        </w:rPr>
      </w:pPr>
    </w:p>
    <w:p>
      <w:pPr>
        <w:ind w:left="1800" w:right="879" w:hanging="178"/>
        <w:spacing w:after="0" w:line="266" w:lineRule="auto"/>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ind w:left="1800" w:right="739" w:hanging="178"/>
        <w:spacing w:after="0" w:line="259" w:lineRule="auto"/>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19" w:lineRule="exact"/>
        <w:rPr>
          <w:sz w:val="20"/>
          <w:szCs w:val="20"/>
          <w:color w:val="auto"/>
        </w:rPr>
      </w:pPr>
    </w:p>
    <w:p>
      <w:pPr>
        <w:ind w:left="1260" w:right="1339" w:firstLine="360"/>
        <w:spacing w:after="0" w:line="263"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15"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The Private Placement Warrants will be identical to the Public Warrants underlying the Units being sold in the Proposed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Subsequent Events</w:t>
      </w:r>
    </w:p>
    <w:p>
      <w:pPr>
        <w:spacing w:after="0" w:line="162"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July 2, 2020, the date that the financial statements were available to be issued. Based upon this review, the Company did not identify any subsequent events that would have required adjustment or disclosure in the financial statements.</w:t>
      </w: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520065</wp:posOffset>
            </wp:positionV>
            <wp:extent cx="5212080" cy="774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2080" cy="7747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60" w:right="60" w:firstLine="360"/>
        <w:spacing w:after="0" w:line="254" w:lineRule="auto"/>
        <w:rPr>
          <w:sz w:val="20"/>
          <w:szCs w:val="20"/>
          <w:color w:val="auto"/>
        </w:rPr>
      </w:pPr>
      <w:r>
        <w:rPr>
          <w:rFonts w:ascii="Arial" w:cs="Arial" w:eastAsia="Arial" w:hAnsi="Arial"/>
          <w:sz w:val="18"/>
          <w:szCs w:val="18"/>
          <w:color w:val="auto"/>
        </w:rPr>
        <w:t>Until , 2020 (25 days after the date of this prospectus), all dealers that buy, sell or trade our Class A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87630</wp:posOffset>
            </wp:positionV>
            <wp:extent cx="123444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9"/>
        </w:trPr>
        <w:tc>
          <w:tcPr>
            <w:tcW w:w="3680" w:type="dxa"/>
            <w:vAlign w:val="bottom"/>
            <w:gridSpan w:val="9"/>
            <w:shd w:val="clear" w:color="auto" w:fill="CCEEFF"/>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Summary</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1</w:t>
              </w:r>
            </w:hyperlink>
          </w:p>
        </w:tc>
      </w:tr>
      <w:tr>
        <w:trPr>
          <w:trHeight w:val="243"/>
        </w:trPr>
        <w:tc>
          <w:tcPr>
            <w:tcW w:w="3680" w:type="dxa"/>
            <w:vAlign w:val="bottom"/>
            <w:gridSpan w:val="9"/>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Summary Financial Data</w:t>
              </w:r>
            </w:hyperlink>
          </w:p>
        </w:tc>
        <w:tc>
          <w:tcPr>
            <w:tcW w:w="32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32</w:t>
              </w:r>
            </w:hyperlink>
          </w:p>
        </w:tc>
      </w:tr>
      <w:tr>
        <w:trPr>
          <w:trHeight w:val="243"/>
        </w:trPr>
        <w:tc>
          <w:tcPr>
            <w:tcW w:w="3680" w:type="dxa"/>
            <w:vAlign w:val="bottom"/>
            <w:gridSpan w:val="9"/>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33</w:t>
              </w:r>
            </w:hyperlink>
          </w:p>
        </w:tc>
      </w:tr>
      <w:tr>
        <w:trPr>
          <w:trHeight w:val="203"/>
        </w:trPr>
        <w:tc>
          <w:tcPr>
            <w:tcW w:w="2840" w:type="dxa"/>
            <w:vAlign w:val="bottom"/>
            <w:tcBorders>
              <w:bottom w:val="single" w:sz="8" w:color="0000EE"/>
            </w:tcBorders>
            <w:gridSpan w:val="6"/>
          </w:tcPr>
          <w:p>
            <w:pPr>
              <w:spacing w:after="0" w:line="202" w:lineRule="exact"/>
              <w:rPr>
                <w:rFonts w:ascii="Arial" w:cs="Arial" w:eastAsia="Arial" w:hAnsi="Arial"/>
                <w:sz w:val="18"/>
                <w:szCs w:val="18"/>
                <w:color w:val="0000EE"/>
                <w:w w:val="95"/>
              </w:rPr>
            </w:pPr>
            <w:hyperlink w:anchor="page65">
              <w:r>
                <w:rPr>
                  <w:rFonts w:ascii="Arial" w:cs="Arial" w:eastAsia="Arial" w:hAnsi="Arial"/>
                  <w:sz w:val="18"/>
                  <w:szCs w:val="18"/>
                  <w:color w:val="0000EE"/>
                  <w:w w:val="95"/>
                </w:rPr>
                <w:t>Cautionary Note Regarding Forward-</w:t>
              </w:r>
            </w:hyperlink>
          </w:p>
        </w:tc>
        <w:tc>
          <w:tcPr>
            <w:tcW w:w="8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500" w:type="dxa"/>
            <w:vAlign w:val="bottom"/>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Looking Statements</w:t>
              </w:r>
            </w:hyperlink>
          </w:p>
        </w:tc>
        <w:tc>
          <w:tcPr>
            <w:tcW w:w="320" w:type="dxa"/>
            <w:vAlign w:val="bottom"/>
          </w:tcPr>
          <w:p>
            <w:pPr>
              <w:jc w:val="right"/>
              <w:spacing w:after="0" w:line="196" w:lineRule="exact"/>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64</w:t>
              </w:r>
            </w:hyperlink>
          </w:p>
        </w:tc>
      </w:tr>
      <w:tr>
        <w:trPr>
          <w:trHeight w:val="21"/>
        </w:trPr>
        <w:tc>
          <w:tcPr>
            <w:tcW w:w="1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3"/>
        </w:trPr>
        <w:tc>
          <w:tcPr>
            <w:tcW w:w="3680" w:type="dxa"/>
            <w:vAlign w:val="bottom"/>
            <w:gridSpan w:val="9"/>
            <w:shd w:val="clear" w:color="auto" w:fill="CCEEFF"/>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Use of Proceeds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65</w:t>
              </w:r>
            </w:hyperlink>
          </w:p>
        </w:tc>
      </w:tr>
      <w:tr>
        <w:trPr>
          <w:trHeight w:val="243"/>
        </w:trPr>
        <w:tc>
          <w:tcPr>
            <w:tcW w:w="3680" w:type="dxa"/>
            <w:vAlign w:val="bottom"/>
            <w:gridSpan w:val="9"/>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Dividend Policy</w:t>
              </w:r>
            </w:hyperlink>
          </w:p>
        </w:tc>
        <w:tc>
          <w:tcPr>
            <w:tcW w:w="320" w:type="dxa"/>
            <w:vAlign w:val="bottom"/>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68</w:t>
              </w:r>
            </w:hyperlink>
          </w:p>
        </w:tc>
      </w:tr>
      <w:tr>
        <w:trPr>
          <w:trHeight w:val="243"/>
        </w:trPr>
        <w:tc>
          <w:tcPr>
            <w:tcW w:w="3680" w:type="dxa"/>
            <w:vAlign w:val="bottom"/>
            <w:gridSpan w:val="9"/>
            <w:shd w:val="clear" w:color="auto" w:fill="CCEEFF"/>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Dilution</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69</w:t>
              </w:r>
            </w:hyperlink>
          </w:p>
        </w:tc>
      </w:tr>
      <w:tr>
        <w:trPr>
          <w:trHeight w:val="243"/>
        </w:trPr>
        <w:tc>
          <w:tcPr>
            <w:tcW w:w="3680" w:type="dxa"/>
            <w:vAlign w:val="bottom"/>
            <w:gridSpan w:val="9"/>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Capitalization</w:t>
              </w:r>
            </w:hyperlink>
          </w:p>
        </w:tc>
        <w:tc>
          <w:tcPr>
            <w:tcW w:w="320" w:type="dxa"/>
            <w:vAlign w:val="bottom"/>
          </w:tcPr>
          <w:p>
            <w:pPr>
              <w:jc w:val="right"/>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71</w:t>
              </w:r>
            </w:hyperlink>
          </w:p>
        </w:tc>
      </w:tr>
      <w:tr>
        <w:trPr>
          <w:trHeight w:val="203"/>
        </w:trPr>
        <w:tc>
          <w:tcPr>
            <w:tcW w:w="322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94"/>
              </w:rPr>
            </w:pPr>
            <w:hyperlink w:anchor="page73">
              <w:r>
                <w:rPr>
                  <w:rFonts w:ascii="Arial" w:cs="Arial" w:eastAsia="Arial" w:hAnsi="Arial"/>
                  <w:sz w:val="18"/>
                  <w:szCs w:val="18"/>
                  <w:color w:val="0000EE"/>
                  <w:w w:val="94"/>
                </w:rPr>
                <w:t>Management’s Discussion and Analysis of</w:t>
              </w:r>
            </w:hyperlink>
          </w:p>
        </w:tc>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64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5"/>
              </w:rPr>
            </w:pPr>
            <w:hyperlink w:anchor="page73">
              <w:r>
                <w:rPr>
                  <w:rFonts w:ascii="Arial" w:cs="Arial" w:eastAsia="Arial" w:hAnsi="Arial"/>
                  <w:sz w:val="18"/>
                  <w:szCs w:val="18"/>
                  <w:color w:val="0000EE"/>
                  <w:w w:val="95"/>
                </w:rPr>
                <w:t>Financial Condition and Results of</w:t>
              </w:r>
            </w:hyperlink>
          </w:p>
        </w:tc>
        <w:tc>
          <w:tcPr>
            <w:tcW w:w="860" w:type="dxa"/>
            <w:vAlign w:val="bottom"/>
            <w:tcBorders>
              <w:bottom w:val="single" w:sz="8" w:color="CCEEFF"/>
            </w:tcBorders>
            <w:gridSpan w:val="4"/>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3500" w:type="dxa"/>
            <w:vAlign w:val="bottom"/>
            <w:gridSpan w:val="8"/>
            <w:shd w:val="clear" w:color="auto" w:fill="CCEEFF"/>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Operations</w:t>
              </w:r>
            </w:hyperlink>
          </w:p>
        </w:tc>
        <w:tc>
          <w:tcPr>
            <w:tcW w:w="320" w:type="dxa"/>
            <w:vAlign w:val="bottom"/>
            <w:shd w:val="clear" w:color="auto" w:fill="CCEEFF"/>
          </w:tcPr>
          <w:p>
            <w:pPr>
              <w:jc w:val="right"/>
              <w:spacing w:after="0" w:line="196" w:lineRule="exact"/>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72</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3680" w:type="dxa"/>
            <w:vAlign w:val="bottom"/>
            <w:gridSpan w:val="9"/>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Proposed Business</w:t>
              </w:r>
            </w:hyperlink>
          </w:p>
        </w:tc>
        <w:tc>
          <w:tcPr>
            <w:tcW w:w="320" w:type="dxa"/>
            <w:vAlign w:val="bottom"/>
          </w:tcPr>
          <w:p>
            <w:pPr>
              <w:jc w:val="right"/>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77</w:t>
              </w:r>
            </w:hyperlink>
          </w:p>
        </w:tc>
      </w:tr>
      <w:tr>
        <w:trPr>
          <w:trHeight w:val="243"/>
        </w:trPr>
        <w:tc>
          <w:tcPr>
            <w:tcW w:w="3680" w:type="dxa"/>
            <w:vAlign w:val="bottom"/>
            <w:gridSpan w:val="9"/>
            <w:shd w:val="clear" w:color="auto" w:fill="CCEEFF"/>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Management</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109">
              <w:r>
                <w:rPr>
                  <w:rFonts w:ascii="Arial" w:cs="Arial" w:eastAsia="Arial" w:hAnsi="Arial"/>
                  <w:sz w:val="18"/>
                  <w:szCs w:val="18"/>
                  <w:u w:val="single" w:color="auto"/>
                  <w:color w:val="0000EE"/>
                  <w:w w:val="93"/>
                </w:rPr>
                <w:t>108</w:t>
              </w:r>
            </w:hyperlink>
          </w:p>
        </w:tc>
      </w:tr>
      <w:tr>
        <w:trPr>
          <w:trHeight w:val="243"/>
        </w:trPr>
        <w:tc>
          <w:tcPr>
            <w:tcW w:w="3680" w:type="dxa"/>
            <w:vAlign w:val="bottom"/>
            <w:gridSpan w:val="9"/>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Principal Stockholders</w:t>
              </w:r>
            </w:hyperlink>
          </w:p>
        </w:tc>
        <w:tc>
          <w:tcPr>
            <w:tcW w:w="320" w:type="dxa"/>
            <w:vAlign w:val="bottom"/>
          </w:tcPr>
          <w:p>
            <w:pPr>
              <w:jc w:val="right"/>
              <w:spacing w:after="0"/>
              <w:rPr>
                <w:rFonts w:ascii="Arial" w:cs="Arial" w:eastAsia="Arial" w:hAnsi="Arial"/>
                <w:sz w:val="18"/>
                <w:szCs w:val="18"/>
                <w:u w:val="single" w:color="auto"/>
                <w:color w:val="0000EE"/>
                <w:w w:val="93"/>
              </w:rPr>
            </w:pPr>
            <w:hyperlink w:anchor="page117">
              <w:r>
                <w:rPr>
                  <w:rFonts w:ascii="Arial" w:cs="Arial" w:eastAsia="Arial" w:hAnsi="Arial"/>
                  <w:sz w:val="18"/>
                  <w:szCs w:val="18"/>
                  <w:u w:val="single" w:color="auto"/>
                  <w:color w:val="0000EE"/>
                  <w:w w:val="93"/>
                </w:rPr>
                <w:t>116</w:t>
              </w:r>
            </w:hyperlink>
          </w:p>
        </w:tc>
      </w:tr>
      <w:tr>
        <w:trPr>
          <w:trHeight w:val="203"/>
        </w:trPr>
        <w:tc>
          <w:tcPr>
            <w:tcW w:w="3020" w:type="dxa"/>
            <w:vAlign w:val="bottom"/>
            <w:tcBorders>
              <w:bottom w:val="single" w:sz="8" w:color="0000EE"/>
            </w:tcBorders>
            <w:gridSpan w:val="7"/>
            <w:shd w:val="clear" w:color="auto" w:fill="CCEEFF"/>
          </w:tcPr>
          <w:p>
            <w:pPr>
              <w:spacing w:after="0" w:line="202"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Certain Relationships and Related Party</w:t>
              </w:r>
            </w:hyperlink>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r>
      <w:tr>
        <w:trPr>
          <w:trHeight w:val="217"/>
        </w:trPr>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Transactions</w:t>
              </w:r>
            </w:hyperlink>
          </w:p>
        </w:tc>
        <w:tc>
          <w:tcPr>
            <w:tcW w:w="2540" w:type="dxa"/>
            <w:vAlign w:val="bottom"/>
            <w:tcBorders>
              <w:bottom w:val="single" w:sz="8" w:color="CCEEFF"/>
            </w:tcBorders>
            <w:gridSpan w:val="6"/>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w w:val="93"/>
              </w:rPr>
            </w:pPr>
            <w:hyperlink w:anchor="page120">
              <w:r>
                <w:rPr>
                  <w:rFonts w:ascii="Arial" w:cs="Arial" w:eastAsia="Arial" w:hAnsi="Arial"/>
                  <w:sz w:val="18"/>
                  <w:szCs w:val="18"/>
                  <w:u w:val="single" w:color="auto"/>
                  <w:color w:val="0000EE"/>
                  <w:w w:val="93"/>
                </w:rPr>
                <w:t>119</w:t>
              </w:r>
            </w:hyperlink>
          </w:p>
        </w:tc>
      </w:tr>
      <w:tr>
        <w:trPr>
          <w:trHeight w:val="243"/>
        </w:trPr>
        <w:tc>
          <w:tcPr>
            <w:tcW w:w="3680" w:type="dxa"/>
            <w:vAlign w:val="bottom"/>
            <w:gridSpan w:val="9"/>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Description of Securities</w:t>
              </w:r>
            </w:hyperlink>
          </w:p>
        </w:tc>
        <w:tc>
          <w:tcPr>
            <w:tcW w:w="320" w:type="dxa"/>
            <w:vAlign w:val="bottom"/>
          </w:tcPr>
          <w:p>
            <w:pPr>
              <w:jc w:val="right"/>
              <w:spacing w:after="0"/>
              <w:rPr>
                <w:rFonts w:ascii="Arial" w:cs="Arial" w:eastAsia="Arial" w:hAnsi="Arial"/>
                <w:sz w:val="18"/>
                <w:szCs w:val="18"/>
                <w:u w:val="single" w:color="auto"/>
                <w:color w:val="0000EE"/>
                <w:w w:val="93"/>
              </w:rPr>
            </w:pPr>
            <w:hyperlink w:anchor="page122">
              <w:r>
                <w:rPr>
                  <w:rFonts w:ascii="Arial" w:cs="Arial" w:eastAsia="Arial" w:hAnsi="Arial"/>
                  <w:sz w:val="18"/>
                  <w:szCs w:val="18"/>
                  <w:u w:val="single" w:color="auto"/>
                  <w:color w:val="0000EE"/>
                  <w:w w:val="93"/>
                </w:rPr>
                <w:t>121</w:t>
              </w:r>
            </w:hyperlink>
          </w:p>
        </w:tc>
      </w:tr>
      <w:tr>
        <w:trPr>
          <w:trHeight w:val="243"/>
        </w:trPr>
        <w:tc>
          <w:tcPr>
            <w:tcW w:w="3680" w:type="dxa"/>
            <w:vAlign w:val="bottom"/>
            <w:gridSpan w:val="9"/>
            <w:shd w:val="clear" w:color="auto" w:fill="CCEEFF"/>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U.S. Federal Income Tax Considerations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137">
              <w:r>
                <w:rPr>
                  <w:rFonts w:ascii="Arial" w:cs="Arial" w:eastAsia="Arial" w:hAnsi="Arial"/>
                  <w:sz w:val="18"/>
                  <w:szCs w:val="18"/>
                  <w:u w:val="single" w:color="auto"/>
                  <w:color w:val="0000EE"/>
                  <w:w w:val="93"/>
                </w:rPr>
                <w:t>136</w:t>
              </w:r>
            </w:hyperlink>
          </w:p>
        </w:tc>
      </w:tr>
      <w:tr>
        <w:trPr>
          <w:trHeight w:val="243"/>
        </w:trPr>
        <w:tc>
          <w:tcPr>
            <w:tcW w:w="3680" w:type="dxa"/>
            <w:vAlign w:val="bottom"/>
            <w:gridSpan w:val="9"/>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Underwriting</w:t>
              </w:r>
            </w:hyperlink>
          </w:p>
        </w:tc>
        <w:tc>
          <w:tcPr>
            <w:tcW w:w="320" w:type="dxa"/>
            <w:vAlign w:val="bottom"/>
          </w:tcPr>
          <w:p>
            <w:pPr>
              <w:jc w:val="right"/>
              <w:spacing w:after="0"/>
              <w:rPr>
                <w:rFonts w:ascii="Arial" w:cs="Arial" w:eastAsia="Arial" w:hAnsi="Arial"/>
                <w:sz w:val="18"/>
                <w:szCs w:val="18"/>
                <w:u w:val="single" w:color="auto"/>
                <w:color w:val="0000EE"/>
                <w:w w:val="93"/>
              </w:rPr>
            </w:pPr>
            <w:hyperlink w:anchor="page145">
              <w:r>
                <w:rPr>
                  <w:rFonts w:ascii="Arial" w:cs="Arial" w:eastAsia="Arial" w:hAnsi="Arial"/>
                  <w:sz w:val="18"/>
                  <w:szCs w:val="18"/>
                  <w:u w:val="single" w:color="auto"/>
                  <w:color w:val="0000EE"/>
                  <w:w w:val="93"/>
                </w:rPr>
                <w:t>144</w:t>
              </w:r>
            </w:hyperlink>
          </w:p>
        </w:tc>
      </w:tr>
      <w:tr>
        <w:trPr>
          <w:trHeight w:val="243"/>
        </w:trPr>
        <w:tc>
          <w:tcPr>
            <w:tcW w:w="3680" w:type="dxa"/>
            <w:vAlign w:val="bottom"/>
            <w:gridSpan w:val="9"/>
            <w:shd w:val="clear" w:color="auto" w:fill="CCEEFF"/>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Legal Matters</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w w:val="93"/>
              </w:rPr>
            </w:pPr>
            <w:hyperlink w:anchor="page152">
              <w:r>
                <w:rPr>
                  <w:rFonts w:ascii="Arial" w:cs="Arial" w:eastAsia="Arial" w:hAnsi="Arial"/>
                  <w:sz w:val="18"/>
                  <w:szCs w:val="18"/>
                  <w:u w:val="single" w:color="auto"/>
                  <w:color w:val="0000EE"/>
                  <w:w w:val="93"/>
                </w:rPr>
                <w:t>151</w:t>
              </w:r>
            </w:hyperlink>
          </w:p>
        </w:tc>
      </w:tr>
      <w:tr>
        <w:trPr>
          <w:trHeight w:val="243"/>
        </w:trPr>
        <w:tc>
          <w:tcPr>
            <w:tcW w:w="3680" w:type="dxa"/>
            <w:vAlign w:val="bottom"/>
            <w:gridSpan w:val="9"/>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Experts</w:t>
              </w:r>
            </w:hyperlink>
          </w:p>
        </w:tc>
        <w:tc>
          <w:tcPr>
            <w:tcW w:w="320" w:type="dxa"/>
            <w:vAlign w:val="bottom"/>
          </w:tcPr>
          <w:p>
            <w:pPr>
              <w:jc w:val="right"/>
              <w:spacing w:after="0"/>
              <w:rPr>
                <w:rFonts w:ascii="Arial" w:cs="Arial" w:eastAsia="Arial" w:hAnsi="Arial"/>
                <w:sz w:val="18"/>
                <w:szCs w:val="18"/>
                <w:u w:val="single" w:color="auto"/>
                <w:color w:val="0000EE"/>
                <w:w w:val="93"/>
              </w:rPr>
            </w:pPr>
            <w:hyperlink w:anchor="page152">
              <w:r>
                <w:rPr>
                  <w:rFonts w:ascii="Arial" w:cs="Arial" w:eastAsia="Arial" w:hAnsi="Arial"/>
                  <w:sz w:val="18"/>
                  <w:szCs w:val="18"/>
                  <w:u w:val="single" w:color="auto"/>
                  <w:color w:val="0000EE"/>
                  <w:w w:val="93"/>
                </w:rPr>
                <w:t>151</w:t>
              </w:r>
            </w:hyperlink>
          </w:p>
        </w:tc>
      </w:tr>
      <w:tr>
        <w:trPr>
          <w:trHeight w:val="243"/>
        </w:trPr>
        <w:tc>
          <w:tcPr>
            <w:tcW w:w="3680" w:type="dxa"/>
            <w:vAlign w:val="bottom"/>
            <w:gridSpan w:val="9"/>
            <w:shd w:val="clear" w:color="auto" w:fill="CCEEFF"/>
          </w:tcPr>
          <w:p>
            <w:pPr>
              <w:spacing w:after="0"/>
              <w:rPr>
                <w:rFonts w:ascii="Arial" w:cs="Arial" w:eastAsia="Arial" w:hAnsi="Arial"/>
                <w:sz w:val="18"/>
                <w:szCs w:val="18"/>
                <w:u w:val="single" w:color="auto"/>
                <w:color w:val="0000EE"/>
                <w:shd w:val="clear" w:color="auto" w:fill="CCEEFF"/>
              </w:rPr>
            </w:pPr>
            <w:hyperlink w:anchor="page152">
              <w:r>
                <w:rPr>
                  <w:rFonts w:ascii="Arial" w:cs="Arial" w:eastAsia="Arial" w:hAnsi="Arial"/>
                  <w:sz w:val="18"/>
                  <w:szCs w:val="18"/>
                  <w:u w:val="single" w:color="auto"/>
                  <w:color w:val="0000EE"/>
                  <w:shd w:val="clear" w:color="auto" w:fill="CCEEFF"/>
                </w:rPr>
                <w:t>Where You Can Find Additional Information</w:t>
              </w:r>
            </w:hyperlink>
          </w:p>
        </w:tc>
        <w:tc>
          <w:tcPr>
            <w:tcW w:w="320" w:type="dxa"/>
            <w:vAlign w:val="bottom"/>
            <w:shd w:val="clear" w:color="auto" w:fill="CCEEFF"/>
          </w:tcPr>
          <w:p>
            <w:pPr>
              <w:jc w:val="right"/>
              <w:spacing w:after="0"/>
              <w:rPr>
                <w:rFonts w:ascii="Arial" w:cs="Arial" w:eastAsia="Arial" w:hAnsi="Arial"/>
                <w:sz w:val="18"/>
                <w:szCs w:val="18"/>
                <w:u w:val="single" w:color="auto"/>
                <w:color w:val="0000EE"/>
                <w:w w:val="93"/>
                <w:shd w:val="clear" w:color="auto" w:fill="CCEEFF"/>
              </w:rPr>
            </w:pPr>
            <w:hyperlink w:anchor="page152">
              <w:r>
                <w:rPr>
                  <w:rFonts w:ascii="Arial" w:cs="Arial" w:eastAsia="Arial" w:hAnsi="Arial"/>
                  <w:sz w:val="18"/>
                  <w:szCs w:val="18"/>
                  <w:u w:val="single" w:color="auto"/>
                  <w:color w:val="0000EE"/>
                  <w:w w:val="93"/>
                  <w:shd w:val="clear" w:color="auto" w:fill="CCEEFF"/>
                </w:rPr>
                <w:t>151</w:t>
              </w:r>
            </w:hyperlink>
          </w:p>
        </w:tc>
      </w:tr>
      <w:tr>
        <w:trPr>
          <w:trHeight w:val="257"/>
        </w:trPr>
        <w:tc>
          <w:tcPr>
            <w:tcW w:w="3680" w:type="dxa"/>
            <w:vAlign w:val="bottom"/>
            <w:gridSpan w:val="9"/>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Index to Financial Statements</w:t>
              </w:r>
            </w:hyperlink>
          </w:p>
        </w:tc>
        <w:tc>
          <w:tcPr>
            <w:tcW w:w="320" w:type="dxa"/>
            <w:vAlign w:val="bottom"/>
          </w:tcPr>
          <w:p>
            <w:pPr>
              <w:jc w:val="right"/>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F-1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-3642995</wp:posOffset>
            </wp:positionV>
            <wp:extent cx="23317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102870</wp:posOffset>
            </wp:positionV>
            <wp:extent cx="12344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6" w:lineRule="exact"/>
        <w:rPr>
          <w:sz w:val="20"/>
          <w:szCs w:val="20"/>
          <w:color w:val="auto"/>
        </w:rPr>
      </w:pPr>
    </w:p>
    <w:p>
      <w:pPr>
        <w:ind w:left="1260" w:right="40" w:firstLine="360"/>
        <w:spacing w:after="0" w:line="252" w:lineRule="auto"/>
        <w:rPr>
          <w:sz w:val="20"/>
          <w:szCs w:val="20"/>
          <w:color w:val="auto"/>
        </w:rPr>
      </w:pPr>
      <w:r>
        <w:rPr>
          <w:rFonts w:ascii="Arial" w:cs="Arial" w:eastAsia="Arial" w:hAnsi="Arial"/>
          <w:sz w:val="18"/>
          <w:szCs w:val="18"/>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118745</wp:posOffset>
            </wp:positionV>
            <wp:extent cx="25374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374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161925</wp:posOffset>
            </wp:positionV>
            <wp:extent cx="2537460"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53746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320"/>
        <w:spacing w:after="0"/>
        <w:rPr>
          <w:sz w:val="20"/>
          <w:szCs w:val="20"/>
          <w:color w:val="auto"/>
        </w:rPr>
      </w:pPr>
      <w:r>
        <w:rPr>
          <w:rFonts w:ascii="Arial" w:cs="Arial" w:eastAsia="Arial" w:hAnsi="Arial"/>
          <w:sz w:val="25"/>
          <w:szCs w:val="25"/>
          <w:b w:val="1"/>
          <w:bCs w:val="1"/>
          <w:color w:val="auto"/>
        </w:rPr>
        <w:t>$100,000,000</w:t>
      </w:r>
    </w:p>
    <w:p>
      <w:pPr>
        <w:spacing w:after="0" w:line="200" w:lineRule="exact"/>
        <w:rPr>
          <w:sz w:val="20"/>
          <w:szCs w:val="20"/>
          <w:color w:val="auto"/>
        </w:rPr>
      </w:pPr>
    </w:p>
    <w:p>
      <w:pPr>
        <w:spacing w:after="0" w:line="210" w:lineRule="exact"/>
        <w:rPr>
          <w:sz w:val="20"/>
          <w:szCs w:val="20"/>
          <w:color w:val="auto"/>
        </w:rPr>
      </w:pPr>
    </w:p>
    <w:p>
      <w:pPr>
        <w:jc w:val="center"/>
        <w:ind w:right="659"/>
        <w:spacing w:after="0" w:line="263" w:lineRule="auto"/>
        <w:rPr>
          <w:sz w:val="20"/>
          <w:szCs w:val="20"/>
          <w:color w:val="auto"/>
        </w:rPr>
      </w:pPr>
      <w:r>
        <w:rPr>
          <w:rFonts w:ascii="Arial" w:cs="Arial" w:eastAsia="Arial" w:hAnsi="Arial"/>
          <w:sz w:val="32"/>
          <w:szCs w:val="32"/>
          <w:b w:val="1"/>
          <w:bCs w:val="1"/>
          <w:color w:val="auto"/>
        </w:rPr>
        <w:t>HighCape Capital Acquisition Corp.</w:t>
      </w:r>
    </w:p>
    <w:p>
      <w:pPr>
        <w:spacing w:after="0" w:line="346" w:lineRule="exact"/>
        <w:rPr>
          <w:sz w:val="20"/>
          <w:szCs w:val="20"/>
          <w:color w:val="auto"/>
        </w:rPr>
      </w:pPr>
    </w:p>
    <w:p>
      <w:pPr>
        <w:ind w:left="1140"/>
        <w:spacing w:after="0"/>
        <w:rPr>
          <w:sz w:val="20"/>
          <w:szCs w:val="20"/>
          <w:color w:val="auto"/>
        </w:rPr>
      </w:pPr>
      <w:r>
        <w:rPr>
          <w:rFonts w:ascii="Arial" w:cs="Arial" w:eastAsia="Arial" w:hAnsi="Arial"/>
          <w:sz w:val="25"/>
          <w:szCs w:val="25"/>
          <w:b w:val="1"/>
          <w:bCs w:val="1"/>
          <w:color w:val="auto"/>
        </w:rPr>
        <w:t>10,000,000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1452245</wp:posOffset>
            </wp:positionV>
            <wp:extent cx="123444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165100</wp:posOffset>
            </wp:positionV>
            <wp:extent cx="123444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520"/>
        <w:spacing w:after="0"/>
        <w:rPr>
          <w:sz w:val="20"/>
          <w:szCs w:val="20"/>
          <w:color w:val="auto"/>
        </w:rPr>
      </w:pPr>
      <w:r>
        <w:rPr>
          <w:rFonts w:ascii="Arial" w:cs="Arial" w:eastAsia="Arial" w:hAnsi="Arial"/>
          <w:sz w:val="32"/>
          <w:szCs w:val="32"/>
          <w:b w:val="1"/>
          <w:bCs w:val="1"/>
          <w:color w:val="auto"/>
        </w:rPr>
        <w:t>Cantor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1405890</wp:posOffset>
            </wp:positionV>
            <wp:extent cx="68065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737235</wp:posOffset>
            </wp:positionV>
            <wp:extent cx="25374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3746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780415</wp:posOffset>
            </wp:positionV>
            <wp:extent cx="25374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ectPr>
          <w:pgSz w:w="11900" w:h="16838" w:orient="portrait"/>
          <w:cols w:equalWidth="0" w:num="2">
            <w:col w:w="5260" w:space="220"/>
            <w:col w:w="4659"/>
          </w:cols>
          <w:pgMar w:left="320" w:top="132" w:right="1440" w:bottom="1440" w:gutter="0" w:footer="0" w:header="0"/>
          <w:type w:val="continuous"/>
        </w:sectPr>
      </w:pPr>
    </w:p>
    <w:bookmarkStart w:id="169" w:name="page170"/>
    <w:bookmarkEnd w:id="169"/>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INFORMATION NOT REQUIRED IN</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PROSPECTUS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57"/>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FINRA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57"/>
        </w:trPr>
        <w:tc>
          <w:tcPr>
            <w:tcW w:w="360" w:type="dxa"/>
            <w:vAlign w:val="bottom"/>
          </w:tcPr>
          <w:p>
            <w:pPr>
              <w:spacing w:after="0"/>
              <w:rPr>
                <w:sz w:val="22"/>
                <w:szCs w:val="22"/>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56"/>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57"/>
        </w:trPr>
        <w:tc>
          <w:tcPr>
            <w:tcW w:w="360" w:type="dxa"/>
            <w:vAlign w:val="bottom"/>
          </w:tcPr>
          <w:p>
            <w:pPr>
              <w:spacing w:after="0"/>
              <w:rPr>
                <w:sz w:val="22"/>
                <w:szCs w:val="22"/>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and road show expenses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57"/>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275,000</w:t>
            </w:r>
          </w:p>
        </w:tc>
      </w:tr>
      <w:tr>
        <w:trPr>
          <w:trHeight w:val="257"/>
        </w:trPr>
        <w:tc>
          <w:tcPr>
            <w:tcW w:w="360" w:type="dxa"/>
            <w:vAlign w:val="bottom"/>
          </w:tcPr>
          <w:p>
            <w:pPr>
              <w:spacing w:after="0"/>
              <w:rPr>
                <w:sz w:val="22"/>
                <w:szCs w:val="22"/>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70"/>
        </w:trPr>
        <w:tc>
          <w:tcPr>
            <w:tcW w:w="360" w:type="dxa"/>
            <w:vAlign w:val="bottom"/>
          </w:tcPr>
          <w:p>
            <w:pPr>
              <w:spacing w:after="0"/>
              <w:rPr>
                <w:sz w:val="23"/>
                <w:szCs w:val="23"/>
                <w:color w:val="auto"/>
              </w:rPr>
            </w:pPr>
          </w:p>
        </w:tc>
        <w:tc>
          <w:tcPr>
            <w:tcW w:w="6660" w:type="dxa"/>
            <w:vAlign w:val="bottom"/>
            <w:gridSpan w:val="2"/>
          </w:tcPr>
          <w:p>
            <w:pPr>
              <w:spacing w:after="0" w:line="270" w:lineRule="exact"/>
              <w:rPr>
                <w:sz w:val="20"/>
                <w:szCs w:val="20"/>
                <w:color w:val="auto"/>
              </w:rPr>
            </w:pPr>
            <w:r>
              <w:rPr>
                <w:rFonts w:ascii="Arial" w:cs="Arial" w:eastAsia="Arial" w:hAnsi="Arial"/>
                <w:sz w:val="18"/>
                <w:szCs w:val="18"/>
                <w:color w:val="auto"/>
              </w:rPr>
              <w:t>Director &amp; Officers liability insurance premiums</w:t>
            </w:r>
            <w:r>
              <w:rPr>
                <w:rFonts w:ascii="Arial" w:cs="Arial" w:eastAsia="Arial" w:hAnsi="Arial"/>
                <w:sz w:val="26"/>
                <w:szCs w:val="26"/>
                <w:color w:val="auto"/>
                <w:vertAlign w:val="superscript"/>
              </w:rPr>
              <w:t>(1)</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77"/>
        </w:trPr>
        <w:tc>
          <w:tcPr>
            <w:tcW w:w="360" w:type="dxa"/>
            <w:vAlign w:val="bottom"/>
          </w:tcPr>
          <w:p>
            <w:pPr>
              <w:spacing w:after="0"/>
              <w:rPr>
                <w:sz w:val="24"/>
                <w:szCs w:val="24"/>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412,000</w:t>
            </w:r>
          </w:p>
        </w:tc>
      </w:tr>
      <w:tr>
        <w:trPr>
          <w:trHeight w:val="277"/>
        </w:trPr>
        <w:tc>
          <w:tcPr>
            <w:tcW w:w="702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1,000,000</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5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202" w:lineRule="exact"/>
        <w:rPr>
          <w:sz w:val="20"/>
          <w:szCs w:val="20"/>
          <w:color w:val="auto"/>
        </w:rPr>
      </w:pPr>
    </w:p>
    <w:p>
      <w:pPr>
        <w:ind w:left="1620" w:right="939" w:hanging="358"/>
        <w:spacing w:after="0" w:line="263" w:lineRule="auto"/>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This amount represents the approximate amount of annual director and officer liability insurance premiums the registrant anticipates paying following the completion of its initial public offering and until it completes an initial business combination.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2"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44" w:lineRule="exact"/>
        <w:rPr>
          <w:sz w:val="20"/>
          <w:szCs w:val="20"/>
          <w:color w:val="auto"/>
        </w:rPr>
      </w:pPr>
    </w:p>
    <w:p>
      <w:pPr>
        <w:ind w:left="1980" w:right="739" w:hanging="358"/>
        <w:spacing w:after="0" w:line="268" w:lineRule="auto"/>
        <w:tabs>
          <w:tab w:leader="none" w:pos="19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2" w:lineRule="exact"/>
        <w:rPr>
          <w:rFonts w:ascii="Arial" w:cs="Arial" w:eastAsia="Arial" w:hAnsi="Arial"/>
          <w:sz w:val="17"/>
          <w:szCs w:val="17"/>
          <w:color w:val="auto"/>
        </w:rPr>
      </w:pPr>
    </w:p>
    <w:p>
      <w:pPr>
        <w:ind w:left="1980" w:right="839" w:hanging="358"/>
        <w:spacing w:after="0" w:line="286" w:lineRule="auto"/>
        <w:tabs>
          <w:tab w:leader="none" w:pos="19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w:t>
      </w:r>
    </w:p>
    <w:p>
      <w:pPr>
        <w:sectPr>
          <w:pgSz w:w="11900" w:h="16838" w:orient="portrait"/>
          <w:cols w:equalWidth="0" w:num="1">
            <w:col w:w="10139"/>
          </w:cols>
          <w:pgMar w:left="320" w:top="132" w:right="1440" w:bottom="1440" w:gutter="0" w:footer="0" w:header="0"/>
        </w:sectPr>
      </w:pP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0" w:name="page171"/>
    <w:bookmarkEnd w:id="170"/>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679"/>
        <w:spacing w:after="0" w:line="237" w:lineRule="auto"/>
        <w:rPr>
          <w:sz w:val="20"/>
          <w:szCs w:val="20"/>
          <w:color w:val="auto"/>
        </w:rPr>
      </w:pPr>
      <w:r>
        <w:rPr>
          <w:rFonts w:ascii="Arial" w:cs="Arial" w:eastAsia="Arial" w:hAnsi="Arial"/>
          <w:sz w:val="18"/>
          <w:szCs w:val="18"/>
          <w:color w:val="auto"/>
        </w:rPr>
        <w:t>director, officer, employee or agent of the corporation, or is or was serving at the request of the corporation as a director, officer, employee or agent of anothercorporation,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12" w:lineRule="exact"/>
        <w:rPr>
          <w:sz w:val="20"/>
          <w:szCs w:val="20"/>
          <w:color w:val="auto"/>
        </w:rPr>
      </w:pPr>
    </w:p>
    <w:p>
      <w:pPr>
        <w:ind w:left="1980" w:right="939" w:hanging="358"/>
        <w:spacing w:after="0" w:line="274" w:lineRule="auto"/>
        <w:tabs>
          <w:tab w:leader="none" w:pos="19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the extent that a present or former director or officer of a corporation has been successful on the merits or otherwise in defense of any action, suit or proceeding referred to in subsections</w:t>
      </w:r>
    </w:p>
    <w:p>
      <w:pPr>
        <w:jc w:val="both"/>
        <w:ind w:left="1980" w:right="759"/>
        <w:spacing w:after="0" w:line="255" w:lineRule="auto"/>
        <w:rPr>
          <w:rFonts w:ascii="Arial" w:cs="Arial" w:eastAsia="Arial" w:hAnsi="Arial"/>
          <w:sz w:val="17"/>
          <w:szCs w:val="17"/>
          <w:color w:val="auto"/>
        </w:rPr>
      </w:pPr>
      <w:r>
        <w:rPr>
          <w:rFonts w:ascii="Arial" w:cs="Arial" w:eastAsia="Arial" w:hAnsi="Arial"/>
          <w:sz w:val="18"/>
          <w:szCs w:val="18"/>
          <w:color w:val="auto"/>
        </w:rPr>
        <w:t>(a) and (b) of this section, or in defense of any claim, issue or matter therein, such person shall be indemnified against expenses (including attorneys’ fees) actually and reasonably incurred by such person in connection therewith.</w:t>
      </w:r>
    </w:p>
    <w:p>
      <w:pPr>
        <w:spacing w:after="0" w:line="108" w:lineRule="exact"/>
        <w:rPr>
          <w:rFonts w:ascii="Arial" w:cs="Arial" w:eastAsia="Arial" w:hAnsi="Arial"/>
          <w:sz w:val="17"/>
          <w:szCs w:val="17"/>
          <w:color w:val="auto"/>
        </w:rPr>
      </w:pPr>
    </w:p>
    <w:p>
      <w:pPr>
        <w:ind w:left="1980" w:right="699" w:hanging="358"/>
        <w:spacing w:after="0" w:line="267" w:lineRule="auto"/>
        <w:tabs>
          <w:tab w:leader="none" w:pos="19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w:t>
      </w:r>
    </w:p>
    <w:p>
      <w:pPr>
        <w:spacing w:after="0" w:line="4" w:lineRule="exact"/>
        <w:rPr>
          <w:rFonts w:ascii="Arial" w:cs="Arial" w:eastAsia="Arial" w:hAnsi="Arial"/>
          <w:sz w:val="17"/>
          <w:szCs w:val="17"/>
          <w:color w:val="auto"/>
        </w:rPr>
      </w:pPr>
    </w:p>
    <w:p>
      <w:pPr>
        <w:ind w:left="1980" w:right="939"/>
        <w:spacing w:after="0" w:line="255" w:lineRule="auto"/>
        <w:rPr>
          <w:rFonts w:ascii="Arial" w:cs="Arial" w:eastAsia="Arial" w:hAnsi="Arial"/>
          <w:sz w:val="17"/>
          <w:szCs w:val="17"/>
          <w:color w:val="auto"/>
        </w:rPr>
      </w:pPr>
      <w:r>
        <w:rPr>
          <w:rFonts w:ascii="Arial" w:cs="Arial" w:eastAsia="Arial" w:hAnsi="Arial"/>
          <w:sz w:val="18"/>
          <w:szCs w:val="18"/>
          <w:color w:val="auto"/>
        </w:rPr>
        <w:t>(2)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22" w:lineRule="exact"/>
        <w:rPr>
          <w:rFonts w:ascii="Arial" w:cs="Arial" w:eastAsia="Arial" w:hAnsi="Arial"/>
          <w:sz w:val="17"/>
          <w:szCs w:val="17"/>
          <w:color w:val="auto"/>
        </w:rPr>
      </w:pPr>
    </w:p>
    <w:p>
      <w:pPr>
        <w:ind w:left="1980" w:right="679" w:hanging="358"/>
        <w:spacing w:after="0" w:line="254" w:lineRule="auto"/>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10" w:lineRule="exact"/>
        <w:rPr>
          <w:rFonts w:ascii="Arial" w:cs="Arial" w:eastAsia="Arial" w:hAnsi="Arial"/>
          <w:sz w:val="18"/>
          <w:szCs w:val="18"/>
          <w:color w:val="auto"/>
        </w:rPr>
      </w:pPr>
    </w:p>
    <w:p>
      <w:pPr>
        <w:ind w:left="1980" w:right="739" w:hanging="358"/>
        <w:spacing w:after="0" w:line="269" w:lineRule="auto"/>
        <w:tabs>
          <w:tab w:leader="none" w:pos="19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14" w:lineRule="exact"/>
        <w:rPr>
          <w:rFonts w:ascii="Arial" w:cs="Arial" w:eastAsia="Arial" w:hAnsi="Arial"/>
          <w:sz w:val="17"/>
          <w:szCs w:val="17"/>
          <w:color w:val="auto"/>
        </w:rPr>
      </w:pPr>
    </w:p>
    <w:p>
      <w:pPr>
        <w:ind w:left="1980" w:right="699" w:hanging="358"/>
        <w:spacing w:after="0" w:line="254" w:lineRule="auto"/>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1" w:name="page172"/>
    <w:bookmarkEnd w:id="171"/>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699" w:hanging="358"/>
        <w:spacing w:after="0" w:line="270" w:lineRule="auto"/>
        <w:tabs>
          <w:tab w:leader="none" w:pos="19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99" w:lineRule="exact"/>
        <w:rPr>
          <w:rFonts w:ascii="Arial" w:cs="Arial" w:eastAsia="Arial" w:hAnsi="Arial"/>
          <w:sz w:val="17"/>
          <w:szCs w:val="17"/>
          <w:color w:val="auto"/>
        </w:rPr>
      </w:pPr>
    </w:p>
    <w:p>
      <w:pPr>
        <w:ind w:left="1980" w:right="679" w:hanging="358"/>
        <w:spacing w:after="0" w:line="253" w:lineRule="auto"/>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8" w:lineRule="exact"/>
        <w:rPr>
          <w:rFonts w:ascii="Arial" w:cs="Arial" w:eastAsia="Arial" w:hAnsi="Arial"/>
          <w:sz w:val="18"/>
          <w:szCs w:val="18"/>
          <w:color w:val="auto"/>
        </w:rPr>
      </w:pPr>
    </w:p>
    <w:p>
      <w:pPr>
        <w:ind w:left="1980" w:right="679" w:hanging="358"/>
        <w:spacing w:after="0" w:line="259" w:lineRule="auto"/>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19" w:lineRule="exact"/>
        <w:rPr>
          <w:rFonts w:ascii="Arial" w:cs="Arial" w:eastAsia="Arial" w:hAnsi="Arial"/>
          <w:sz w:val="18"/>
          <w:szCs w:val="18"/>
          <w:color w:val="auto"/>
        </w:rPr>
      </w:pPr>
    </w:p>
    <w:p>
      <w:pPr>
        <w:ind w:left="1980" w:right="679" w:hanging="358"/>
        <w:spacing w:after="0" w:line="257" w:lineRule="auto"/>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20"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0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18"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w:t>
      </w: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41" w:lineRule="auto"/>
        <w:rPr>
          <w:sz w:val="20"/>
          <w:szCs w:val="20"/>
          <w:color w:val="auto"/>
        </w:rPr>
      </w:pPr>
      <w:r>
        <w:rPr>
          <w:rFonts w:ascii="Arial" w:cs="Arial" w:eastAsia="Arial" w:hAnsi="Arial"/>
          <w:sz w:val="18"/>
          <w:szCs w:val="18"/>
          <w:color w:val="auto"/>
        </w:rPr>
        <w:t>DGCL, as so amended. Any repeal or amendment of provisions of our amended and restated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7"/>
          <w:szCs w:val="17"/>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13" w:lineRule="exact"/>
        <w:rPr>
          <w:sz w:val="20"/>
          <w:szCs w:val="20"/>
          <w:color w:val="auto"/>
        </w:rPr>
      </w:pPr>
    </w:p>
    <w:p>
      <w:pPr>
        <w:ind w:left="1260" w:right="859" w:firstLine="360"/>
        <w:spacing w:after="0" w:line="243" w:lineRule="auto"/>
        <w:rPr>
          <w:sz w:val="20"/>
          <w:szCs w:val="20"/>
          <w:color w:val="auto"/>
        </w:rPr>
      </w:pPr>
      <w:r>
        <w:rPr>
          <w:rFonts w:ascii="Arial" w:cs="Arial" w:eastAsia="Arial" w:hAnsi="Arial"/>
          <w:sz w:val="18"/>
          <w:szCs w:val="18"/>
          <w:color w:val="auto"/>
        </w:rPr>
        <w:t>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20" w:lineRule="exact"/>
        <w:rPr>
          <w:sz w:val="20"/>
          <w:szCs w:val="20"/>
          <w:color w:val="auto"/>
        </w:rPr>
      </w:pPr>
    </w:p>
    <w:p>
      <w:pPr>
        <w:ind w:left="1260" w:right="799" w:firstLine="360"/>
        <w:spacing w:after="0" w:line="238"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13"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20"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Any repeal or amendment of provisions of our amended and restated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118"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97"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w:t>
      </w: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63" w:lineRule="auto"/>
        <w:rPr>
          <w:sz w:val="20"/>
          <w:szCs w:val="20"/>
          <w:color w:val="auto"/>
        </w:rPr>
      </w:pPr>
      <w:r>
        <w:rPr>
          <w:rFonts w:ascii="Arial" w:cs="Arial" w:eastAsia="Arial" w:hAnsi="Arial"/>
          <w:sz w:val="18"/>
          <w:szCs w:val="18"/>
          <w:color w:val="auto"/>
        </w:rPr>
        <w:t>and will not in any way diminish or adversely affect any right or protection existing thereunder with respect to any act or omission occurring prior to such repeal or amendment or adoption of such inconsistent provision.</w:t>
      </w:r>
    </w:p>
    <w:p>
      <w:pPr>
        <w:spacing w:after="0" w:line="103"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2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62" w:lineRule="exact"/>
        <w:rPr>
          <w:sz w:val="20"/>
          <w:szCs w:val="20"/>
          <w:color w:val="auto"/>
        </w:rPr>
      </w:pPr>
    </w:p>
    <w:p>
      <w:pPr>
        <w:ind w:left="1260" w:right="859" w:firstLine="360"/>
        <w:spacing w:after="0" w:line="269" w:lineRule="auto"/>
        <w:rPr>
          <w:sz w:val="20"/>
          <w:szCs w:val="20"/>
          <w:color w:val="auto"/>
        </w:rPr>
      </w:pPr>
      <w:r>
        <w:rPr>
          <w:rFonts w:ascii="Arial" w:cs="Arial" w:eastAsia="Arial" w:hAnsi="Arial"/>
          <w:sz w:val="17"/>
          <w:szCs w:val="17"/>
          <w:color w:val="auto"/>
        </w:rPr>
        <w:t>On June 10, 2020, our sponsor purchased an aggregate of 2,875,000 of our Class B common stock, in exchange for a capital contribution of $25,000 at an average purchase price of approximately $0.009 per share. In June 2020, our sponsor transferred 30,000 founder shares to each of David Colpman, Antony Loebel and Robert Taub, resulting in our sponsor holding 2,785,000 founder shares. Such securities were issued in connection with our organization pursuant to the exemption from registration contained in Section 4(a)(2) of the Securities Act. The number of founder shares outstanding was determined based on the expectation that the total size of this offering would be a maximum of 11,500,000 units if the underwriters’ over-allotment option is exercised in full and therefore that such founder shares would represent 20% of the outstanding shares after this offering, excluding the private placement shares underlying the private placement units. Up to 375,000 of these shares will be forfeited depending on the extent to which the underwriters’ over-allotment is exercised.</w:t>
      </w:r>
    </w:p>
    <w:p>
      <w:pPr>
        <w:spacing w:after="0" w:line="101"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HighCape Partners QP and HighCape Partners LP are the members of our sponsor. Our sponsor is an accredited investor for purposes of Rule 501 of Regulation D. HighCape Partner QP and HighCape Partners LP are accredited investors under Rule 501 of Regulation D. The sole business of our sponsor is to act as the company’s sponsor in connection with this offering. The limited liability company agreement of our sponsor provides that its membership interests may only be transferred to our officers or directors or other persons affiliated with our sponsor, or in connection with estate planning transfers.</w:t>
      </w:r>
    </w:p>
    <w:p>
      <w:pPr>
        <w:spacing w:after="0" w:line="110"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Our sponsor has committed, pursuant to a written agreement, to purchase from us an aggregate of 375,000 private placement units (or 405,000 units if the underwriters’ over-allotment option is exercised in full) at $10.00 per unit (for an aggregate purchase price of $3,750,000 (or $4,050,000 if the underwriters’ over-allotment 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Exhibits. The following exhibits are being filed herewith:</w:t>
      </w:r>
    </w:p>
    <w:p>
      <w:pPr>
        <w:spacing w:after="0" w:line="22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EXHIBIT INDEX</w:t>
      </w:r>
    </w:p>
    <w:p>
      <w:pPr>
        <w:spacing w:after="0" w:line="194"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1480"/>
        <w:spacing w:after="0"/>
        <w:tabs>
          <w:tab w:leader="none" w:pos="21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13335</wp:posOffset>
            </wp:positionV>
            <wp:extent cx="52120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7" w:lineRule="exact"/>
        <w:rPr>
          <w:sz w:val="20"/>
          <w:szCs w:val="20"/>
          <w:color w:val="auto"/>
        </w:rPr>
      </w:pPr>
    </w:p>
    <w:p>
      <w:pPr>
        <w:ind w:left="1480"/>
        <w:spacing w:after="0"/>
        <w:tabs>
          <w:tab w:leader="none" w:pos="21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Form of Underwriting Agreement.*</w:t>
      </w:r>
    </w:p>
    <w:p>
      <w:pPr>
        <w:spacing w:after="0" w:line="23" w:lineRule="exact"/>
        <w:rPr>
          <w:sz w:val="20"/>
          <w:szCs w:val="20"/>
          <w:color w:val="auto"/>
        </w:rPr>
      </w:pPr>
    </w:p>
    <w:p>
      <w:pPr>
        <w:ind w:left="1480"/>
        <w:spacing w:after="0"/>
        <w:tabs>
          <w:tab w:leader="none" w:pos="21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Certificate of Incorporation.*</w:t>
      </w:r>
    </w:p>
    <w:p>
      <w:pPr>
        <w:spacing w:after="0" w:line="23" w:lineRule="exact"/>
        <w:rPr>
          <w:sz w:val="20"/>
          <w:szCs w:val="20"/>
          <w:color w:val="auto"/>
        </w:rPr>
      </w:pPr>
    </w:p>
    <w:p>
      <w:pPr>
        <w:ind w:left="1480"/>
        <w:spacing w:after="0"/>
        <w:tabs>
          <w:tab w:leader="none" w:pos="21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Form of Amended and Restated Certificate of Incorporation.*</w:t>
      </w:r>
    </w:p>
    <w:p>
      <w:pPr>
        <w:spacing w:after="0" w:line="23" w:lineRule="exact"/>
        <w:rPr>
          <w:sz w:val="20"/>
          <w:szCs w:val="20"/>
          <w:color w:val="auto"/>
        </w:rPr>
      </w:pPr>
    </w:p>
    <w:p>
      <w:pPr>
        <w:ind w:left="1480"/>
        <w:spacing w:after="0"/>
        <w:tabs>
          <w:tab w:leader="none" w:pos="21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By Laws*</w:t>
      </w:r>
    </w:p>
    <w:p>
      <w:pPr>
        <w:spacing w:after="0" w:line="35" w:lineRule="exact"/>
        <w:rPr>
          <w:sz w:val="20"/>
          <w:szCs w:val="20"/>
          <w:color w:val="auto"/>
        </w:rPr>
      </w:pPr>
    </w:p>
    <w:p>
      <w:pPr>
        <w:ind w:left="1480"/>
        <w:spacing w:after="0"/>
        <w:tabs>
          <w:tab w:leader="none" w:pos="21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Specimen Unit Certificate.*</w:t>
      </w:r>
    </w:p>
    <w:p>
      <w:pPr>
        <w:spacing w:after="0" w:line="36" w:lineRule="exact"/>
        <w:rPr>
          <w:sz w:val="20"/>
          <w:szCs w:val="20"/>
          <w:color w:val="auto"/>
        </w:rPr>
      </w:pPr>
    </w:p>
    <w:p>
      <w:pPr>
        <w:ind w:left="1480"/>
        <w:spacing w:after="0"/>
        <w:tabs>
          <w:tab w:leader="none" w:pos="21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Specimen Class A Common Stock Certificate.*</w:t>
      </w:r>
    </w:p>
    <w:p>
      <w:pPr>
        <w:spacing w:after="0" w:line="36" w:lineRule="exact"/>
        <w:rPr>
          <w:sz w:val="20"/>
          <w:szCs w:val="20"/>
          <w:color w:val="auto"/>
        </w:rPr>
      </w:pPr>
    </w:p>
    <w:p>
      <w:pPr>
        <w:ind w:left="1480"/>
        <w:spacing w:after="0"/>
        <w:tabs>
          <w:tab w:leader="none" w:pos="21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Specimen Warrant Certificate.*</w:t>
      </w:r>
    </w:p>
    <w:p>
      <w:pPr>
        <w:spacing w:after="0" w:line="23" w:lineRule="exact"/>
        <w:rPr>
          <w:sz w:val="20"/>
          <w:szCs w:val="20"/>
          <w:color w:val="auto"/>
        </w:rPr>
      </w:pPr>
    </w:p>
    <w:p>
      <w:pPr>
        <w:ind w:left="2120" w:right="1119" w:hanging="642"/>
        <w:spacing w:after="0" w:line="273" w:lineRule="auto"/>
        <w:tabs>
          <w:tab w:leader="none" w:pos="21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Warrant Agreement between Continental Stock Transfer &amp; Trust Company and the Registrant.*</w:t>
      </w:r>
    </w:p>
    <w:p>
      <w:pPr>
        <w:spacing w:after="0" w:line="1" w:lineRule="exact"/>
        <w:rPr>
          <w:sz w:val="20"/>
          <w:szCs w:val="20"/>
          <w:color w:val="auto"/>
        </w:rPr>
      </w:pPr>
    </w:p>
    <w:p>
      <w:pPr>
        <w:ind w:left="1480"/>
        <w:spacing w:after="0"/>
        <w:tabs>
          <w:tab w:leader="none" w:pos="21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White &amp; Case LLP.*</w:t>
      </w:r>
    </w:p>
    <w:p>
      <w:pPr>
        <w:spacing w:after="0" w:line="23" w:lineRule="exact"/>
        <w:rPr>
          <w:sz w:val="20"/>
          <w:szCs w:val="20"/>
          <w:color w:val="auto"/>
        </w:rPr>
      </w:pPr>
    </w:p>
    <w:p>
      <w:pPr>
        <w:ind w:left="2120" w:right="879" w:hanging="732"/>
        <w:spacing w:after="0" w:line="265" w:lineRule="auto"/>
        <w:tabs>
          <w:tab w:leader="none" w:pos="2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Letter Agreement among the Registrant, HighCape Capital Acquisition LLC and each of the executive officers and directors of the Registrant.*</w:t>
      </w:r>
    </w:p>
    <w:p>
      <w:pPr>
        <w:spacing w:after="0" w:line="1" w:lineRule="exact"/>
        <w:rPr>
          <w:sz w:val="20"/>
          <w:szCs w:val="20"/>
          <w:color w:val="auto"/>
        </w:rPr>
      </w:pPr>
    </w:p>
    <w:p>
      <w:pPr>
        <w:ind w:left="2120" w:right="779" w:hanging="732"/>
        <w:spacing w:after="0" w:line="266" w:lineRule="auto"/>
        <w:tabs>
          <w:tab w:leader="none" w:pos="21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Investment Management Trust Agreement between Continental Stock Transfer &amp; Trust Company and the Registrant.*</w:t>
      </w:r>
    </w:p>
    <w:p>
      <w:pPr>
        <w:ind w:left="2120" w:right="979" w:hanging="732"/>
        <w:spacing w:after="0" w:line="266" w:lineRule="auto"/>
        <w:tabs>
          <w:tab w:leader="none" w:pos="21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Registration Rights Agreement among the Registrant, HighCape Capital Acquisition LLC and the Holders signatory thereto.*</w:t>
      </w:r>
    </w:p>
    <w:p>
      <w:pPr>
        <w:ind w:left="2120" w:right="1139" w:hanging="732"/>
        <w:spacing w:after="0" w:line="273" w:lineRule="auto"/>
        <w:tabs>
          <w:tab w:leader="none" w:pos="21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Private Placement Units Purchase Agreement among the Registrant and HighCape Capital Acquisition LLC.*</w:t>
      </w:r>
    </w:p>
    <w:p>
      <w:pPr>
        <w:spacing w:after="0" w:line="2" w:lineRule="exact"/>
        <w:rPr>
          <w:sz w:val="20"/>
          <w:szCs w:val="20"/>
          <w:color w:val="auto"/>
        </w:rPr>
      </w:pPr>
    </w:p>
    <w:p>
      <w:pPr>
        <w:ind w:left="1400"/>
        <w:spacing w:after="0"/>
        <w:tabs>
          <w:tab w:leader="none" w:pos="21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Form of Indemnity Agreement.*</w:t>
      </w:r>
    </w:p>
    <w:p>
      <w:pPr>
        <w:spacing w:after="0" w:line="36" w:lineRule="exact"/>
        <w:rPr>
          <w:sz w:val="20"/>
          <w:szCs w:val="20"/>
          <w:color w:val="auto"/>
        </w:rPr>
      </w:pPr>
    </w:p>
    <w:p>
      <w:pPr>
        <w:ind w:left="1400"/>
        <w:spacing w:after="0"/>
        <w:tabs>
          <w:tab w:leader="none" w:pos="21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Promissory Note issued to HighCape Capital Acquisition LLC.*</w:t>
      </w:r>
    </w:p>
    <w:p>
      <w:pPr>
        <w:spacing w:after="0" w:line="23" w:lineRule="exact"/>
        <w:rPr>
          <w:sz w:val="20"/>
          <w:szCs w:val="20"/>
          <w:color w:val="auto"/>
        </w:rPr>
      </w:pPr>
    </w:p>
    <w:p>
      <w:pPr>
        <w:ind w:left="2120" w:right="859" w:hanging="732"/>
        <w:spacing w:after="0" w:line="265" w:lineRule="auto"/>
        <w:tabs>
          <w:tab w:leader="none" w:pos="21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Securities Subscription Agreement between HighCape Capital Acquisition LLC and HighCape Capital Acquisition Corp.*</w:t>
      </w:r>
    </w:p>
    <w:p>
      <w:pPr>
        <w:spacing w:after="0" w:line="1" w:lineRule="exact"/>
        <w:rPr>
          <w:sz w:val="20"/>
          <w:szCs w:val="20"/>
          <w:color w:val="auto"/>
        </w:rPr>
      </w:pPr>
    </w:p>
    <w:p>
      <w:pPr>
        <w:ind w:left="2120" w:right="1159" w:hanging="732"/>
        <w:spacing w:after="0" w:line="273" w:lineRule="auto"/>
        <w:tabs>
          <w:tab w:leader="none" w:pos="21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Administrative Services Agreement between the Registrant and HighCape Capital Acquisition LLC.*</w:t>
      </w:r>
    </w:p>
    <w:p>
      <w:pPr>
        <w:spacing w:after="0" w:line="2" w:lineRule="exact"/>
        <w:rPr>
          <w:sz w:val="20"/>
          <w:szCs w:val="20"/>
          <w:color w:val="auto"/>
        </w:rPr>
      </w:pPr>
    </w:p>
    <w:p>
      <w:pPr>
        <w:ind w:left="1400"/>
        <w:spacing w:after="0"/>
        <w:tabs>
          <w:tab w:leader="none" w:pos="21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Form of Code of Ethics*</w:t>
      </w:r>
    </w:p>
    <w:p>
      <w:pPr>
        <w:spacing w:after="0" w:line="36" w:lineRule="exact"/>
        <w:rPr>
          <w:sz w:val="20"/>
          <w:szCs w:val="20"/>
          <w:color w:val="auto"/>
        </w:rPr>
      </w:pPr>
    </w:p>
    <w:p>
      <w:pPr>
        <w:ind w:left="1400"/>
        <w:spacing w:after="0"/>
        <w:tabs>
          <w:tab w:leader="none" w:pos="2100" w:val="left"/>
        </w:tabs>
        <w:rPr>
          <w:rFonts w:ascii="Arial" w:cs="Arial" w:eastAsia="Arial" w:hAnsi="Arial"/>
          <w:sz w:val="17"/>
          <w:szCs w:val="17"/>
          <w:u w:val="single" w:color="auto"/>
          <w:color w:val="0000EE"/>
        </w:rPr>
      </w:pPr>
      <w:hyperlink w:anchor="page178">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178">
        <w:r>
          <w:rPr>
            <w:rFonts w:ascii="Arial" w:cs="Arial" w:eastAsia="Arial" w:hAnsi="Arial"/>
            <w:sz w:val="17"/>
            <w:szCs w:val="17"/>
            <w:u w:val="single" w:color="auto"/>
            <w:color w:val="0000EE"/>
          </w:rPr>
          <w:t>Consent of WithumSmith+Brown, PC.**</w:t>
        </w:r>
      </w:hyperlink>
    </w:p>
    <w:p>
      <w:pPr>
        <w:spacing w:after="0" w:line="36" w:lineRule="exact"/>
        <w:rPr>
          <w:sz w:val="20"/>
          <w:szCs w:val="20"/>
          <w:color w:val="auto"/>
        </w:rPr>
      </w:pPr>
    </w:p>
    <w:p>
      <w:pPr>
        <w:ind w:left="1400"/>
        <w:spacing w:after="0"/>
        <w:tabs>
          <w:tab w:leader="none" w:pos="21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Consent of White &amp; Case LLP (included on Exhibit 5.1).*</w:t>
      </w:r>
    </w:p>
    <w:p>
      <w:pPr>
        <w:spacing w:after="0" w:line="23" w:lineRule="exact"/>
        <w:rPr>
          <w:sz w:val="20"/>
          <w:szCs w:val="20"/>
          <w:color w:val="auto"/>
        </w:rPr>
      </w:pPr>
    </w:p>
    <w:p>
      <w:pPr>
        <w:ind w:left="2120" w:right="1539" w:hanging="728"/>
        <w:spacing w:after="0" w:line="273" w:lineRule="auto"/>
        <w:tabs>
          <w:tab w:leader="none" w:pos="2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Power of Attorney (included on signature page to the initial filing of this Registration Statement).**</w:t>
      </w:r>
    </w:p>
    <w:p>
      <w:pPr>
        <w:spacing w:after="0" w:line="1" w:lineRule="exact"/>
        <w:rPr>
          <w:sz w:val="20"/>
          <w:szCs w:val="20"/>
          <w:color w:val="auto"/>
        </w:rPr>
      </w:pPr>
    </w:p>
    <w:p>
      <w:pPr>
        <w:ind w:left="1400"/>
        <w:spacing w:after="0"/>
        <w:tabs>
          <w:tab w:leader="none" w:pos="2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Form of Audit Committee Charter*</w:t>
      </w:r>
    </w:p>
    <w:p>
      <w:pPr>
        <w:spacing w:after="0" w:line="36" w:lineRule="exact"/>
        <w:rPr>
          <w:sz w:val="20"/>
          <w:szCs w:val="20"/>
          <w:color w:val="auto"/>
        </w:rPr>
      </w:pPr>
    </w:p>
    <w:p>
      <w:pPr>
        <w:ind w:left="1400"/>
        <w:spacing w:after="0"/>
        <w:tabs>
          <w:tab w:leader="none" w:pos="21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Form of Compensation Committee Charter*</w:t>
      </w:r>
    </w:p>
    <w:p>
      <w:pPr>
        <w:spacing w:after="0" w:line="36" w:lineRule="exact"/>
        <w:rPr>
          <w:sz w:val="20"/>
          <w:szCs w:val="20"/>
          <w:color w:val="auto"/>
        </w:rPr>
      </w:pPr>
    </w:p>
    <w:p>
      <w:pPr>
        <w:ind w:left="1400"/>
        <w:spacing w:after="0"/>
        <w:tabs>
          <w:tab w:leader="none" w:pos="2100" w:val="left"/>
        </w:tabs>
        <w:rPr>
          <w:rFonts w:ascii="Arial" w:cs="Arial" w:eastAsia="Arial" w:hAnsi="Arial"/>
          <w:sz w:val="17"/>
          <w:szCs w:val="17"/>
          <w:u w:val="single" w:color="auto"/>
          <w:color w:val="0000EE"/>
        </w:rPr>
      </w:pPr>
      <w:hyperlink w:anchor="page179">
        <w:r>
          <w:rPr>
            <w:rFonts w:ascii="Arial" w:cs="Arial" w:eastAsia="Arial" w:hAnsi="Arial"/>
            <w:sz w:val="18"/>
            <w:szCs w:val="18"/>
            <w:u w:val="single" w:color="auto"/>
            <w:color w:val="0000EE"/>
          </w:rPr>
          <w:t>99.3</w:t>
        </w:r>
      </w:hyperlink>
      <w:r>
        <w:rPr>
          <w:rFonts w:ascii="Arial" w:cs="Arial" w:eastAsia="Arial" w:hAnsi="Arial"/>
          <w:sz w:val="18"/>
          <w:szCs w:val="18"/>
          <w:u w:val="single" w:color="auto"/>
          <w:color w:val="0000EE"/>
        </w:rPr>
        <w:tab/>
      </w:r>
      <w:hyperlink w:anchor="page179">
        <w:r>
          <w:rPr>
            <w:rFonts w:ascii="Arial" w:cs="Arial" w:eastAsia="Arial" w:hAnsi="Arial"/>
            <w:sz w:val="17"/>
            <w:szCs w:val="17"/>
            <w:u w:val="single" w:color="auto"/>
            <w:color w:val="0000EE"/>
          </w:rPr>
          <w:t>Consent of David Colpman**</w:t>
        </w:r>
      </w:hyperlink>
    </w:p>
    <w:p>
      <w:pPr>
        <w:spacing w:after="0" w:line="36" w:lineRule="exact"/>
        <w:rPr>
          <w:sz w:val="20"/>
          <w:szCs w:val="20"/>
          <w:color w:val="auto"/>
        </w:rPr>
      </w:pPr>
    </w:p>
    <w:p>
      <w:pPr>
        <w:ind w:left="1400"/>
        <w:spacing w:after="0"/>
        <w:tabs>
          <w:tab w:leader="none" w:pos="2100" w:val="left"/>
        </w:tabs>
        <w:rPr>
          <w:rFonts w:ascii="Arial" w:cs="Arial" w:eastAsia="Arial" w:hAnsi="Arial"/>
          <w:sz w:val="17"/>
          <w:szCs w:val="17"/>
          <w:u w:val="single" w:color="auto"/>
          <w:color w:val="0000EE"/>
        </w:rPr>
      </w:pPr>
      <w:hyperlink w:anchor="page180">
        <w:r>
          <w:rPr>
            <w:rFonts w:ascii="Arial" w:cs="Arial" w:eastAsia="Arial" w:hAnsi="Arial"/>
            <w:sz w:val="18"/>
            <w:szCs w:val="18"/>
            <w:u w:val="single" w:color="auto"/>
            <w:color w:val="0000EE"/>
          </w:rPr>
          <w:t>99.4</w:t>
        </w:r>
      </w:hyperlink>
      <w:r>
        <w:rPr>
          <w:rFonts w:ascii="Arial" w:cs="Arial" w:eastAsia="Arial" w:hAnsi="Arial"/>
          <w:sz w:val="18"/>
          <w:szCs w:val="18"/>
          <w:u w:val="single" w:color="auto"/>
          <w:color w:val="0000EE"/>
        </w:rPr>
        <w:tab/>
      </w:r>
      <w:hyperlink w:anchor="page180">
        <w:r>
          <w:rPr>
            <w:rFonts w:ascii="Arial" w:cs="Arial" w:eastAsia="Arial" w:hAnsi="Arial"/>
            <w:sz w:val="17"/>
            <w:szCs w:val="17"/>
            <w:u w:val="single" w:color="auto"/>
            <w:color w:val="0000EE"/>
          </w:rPr>
          <w:t>Consent of Antony Loebel**</w:t>
        </w:r>
      </w:hyperlink>
    </w:p>
    <w:p>
      <w:pPr>
        <w:spacing w:after="0" w:line="36" w:lineRule="exact"/>
        <w:rPr>
          <w:sz w:val="20"/>
          <w:szCs w:val="20"/>
          <w:color w:val="auto"/>
        </w:rPr>
      </w:pPr>
    </w:p>
    <w:p>
      <w:pPr>
        <w:ind w:left="1400"/>
        <w:spacing w:after="0"/>
        <w:tabs>
          <w:tab w:leader="none" w:pos="2100" w:val="left"/>
        </w:tabs>
        <w:rPr>
          <w:rFonts w:ascii="Arial" w:cs="Arial" w:eastAsia="Arial" w:hAnsi="Arial"/>
          <w:sz w:val="17"/>
          <w:szCs w:val="17"/>
          <w:u w:val="single" w:color="auto"/>
          <w:color w:val="0000EE"/>
        </w:rPr>
      </w:pPr>
      <w:hyperlink w:anchor="page181">
        <w:r>
          <w:rPr>
            <w:rFonts w:ascii="Arial" w:cs="Arial" w:eastAsia="Arial" w:hAnsi="Arial"/>
            <w:sz w:val="18"/>
            <w:szCs w:val="18"/>
            <w:u w:val="single" w:color="auto"/>
            <w:color w:val="0000EE"/>
          </w:rPr>
          <w:t>99.5</w:t>
        </w:r>
      </w:hyperlink>
      <w:r>
        <w:rPr>
          <w:rFonts w:ascii="Arial" w:cs="Arial" w:eastAsia="Arial" w:hAnsi="Arial"/>
          <w:sz w:val="18"/>
          <w:szCs w:val="18"/>
          <w:u w:val="single" w:color="auto"/>
          <w:color w:val="0000EE"/>
        </w:rPr>
        <w:tab/>
      </w:r>
      <w:hyperlink w:anchor="page181">
        <w:r>
          <w:rPr>
            <w:rFonts w:ascii="Arial" w:cs="Arial" w:eastAsia="Arial" w:hAnsi="Arial"/>
            <w:sz w:val="17"/>
            <w:szCs w:val="17"/>
            <w:u w:val="single" w:color="auto"/>
            <w:color w:val="0000EE"/>
          </w:rPr>
          <w:t>Consent of Robert Taub**</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160655</wp:posOffset>
            </wp:positionV>
            <wp:extent cx="123444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1260" w:right="6499" w:firstLine="2"/>
        <w:spacing w:after="0" w:line="397" w:lineRule="auto"/>
        <w:tabs>
          <w:tab w:leader="none" w:pos="1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be filed by amendment. ** Filed herewith.</w:t>
      </w:r>
    </w:p>
    <w:p>
      <w:pPr>
        <w:spacing w:after="0" w:line="1" w:lineRule="exact"/>
        <w:rPr>
          <w:rFonts w:ascii="Arial" w:cs="Arial" w:eastAsia="Arial" w:hAnsi="Arial"/>
          <w:sz w:val="17"/>
          <w:szCs w:val="17"/>
          <w:color w:val="auto"/>
        </w:rPr>
      </w:pPr>
    </w:p>
    <w:p>
      <w:pPr>
        <w:ind w:left="1260" w:right="799" w:firstLine="362"/>
        <w:spacing w:after="0" w:line="277" w:lineRule="auto"/>
        <w:tabs>
          <w:tab w:leader="none" w:pos="188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Financial Statements. See page F-1 for an index to the financial statements and schedules included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48" w:lineRule="exact"/>
        <w:rPr>
          <w:sz w:val="20"/>
          <w:szCs w:val="20"/>
          <w:color w:val="auto"/>
        </w:rPr>
      </w:pPr>
    </w:p>
    <w:p>
      <w:pPr>
        <w:ind w:left="1980" w:right="699" w:hanging="358"/>
        <w:spacing w:after="0" w:line="263"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16" w:lineRule="exact"/>
        <w:rPr>
          <w:rFonts w:ascii="Arial" w:cs="Arial" w:eastAsia="Arial" w:hAnsi="Arial"/>
          <w:sz w:val="18"/>
          <w:szCs w:val="18"/>
          <w:color w:val="auto"/>
        </w:rPr>
      </w:pPr>
    </w:p>
    <w:p>
      <w:pPr>
        <w:ind w:left="1980" w:right="719" w:hanging="358"/>
        <w:spacing w:after="0" w:line="252"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32" w:lineRule="exact"/>
        <w:rPr>
          <w:rFonts w:ascii="Arial" w:cs="Arial" w:eastAsia="Arial" w:hAnsi="Arial"/>
          <w:sz w:val="18"/>
          <w:szCs w:val="18"/>
          <w:color w:val="auto"/>
        </w:rPr>
      </w:pPr>
    </w:p>
    <w:p>
      <w:pPr>
        <w:ind w:left="1980" w:hanging="358"/>
        <w:spacing w:after="0"/>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44" w:lineRule="exact"/>
        <w:rPr>
          <w:rFonts w:ascii="Arial" w:cs="Arial" w:eastAsia="Arial" w:hAnsi="Arial"/>
          <w:sz w:val="18"/>
          <w:szCs w:val="18"/>
          <w:color w:val="auto"/>
        </w:rPr>
      </w:pPr>
    </w:p>
    <w:p>
      <w:pPr>
        <w:ind w:left="2340" w:right="939" w:hanging="358"/>
        <w:spacing w:after="0" w:line="275" w:lineRule="auto"/>
        <w:tabs>
          <w:tab w:leader="none" w:pos="234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8" w:lineRule="exact"/>
        <w:rPr>
          <w:rFonts w:ascii="Arial" w:cs="Arial" w:eastAsia="Arial" w:hAnsi="Arial"/>
          <w:sz w:val="17"/>
          <w:szCs w:val="17"/>
          <w:color w:val="auto"/>
        </w:rPr>
      </w:pPr>
    </w:p>
    <w:p>
      <w:pPr>
        <w:ind w:left="2340" w:right="1139" w:hanging="358"/>
        <w:spacing w:after="0" w:line="279" w:lineRule="auto"/>
        <w:tabs>
          <w:tab w:leader="none" w:pos="234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1260" w:right="81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the 3rd day of August, 2020.</w:t>
      </w:r>
    </w:p>
    <w:p>
      <w:pPr>
        <w:spacing w:after="0" w:line="11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HIGHCAPE CAPITAL ACQUISITION CORP.</w:t>
      </w:r>
    </w:p>
    <w:p>
      <w:pPr>
        <w:spacing w:after="0" w:line="16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Kevin Rakin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40640</wp:posOffset>
            </wp:positionV>
            <wp:extent cx="24688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Kevin Rakin</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POWER OF ATTORNEY</w:t>
      </w:r>
    </w:p>
    <w:p>
      <w:pPr>
        <w:spacing w:after="0" w:line="162"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each of Kevin Rakin and Matt Zuga his true and lawful attorney-in-fact, with full power of substitution and resubstitution for him and in his name, place and stead, in any and all capacities to sign any and all amendments including post-effective amendments to this registration statement and any and all registration statements filed pursuant to Rule 462 under the Securities Act of 1933, as amended,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11" w:lineRule="exact"/>
        <w:rPr>
          <w:sz w:val="20"/>
          <w:szCs w:val="20"/>
          <w:color w:val="auto"/>
        </w:rPr>
      </w:pPr>
    </w:p>
    <w:p>
      <w:pPr>
        <w:ind w:left="1260" w:right="719" w:firstLine="36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w:t>
      </w:r>
    </w:p>
    <w:p>
      <w:pPr>
        <w:spacing w:after="0" w:line="9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820" w:type="dxa"/>
            <w:vAlign w:val="bottom"/>
          </w:tcPr>
          <w:p>
            <w:pPr>
              <w:ind w:left="124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3460" w:type="dxa"/>
            <w:vAlign w:val="bottom"/>
          </w:tcPr>
          <w:p>
            <w:pPr>
              <w:ind w:left="150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6"/>
                <w:szCs w:val="16"/>
                <w:color w:val="auto"/>
              </w:rPr>
            </w:pPr>
          </w:p>
        </w:tc>
        <w:tc>
          <w:tcPr>
            <w:tcW w:w="1520" w:type="dxa"/>
            <w:vAlign w:val="bottom"/>
          </w:tcPr>
          <w:p>
            <w:pPr>
              <w:ind w:left="6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6"/>
        </w:trPr>
        <w:tc>
          <w:tcPr>
            <w:tcW w:w="2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2820" w:type="dxa"/>
            <w:vAlign w:val="bottom"/>
          </w:tcPr>
          <w:p>
            <w:pPr>
              <w:spacing w:after="0"/>
              <w:rPr>
                <w:sz w:val="20"/>
                <w:szCs w:val="20"/>
                <w:color w:val="auto"/>
              </w:rPr>
            </w:pPr>
            <w:r>
              <w:rPr>
                <w:rFonts w:ascii="Arial" w:cs="Arial" w:eastAsia="Arial" w:hAnsi="Arial"/>
                <w:sz w:val="18"/>
                <w:szCs w:val="18"/>
                <w:color w:val="auto"/>
              </w:rPr>
              <w:t>/s/ Kevin Rakin</w:t>
            </w: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and Director</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August 3, 2020</w:t>
            </w:r>
          </w:p>
        </w:tc>
        <w:tc>
          <w:tcPr>
            <w:tcW w:w="0" w:type="dxa"/>
            <w:vAlign w:val="bottom"/>
          </w:tcPr>
          <w:p>
            <w:pPr>
              <w:spacing w:after="0"/>
              <w:rPr>
                <w:sz w:val="1"/>
                <w:szCs w:val="1"/>
                <w:color w:val="auto"/>
              </w:rPr>
            </w:pPr>
          </w:p>
        </w:tc>
      </w:tr>
      <w:tr>
        <w:trPr>
          <w:trHeight w:val="55"/>
        </w:trPr>
        <w:tc>
          <w:tcPr>
            <w:tcW w:w="2820" w:type="dxa"/>
            <w:vAlign w:val="bottom"/>
            <w:tcBorders>
              <w:bottom w:val="single" w:sz="8" w:color="auto"/>
            </w:tcBorders>
          </w:tcPr>
          <w:p>
            <w:pPr>
              <w:spacing w:after="0"/>
              <w:rPr>
                <w:sz w:val="4"/>
                <w:szCs w:val="4"/>
                <w:color w:val="auto"/>
              </w:rPr>
            </w:pPr>
          </w:p>
        </w:tc>
        <w:tc>
          <w:tcPr>
            <w:tcW w:w="3660" w:type="dxa"/>
            <w:vAlign w:val="bottom"/>
            <w:gridSpan w:val="2"/>
            <w:vMerge w:val="restart"/>
          </w:tcPr>
          <w:p>
            <w:pPr>
              <w:ind w:left="200"/>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820" w:type="dxa"/>
            <w:vAlign w:val="bottom"/>
            <w:vMerge w:val="restart"/>
          </w:tcPr>
          <w:p>
            <w:pPr>
              <w:spacing w:after="0"/>
              <w:rPr>
                <w:sz w:val="20"/>
                <w:szCs w:val="20"/>
                <w:color w:val="auto"/>
              </w:rPr>
            </w:pPr>
            <w:r>
              <w:rPr>
                <w:rFonts w:ascii="Arial" w:cs="Arial" w:eastAsia="Arial" w:hAnsi="Arial"/>
                <w:sz w:val="18"/>
                <w:szCs w:val="18"/>
                <w:color w:val="auto"/>
              </w:rPr>
              <w:t>Kevin Rakin</w:t>
            </w:r>
          </w:p>
        </w:tc>
        <w:tc>
          <w:tcPr>
            <w:tcW w:w="3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8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5"/>
        </w:trPr>
        <w:tc>
          <w:tcPr>
            <w:tcW w:w="2820" w:type="dxa"/>
            <w:vAlign w:val="bottom"/>
          </w:tcPr>
          <w:p>
            <w:pPr>
              <w:spacing w:after="0"/>
              <w:rPr>
                <w:sz w:val="20"/>
                <w:szCs w:val="20"/>
                <w:color w:val="auto"/>
              </w:rPr>
            </w:pPr>
            <w:r>
              <w:rPr>
                <w:rFonts w:ascii="Arial" w:cs="Arial" w:eastAsia="Arial" w:hAnsi="Arial"/>
                <w:sz w:val="18"/>
                <w:szCs w:val="18"/>
                <w:color w:val="auto"/>
              </w:rPr>
              <w:t>/s/ Matt Zuga</w:t>
            </w: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and Director</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August 3, 2020</w:t>
            </w:r>
          </w:p>
        </w:tc>
        <w:tc>
          <w:tcPr>
            <w:tcW w:w="0" w:type="dxa"/>
            <w:vAlign w:val="bottom"/>
          </w:tcPr>
          <w:p>
            <w:pPr>
              <w:spacing w:after="0"/>
              <w:rPr>
                <w:sz w:val="1"/>
                <w:szCs w:val="1"/>
                <w:color w:val="auto"/>
              </w:rPr>
            </w:pPr>
          </w:p>
        </w:tc>
      </w:tr>
      <w:tr>
        <w:trPr>
          <w:trHeight w:val="55"/>
        </w:trPr>
        <w:tc>
          <w:tcPr>
            <w:tcW w:w="2820" w:type="dxa"/>
            <w:vAlign w:val="bottom"/>
            <w:tcBorders>
              <w:bottom w:val="single" w:sz="8" w:color="auto"/>
            </w:tcBorders>
          </w:tcPr>
          <w:p>
            <w:pPr>
              <w:spacing w:after="0"/>
              <w:rPr>
                <w:sz w:val="4"/>
                <w:szCs w:val="4"/>
                <w:color w:val="auto"/>
              </w:rPr>
            </w:pPr>
          </w:p>
        </w:tc>
        <w:tc>
          <w:tcPr>
            <w:tcW w:w="3660" w:type="dxa"/>
            <w:vAlign w:val="bottom"/>
            <w:gridSpan w:val="2"/>
            <w:vMerge w:val="restart"/>
          </w:tcPr>
          <w:p>
            <w:pPr>
              <w:ind w:left="200"/>
              <w:spacing w:after="0"/>
              <w:rPr>
                <w:sz w:val="20"/>
                <w:szCs w:val="20"/>
                <w:color w:val="auto"/>
              </w:rPr>
            </w:pPr>
            <w:r>
              <w:rPr>
                <w:rFonts w:ascii="Arial" w:cs="Arial" w:eastAsia="Arial" w:hAnsi="Arial"/>
                <w:sz w:val="18"/>
                <w:szCs w:val="18"/>
                <w:color w:val="auto"/>
                <w:w w:val="99"/>
              </w:rPr>
              <w:t>(Principal Financial and Accounting Officer)</w:t>
            </w: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820" w:type="dxa"/>
            <w:vAlign w:val="bottom"/>
            <w:vMerge w:val="restart"/>
          </w:tcPr>
          <w:p>
            <w:pPr>
              <w:spacing w:after="0"/>
              <w:rPr>
                <w:sz w:val="20"/>
                <w:szCs w:val="20"/>
                <w:color w:val="auto"/>
              </w:rPr>
            </w:pPr>
            <w:r>
              <w:rPr>
                <w:rFonts w:ascii="Arial" w:cs="Arial" w:eastAsia="Arial" w:hAnsi="Arial"/>
                <w:sz w:val="18"/>
                <w:szCs w:val="18"/>
                <w:color w:val="auto"/>
              </w:rPr>
              <w:t>Matt Zuga</w:t>
            </w:r>
          </w:p>
        </w:tc>
        <w:tc>
          <w:tcPr>
            <w:tcW w:w="3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8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7" w:name="page178"/>
    <w:bookmarkEnd w:id="177"/>
    <w:p>
      <w:pPr>
        <w:jc w:val="right"/>
        <w:ind w:right="6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left="140" w:right="759" w:firstLine="360"/>
        <w:spacing w:after="0" w:line="257" w:lineRule="auto"/>
        <w:rPr>
          <w:sz w:val="20"/>
          <w:szCs w:val="20"/>
          <w:color w:val="auto"/>
        </w:rPr>
      </w:pPr>
      <w:r>
        <w:rPr>
          <w:rFonts w:ascii="Arial" w:cs="Arial" w:eastAsia="Arial" w:hAnsi="Arial"/>
          <w:sz w:val="18"/>
          <w:szCs w:val="18"/>
          <w:color w:val="auto"/>
        </w:rPr>
        <w:t>We hereby consent to the use in this Registration Statement on Form S-1, of our report dated July 2, 2020, relating to the balance sheet of HighCape Capital Acquisition Corp. as of June 30, 2020 and the related statements of operations, changes in stockholder’s equity and cash flows for the period from June 10, 2020 (inception) through June 30, 2020, and to the reference to our Firm under the caption “Experts” in the Prospectus.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WithumSmith+Brown, PC</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6366510</wp:posOffset>
            </wp:positionV>
            <wp:extent cx="68065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78" w:name="page179"/>
    <w:bookmarkEnd w:id="178"/>
    <w:p>
      <w:pPr>
        <w:jc w:val="right"/>
        <w:ind w:right="659"/>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Consent to be Named as a Director</w:t>
      </w:r>
    </w:p>
    <w:p>
      <w:pPr>
        <w:spacing w:after="0" w:line="148" w:lineRule="exact"/>
        <w:rPr>
          <w:sz w:val="20"/>
          <w:szCs w:val="20"/>
          <w:color w:val="auto"/>
        </w:rPr>
      </w:pPr>
    </w:p>
    <w:p>
      <w:pPr>
        <w:ind w:left="140" w:right="679" w:firstLine="360"/>
        <w:spacing w:after="0" w:line="273" w:lineRule="auto"/>
        <w:rPr>
          <w:sz w:val="20"/>
          <w:szCs w:val="20"/>
          <w:color w:val="auto"/>
        </w:rPr>
      </w:pPr>
      <w:r>
        <w:rPr>
          <w:rFonts w:ascii="Arial" w:cs="Arial" w:eastAsia="Arial" w:hAnsi="Arial"/>
          <w:sz w:val="17"/>
          <w:szCs w:val="17"/>
          <w:color w:val="auto"/>
        </w:rPr>
        <w:t>In connection with the filing by HighCape Capital Acquisition Corp. (the “Company”) of the Registration Statement on Form S-1 (the “Registration Statement”) with the U.S. Securities and Exchange Commission under the Securities Act of 1933, as amended (the “Securities Act”), I hereby consent, pursuant to Rule 438 of the Securities Act, to being named to the board of directors of the Company in the Registration Statement and any and all amendments and supplements thereto. I also consent to the filing of this consent as an exhibit to such Registration Statement and any amendments thereto.</w:t>
      </w:r>
    </w:p>
    <w:p>
      <w:pPr>
        <w:spacing w:after="0" w:line="218" w:lineRule="exact"/>
        <w:rPr>
          <w:sz w:val="20"/>
          <w:szCs w:val="20"/>
          <w:color w:val="auto"/>
        </w:rPr>
      </w:pPr>
    </w:p>
    <w:p>
      <w:pPr>
        <w:ind w:left="140"/>
        <w:spacing w:after="0"/>
        <w:tabs>
          <w:tab w:leader="none" w:pos="4440" w:val="left"/>
        </w:tabs>
        <w:rPr>
          <w:sz w:val="20"/>
          <w:szCs w:val="20"/>
          <w:color w:val="auto"/>
        </w:rPr>
      </w:pPr>
      <w:r>
        <w:rPr>
          <w:rFonts w:ascii="Arial" w:cs="Arial" w:eastAsia="Arial" w:hAnsi="Arial"/>
          <w:sz w:val="18"/>
          <w:szCs w:val="18"/>
          <w:color w:val="auto"/>
        </w:rPr>
        <w:t>Dated: August 3, 2020</w:t>
      </w:r>
      <w:r>
        <w:rPr>
          <w:sz w:val="20"/>
          <w:szCs w:val="20"/>
          <w:color w:val="auto"/>
        </w:rPr>
        <w:tab/>
      </w:r>
      <w:r>
        <w:rPr>
          <w:rFonts w:ascii="Arial" w:cs="Arial" w:eastAsia="Arial" w:hAnsi="Arial"/>
          <w:sz w:val="17"/>
          <w:szCs w:val="17"/>
          <w:color w:val="auto"/>
        </w:rPr>
        <w:t>/s/ David Colpman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48895</wp:posOffset>
            </wp:positionV>
            <wp:extent cx="24688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David Colpman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6341110</wp:posOffset>
            </wp:positionV>
            <wp:extent cx="68065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79" w:name="page180"/>
    <w:bookmarkEnd w:id="179"/>
    <w:p>
      <w:pPr>
        <w:jc w:val="right"/>
        <w:ind w:right="659"/>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Consent to be Named as a Director</w:t>
      </w:r>
    </w:p>
    <w:p>
      <w:pPr>
        <w:spacing w:after="0" w:line="148" w:lineRule="exact"/>
        <w:rPr>
          <w:sz w:val="20"/>
          <w:szCs w:val="20"/>
          <w:color w:val="auto"/>
        </w:rPr>
      </w:pPr>
    </w:p>
    <w:p>
      <w:pPr>
        <w:ind w:left="140" w:right="679" w:firstLine="360"/>
        <w:spacing w:after="0" w:line="273" w:lineRule="auto"/>
        <w:rPr>
          <w:sz w:val="20"/>
          <w:szCs w:val="20"/>
          <w:color w:val="auto"/>
        </w:rPr>
      </w:pPr>
      <w:r>
        <w:rPr>
          <w:rFonts w:ascii="Arial" w:cs="Arial" w:eastAsia="Arial" w:hAnsi="Arial"/>
          <w:sz w:val="17"/>
          <w:szCs w:val="17"/>
          <w:color w:val="auto"/>
        </w:rPr>
        <w:t>In connection with the filing by HighCape Capital Acquisition Corp. (the “Company”) of the Registration Statement on Form S-1 (the “Registration Statement”) with the U.S. Securities and Exchange Commission under the Securities Act of 1933, as amended (the “Securities Act”), I hereby consent, pursuant to Rule 438 of the Securities Act, to being named to the board of directors of the Company in the Registration Statement and any and all amendments and supplements thereto. I also consent to the filing of this consent as an exhibit to such Registration Statement and any amendments thereto.</w:t>
      </w:r>
    </w:p>
    <w:p>
      <w:pPr>
        <w:spacing w:after="0" w:line="218" w:lineRule="exact"/>
        <w:rPr>
          <w:sz w:val="20"/>
          <w:szCs w:val="20"/>
          <w:color w:val="auto"/>
        </w:rPr>
      </w:pPr>
    </w:p>
    <w:p>
      <w:pPr>
        <w:ind w:left="140"/>
        <w:spacing w:after="0"/>
        <w:tabs>
          <w:tab w:leader="none" w:pos="4440" w:val="left"/>
        </w:tabs>
        <w:rPr>
          <w:sz w:val="20"/>
          <w:szCs w:val="20"/>
          <w:color w:val="auto"/>
        </w:rPr>
      </w:pPr>
      <w:r>
        <w:rPr>
          <w:rFonts w:ascii="Arial" w:cs="Arial" w:eastAsia="Arial" w:hAnsi="Arial"/>
          <w:sz w:val="18"/>
          <w:szCs w:val="18"/>
          <w:color w:val="auto"/>
        </w:rPr>
        <w:t>Dated: August 3, 2020</w:t>
      </w:r>
      <w:r>
        <w:rPr>
          <w:sz w:val="20"/>
          <w:szCs w:val="20"/>
          <w:color w:val="auto"/>
        </w:rPr>
        <w:tab/>
      </w:r>
      <w:r>
        <w:rPr>
          <w:rFonts w:ascii="Arial" w:cs="Arial" w:eastAsia="Arial" w:hAnsi="Arial"/>
          <w:sz w:val="17"/>
          <w:szCs w:val="17"/>
          <w:color w:val="auto"/>
        </w:rPr>
        <w:t>/s/ Antony Loebel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48895</wp:posOffset>
            </wp:positionV>
            <wp:extent cx="24688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Antony Loebel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6341110</wp:posOffset>
            </wp:positionV>
            <wp:extent cx="68065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80" w:name="page181"/>
    <w:bookmarkEnd w:id="180"/>
    <w:p>
      <w:pPr>
        <w:jc w:val="right"/>
        <w:ind w:right="659"/>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Consent to be Named as a Director</w:t>
      </w:r>
    </w:p>
    <w:p>
      <w:pPr>
        <w:spacing w:after="0" w:line="148" w:lineRule="exact"/>
        <w:rPr>
          <w:sz w:val="20"/>
          <w:szCs w:val="20"/>
          <w:color w:val="auto"/>
        </w:rPr>
      </w:pPr>
    </w:p>
    <w:p>
      <w:pPr>
        <w:ind w:left="140" w:right="679" w:firstLine="360"/>
        <w:spacing w:after="0" w:line="273" w:lineRule="auto"/>
        <w:rPr>
          <w:sz w:val="20"/>
          <w:szCs w:val="20"/>
          <w:color w:val="auto"/>
        </w:rPr>
      </w:pPr>
      <w:r>
        <w:rPr>
          <w:rFonts w:ascii="Arial" w:cs="Arial" w:eastAsia="Arial" w:hAnsi="Arial"/>
          <w:sz w:val="17"/>
          <w:szCs w:val="17"/>
          <w:color w:val="auto"/>
        </w:rPr>
        <w:t>In connection with the filing by HighCape Capital Acquisition Corp. (the “Company”) of the Registration Statement on Form S-1 (the “Registration Statement”) with the U.S. Securities and Exchange Commission under the Securities Act of 1933, as amended (the “Securities Act”), I hereby consent, pursuant to Rule 438 of the Securities Act, to being named to the board of directors of the Company in the Registration Statement and any and all amendments and supplements thereto. I also consent to the filing of this consent as an exhibit to such Registration Statement and any amendments thereto.</w:t>
      </w:r>
    </w:p>
    <w:p>
      <w:pPr>
        <w:spacing w:after="0" w:line="218" w:lineRule="exact"/>
        <w:rPr>
          <w:sz w:val="20"/>
          <w:szCs w:val="20"/>
          <w:color w:val="auto"/>
        </w:rPr>
      </w:pPr>
    </w:p>
    <w:p>
      <w:pPr>
        <w:ind w:left="140"/>
        <w:spacing w:after="0"/>
        <w:tabs>
          <w:tab w:leader="none" w:pos="4440" w:val="left"/>
        </w:tabs>
        <w:rPr>
          <w:sz w:val="20"/>
          <w:szCs w:val="20"/>
          <w:color w:val="auto"/>
        </w:rPr>
      </w:pPr>
      <w:r>
        <w:rPr>
          <w:rFonts w:ascii="Arial" w:cs="Arial" w:eastAsia="Arial" w:hAnsi="Arial"/>
          <w:sz w:val="18"/>
          <w:szCs w:val="18"/>
          <w:color w:val="auto"/>
        </w:rPr>
        <w:t>Dated: August 3, 2020</w:t>
      </w:r>
      <w:r>
        <w:rPr>
          <w:sz w:val="20"/>
          <w:szCs w:val="20"/>
          <w:color w:val="auto"/>
        </w:rPr>
        <w:tab/>
      </w:r>
      <w:r>
        <w:rPr>
          <w:rFonts w:ascii="Arial" w:cs="Arial" w:eastAsia="Arial" w:hAnsi="Arial"/>
          <w:sz w:val="16"/>
          <w:szCs w:val="16"/>
          <w:color w:val="auto"/>
        </w:rPr>
        <w:t>/s/ Robert Taub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48895</wp:posOffset>
            </wp:positionV>
            <wp:extent cx="24688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Robert Taub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6341110</wp:posOffset>
            </wp:positionV>
            <wp:extent cx="68065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9019"/>
      </w:cols>
      <w:pgMar w:left="1440" w:top="1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decimal"/>
      <w:start w:val="1"/>
    </w:lvl>
  </w:abstractNum>
  <w:abstractNum w:abstractNumId="1">
    <w:nsid w:val="75C6C33A"/>
    <w:multiLevelType w:val="hybridMultilevel"/>
    <w:lvl w:ilvl="0">
      <w:lvlJc w:val="left"/>
      <w:lvlText w:val="(%1)"/>
      <w:numFmt w:val="decimal"/>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amp;"/>
      <w:numFmt w:val="bullet"/>
      <w:start w:val="1"/>
    </w:lvl>
  </w:abstractNum>
  <w:abstractNum w:abstractNumId="6">
    <w:nsid w:val="4F4EF005"/>
    <w:multiLevelType w:val="hybridMultilevel"/>
    <w:lvl w:ilvl="0">
      <w:lvlJc w:val="left"/>
      <w:lvlText w:val="(%1)"/>
      <w:numFmt w:val="lowerRoman"/>
      <w:start w:val="5"/>
    </w:lvl>
  </w:abstractNum>
  <w:abstractNum w:abstractNumId="7">
    <w:nsid w:val="23F9C13C"/>
    <w:multiLevelType w:val="hybridMultilevel"/>
    <w:lvl w:ilvl="0">
      <w:lvlJc w:val="left"/>
      <w:lvlText w:val="(%1)"/>
      <w:numFmt w:val="lowerLetter"/>
      <w:start w:val="1"/>
    </w:lvl>
  </w:abstractNum>
  <w:abstractNum w:abstractNumId="8">
    <w:nsid w:val="649BB77C"/>
    <w:multiLevelType w:val="hybridMultilevel"/>
    <w:lvl w:ilvl="0">
      <w:lvlJc w:val="left"/>
      <w:lvlText w:val="(%1)"/>
      <w:numFmt w:val="decimal"/>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1)"/>
      <w:numFmt w:val="lowerRoman"/>
      <w:start w:val="3"/>
    </w:lvl>
  </w:abstractNum>
  <w:abstractNum w:abstractNumId="11">
    <w:nsid w:val="1CF10FD8"/>
    <w:multiLevelType w:val="hybridMultilevel"/>
    <w:lvl w:ilvl="0">
      <w:lvlJc w:val="left"/>
      <w:lvlText w:val="(%1)"/>
      <w:numFmt w:val="lowerRoman"/>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1)"/>
      <w:numFmt w:val="decimal"/>
      <w:start w:val="1"/>
    </w:lvl>
  </w:abstractNum>
  <w:abstractNum w:abstractNumId="16">
    <w:nsid w:val="15B5AF5C"/>
    <w:multiLevelType w:val="hybridMultilevel"/>
    <w:lvl w:ilvl="0">
      <w:lvlJc w:val="left"/>
      <w:lvlText w:val="(%1)"/>
      <w:numFmt w:val="lowerLetter"/>
      <w:start w:val="25"/>
    </w:lvl>
  </w:abstractNum>
  <w:abstractNum w:abstractNumId="17">
    <w:nsid w:val="741226BB"/>
    <w:multiLevelType w:val="hybridMultilevel"/>
    <w:lvl w:ilvl="0">
      <w:lvlJc w:val="left"/>
      <w:lvlText w:val="(%1)"/>
      <w:numFmt w:val="lowerLetter"/>
      <w:start w:val="2"/>
    </w:lvl>
    <w:lvl w:ilvl="1">
      <w:lvlJc w:val="left"/>
      <w:lvlText w:val="•"/>
      <w:numFmt w:val="bullet"/>
      <w:start w:val="1"/>
    </w:lvl>
  </w:abstractNum>
  <w:abstractNum w:abstractNumId="18">
    <w:nsid w:val="D34B6A8"/>
    <w:multiLevelType w:val="hybridMultilevel"/>
    <w:lvl w:ilvl="0">
      <w:lvlJc w:val="left"/>
      <w:lvlText w:val="(%1)"/>
      <w:numFmt w:val="lowerLetter"/>
      <w:start w:val="25"/>
    </w:lvl>
    <w:lvl w:ilvl="1">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1)"/>
      <w:numFmt w:val="lowerRoman"/>
      <w:start w:val="2"/>
    </w:lvl>
  </w:abstractNum>
  <w:abstractNum w:abstractNumId="22">
    <w:nsid w:val="7E0C57B1"/>
    <w:multiLevelType w:val="hybridMultilevel"/>
    <w:lvl w:ilvl="0">
      <w:lvlJc w:val="left"/>
      <w:lvlText w:val="(%1)"/>
      <w:numFmt w:val="lowerRoman"/>
      <w:start w:val="2"/>
    </w:lvl>
  </w:abstractNum>
  <w:abstractNum w:abstractNumId="23">
    <w:nsid w:val="77AE35EB"/>
    <w:multiLevelType w:val="hybridMultilevel"/>
    <w:lvl w:ilvl="0">
      <w:lvlJc w:val="left"/>
      <w:lvlText w:val="(%1)"/>
      <w:numFmt w:val="lowerRoman"/>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1)"/>
      <w:numFmt w:val="upperLetter"/>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1)"/>
      <w:numFmt w:val="decimal"/>
      <w:start w:val="3"/>
    </w:lvl>
  </w:abstractNum>
  <w:abstractNum w:abstractNumId="30">
    <w:nsid w:val="4AD084E9"/>
    <w:multiLevelType w:val="hybridMultilevel"/>
    <w:lvl w:ilvl="0">
      <w:lvlJc w:val="left"/>
      <w:lvlText w:val="(%1)"/>
      <w:numFmt w:val="decimal"/>
      <w:start w:val="1"/>
    </w:lvl>
  </w:abstractNum>
  <w:abstractNum w:abstractNumId="31">
    <w:nsid w:val="1F48EAA1"/>
    <w:multiLevelType w:val="hybridMultilevel"/>
    <w:lvl w:ilvl="0">
      <w:lvlJc w:val="left"/>
      <w:lvlText w:val="(%1)"/>
      <w:numFmt w:val="decimal"/>
      <w:start w:val="1"/>
    </w:lvl>
  </w:abstractNum>
  <w:abstractNum w:abstractNumId="32">
    <w:nsid w:val="1381823A"/>
    <w:multiLevelType w:val="hybridMultilevel"/>
    <w:lvl w:ilvl="0">
      <w:lvlJc w:val="left"/>
      <w:lvlText w:val="(%1)"/>
      <w:numFmt w:val="decimal"/>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1)"/>
      <w:numFmt w:val="lowerRoman"/>
      <w:start w:val="2"/>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amp;"/>
      <w:numFmt w:val="bullet"/>
      <w:start w:val="1"/>
    </w:lvl>
  </w:abstractNum>
  <w:abstractNum w:abstractNumId="40">
    <w:nsid w:val="6B94764"/>
    <w:multiLevelType w:val="hybridMultilevel"/>
    <w:lvl w:ilvl="0">
      <w:lvlJc w:val="left"/>
      <w:lvlText w:val="(%1)"/>
      <w:numFmt w:val="lowerRoman"/>
      <w:start w:val="5"/>
    </w:lvl>
  </w:abstractNum>
  <w:abstractNum w:abstractNumId="41">
    <w:nsid w:val="42C296BD"/>
    <w:multiLevelType w:val="hybridMultilevel"/>
    <w:lvl w:ilvl="0">
      <w:lvlJc w:val="left"/>
      <w:lvlText w:val="(%1)"/>
      <w:numFmt w:val="lowerLetter"/>
      <w:start w:val="3"/>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1)"/>
      <w:numFmt w:val="lowerRoman"/>
      <w:start w:val="2"/>
    </w:lvl>
  </w:abstractNum>
  <w:abstractNum w:abstractNumId="47">
    <w:nsid w:val="7BD3EE7B"/>
    <w:multiLevelType w:val="hybridMultilevel"/>
    <w:lvl w:ilvl="0">
      <w:lvlJc w:val="left"/>
      <w:lvlText w:val="(%1)"/>
      <w:numFmt w:val="lowerLetter"/>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1)"/>
      <w:numFmt w:val="decimal"/>
      <w:start w:val="1"/>
    </w:lvl>
  </w:abstractNum>
  <w:abstractNum w:abstractNumId="56">
    <w:nsid w:val="3B0FD379"/>
    <w:multiLevelType w:val="hybridMultilevel"/>
    <w:lvl w:ilvl="0">
      <w:lvlJc w:val="left"/>
      <w:lvlText w:val="(%1)"/>
      <w:numFmt w:val="decimal"/>
      <w:start w:val="3"/>
    </w:lvl>
  </w:abstractNum>
  <w:abstractNum w:abstractNumId="57">
    <w:nsid w:val="68EB2F63"/>
    <w:multiLevelType w:val="hybridMultilevel"/>
    <w:lvl w:ilvl="0">
      <w:lvlJc w:val="left"/>
      <w:lvlText w:val="(%1)"/>
      <w:numFmt w:val="lowerRoman"/>
      <w:start w:val="1"/>
    </w:lvl>
  </w:abstractNum>
  <w:abstractNum w:abstractNumId="58">
    <w:nsid w:val="4962813B"/>
    <w:multiLevelType w:val="hybridMultilevel"/>
    <w:lvl w:ilvl="0">
      <w:lvlJc w:val="left"/>
      <w:lvlText w:val="(%1)"/>
      <w:numFmt w:val="lowerLetter"/>
      <w:start w:val="7"/>
    </w:lvl>
  </w:abstractNum>
  <w:abstractNum w:abstractNumId="59">
    <w:nsid w:val="60B6DF70"/>
    <w:multiLevelType w:val="hybridMultilevel"/>
    <w:lvl w:ilvl="0">
      <w:lvlJc w:val="left"/>
      <w:lvlText w:val="(%1)"/>
      <w:numFmt w:val="lowerRoman"/>
      <w:start w:val="2"/>
    </w:lvl>
  </w:abstractNum>
  <w:abstractNum w:abstractNumId="60">
    <w:nsid w:val="6A5EE64"/>
    <w:multiLevelType w:val="hybridMultilevel"/>
    <w:lvl w:ilvl="0">
      <w:lvlJc w:val="left"/>
      <w:lvlText w:val="(%1)"/>
      <w:numFmt w:val="lowerRoman"/>
      <w:start w:val="1"/>
    </w:lvl>
  </w:abstractNum>
  <w:abstractNum w:abstractNumId="61">
    <w:nsid w:val="14330624"/>
    <w:multiLevelType w:val="hybridMultilevel"/>
    <w:lvl w:ilvl="0">
      <w:lvlJc w:val="left"/>
      <w:lvlText w:val="(%1)"/>
      <w:numFmt w:val="lowerRoman"/>
      <w:start w:val="3"/>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1)"/>
      <w:numFmt w:val="lowerRoman"/>
      <w:start w:val="3"/>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1)"/>
      <w:numFmt w:val="lowerRoman"/>
      <w:start w:val="2"/>
    </w:lvl>
  </w:abstractNum>
  <w:abstractNum w:abstractNumId="66">
    <w:nsid w:val="7FB7E0AA"/>
    <w:multiLevelType w:val="hybridMultilevel"/>
    <w:lvl w:ilvl="0">
      <w:lvlJc w:val="left"/>
      <w:lvlText w:val="(%1)"/>
      <w:numFmt w:val="lowerLetter"/>
      <w:start w:val="25"/>
    </w:lvl>
  </w:abstractNum>
  <w:abstractNum w:abstractNumId="67">
    <w:nsid w:val="6EB5BD4"/>
    <w:multiLevelType w:val="hybridMultilevel"/>
    <w:lvl w:ilvl="0">
      <w:lvlJc w:val="left"/>
      <w:lvlText w:val="(%1)"/>
      <w:numFmt w:val="lowerRoman"/>
      <w:start w:val="2"/>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1)"/>
      <w:numFmt w:val="lowerRoman"/>
      <w:start w:val="2"/>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
      <w:numFmt w:val="bullet"/>
      <w:start w:val="1"/>
    </w:lvl>
  </w:abstractNum>
  <w:abstractNum w:abstractNumId="78">
    <w:nsid w:val="2DF6D648"/>
    <w:multiLevelType w:val="hybridMultilevel"/>
    <w:lvl w:ilvl="0">
      <w:lvlJc w:val="left"/>
      <w:lvlText w:val="\emdash "/>
      <w:numFmt w:val="bullet"/>
      <w:start w:val="1"/>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emdash "/>
      <w:numFmt w:val="bullet"/>
      <w:start w:val="1"/>
    </w:lvl>
  </w:abstractNum>
  <w:abstractNum w:abstractNumId="81">
    <w:nsid w:val="39EE015C"/>
    <w:multiLevelType w:val="hybridMultilevel"/>
    <w:lvl w:ilvl="0">
      <w:lvlJc w:val="left"/>
      <w:lvlText w:val="(%1)"/>
      <w:numFmt w:val="decimal"/>
      <w:start w:val="1"/>
    </w:lvl>
  </w:abstractNum>
  <w:abstractNum w:abstractNumId="82">
    <w:nsid w:val="57FC4FBB"/>
    <w:multiLevelType w:val="hybridMultilevel"/>
    <w:lvl w:ilvl="0">
      <w:lvlJc w:val="left"/>
      <w:lvlText w:val="•"/>
      <w:numFmt w:val="bullet"/>
      <w:start w:val="1"/>
    </w:lvl>
  </w:abstractNum>
  <w:abstractNum w:abstractNumId="83">
    <w:nsid w:val="CC1016F"/>
    <w:multiLevelType w:val="hybridMultilevel"/>
    <w:lvl w:ilvl="0">
      <w:lvlJc w:val="left"/>
      <w:lvlText w:val="•"/>
      <w:numFmt w:val="bullet"/>
      <w:start w:val="1"/>
    </w:lvl>
  </w:abstractNum>
  <w:abstractNum w:abstractNumId="84">
    <w:nsid w:val="43F18422"/>
    <w:multiLevelType w:val="hybridMultilevel"/>
    <w:lvl w:ilvl="0">
      <w:lvlJc w:val="left"/>
      <w:lvlText w:val="(%1)"/>
      <w:numFmt w:val="lowerLetter"/>
      <w:start w:val="1"/>
    </w:lvl>
  </w:abstractNum>
  <w:abstractNum w:abstractNumId="85">
    <w:nsid w:val="60EF0119"/>
    <w:multiLevelType w:val="hybridMultilevel"/>
    <w:lvl w:ilvl="0">
      <w:lvlJc w:val="left"/>
      <w:lvlText w:val="(%1)"/>
      <w:numFmt w:val="lowerRoman"/>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1)"/>
      <w:numFmt w:val="decimal"/>
      <w:start w:val="1"/>
    </w:lvl>
  </w:abstractNum>
  <w:abstractNum w:abstractNumId="90">
    <w:nsid w:val="5FB8370B"/>
    <w:multiLevelType w:val="hybridMultilevel"/>
    <w:lvl w:ilvl="0">
      <w:lvlJc w:val="left"/>
      <w:lvlText w:val="(%1)"/>
      <w:numFmt w:val="decimal"/>
      <w:start w:val="1"/>
    </w:lvl>
  </w:abstractNum>
  <w:abstractNum w:abstractNumId="91">
    <w:nsid w:val="50801EE1"/>
    <w:multiLevelType w:val="hybridMultilevel"/>
    <w:lvl w:ilvl="0">
      <w:lvlJc w:val="left"/>
      <w:lvlText w:val="(%1)"/>
      <w:numFmt w:val="decimal"/>
      <w:start w:val="1"/>
    </w:lvl>
  </w:abstractNum>
  <w:abstractNum w:abstractNumId="92">
    <w:nsid w:val="488AC1A"/>
    <w:multiLevelType w:val="hybridMultilevel"/>
    <w:lvl w:ilvl="0">
      <w:lvlJc w:val="left"/>
      <w:lvlText w:val="(%1)"/>
      <w:numFmt w:val="upperLetter"/>
      <w:start w:val="2"/>
    </w:lvl>
  </w:abstractNum>
  <w:abstractNum w:abstractNumId="93">
    <w:nsid w:val="5FB8011C"/>
    <w:multiLevelType w:val="hybridMultilevel"/>
    <w:lvl w:ilvl="0">
      <w:lvlJc w:val="left"/>
      <w:lvlText w:val="(%1)"/>
      <w:numFmt w:val="decimal"/>
      <w:start w:val="1"/>
    </w:lvl>
  </w:abstractNum>
  <w:abstractNum w:abstractNumId="94">
    <w:nsid w:val="6AA78F7F"/>
    <w:multiLevelType w:val="hybridMultilevel"/>
    <w:lvl w:ilvl="0">
      <w:lvlJc w:val="left"/>
      <w:lvlText w:val="•"/>
      <w:numFmt w:val="bullet"/>
      <w:start w:val="1"/>
    </w:lvl>
  </w:abstractNum>
  <w:abstractNum w:abstractNumId="95">
    <w:nsid w:val="7672BD23"/>
    <w:multiLevelType w:val="hybridMultilevel"/>
    <w:lvl w:ilvl="0">
      <w:lvlJc w:val="left"/>
      <w:lvlText w:val="(%1)"/>
      <w:numFmt w:val="decimal"/>
      <w:start w:val="1"/>
    </w:lvl>
  </w:abstractNum>
  <w:abstractNum w:abstractNumId="96">
    <w:nsid w:val="6FC75AF8"/>
    <w:multiLevelType w:val="hybridMultilevel"/>
    <w:lvl w:ilvl="0">
      <w:lvlJc w:val="left"/>
      <w:lvlText w:val="(%1)"/>
      <w:numFmt w:val="lowerLetter"/>
      <w:start w:val="1"/>
    </w:lvl>
  </w:abstractNum>
  <w:abstractNum w:abstractNumId="97">
    <w:nsid w:val="6A5F7029"/>
    <w:multiLevelType w:val="hybridMultilevel"/>
    <w:lvl w:ilvl="0">
      <w:lvlJc w:val="left"/>
      <w:lvlText w:val="(%1)"/>
      <w:numFmt w:val="lowerLetter"/>
      <w:start w:val="3"/>
    </w:lvl>
  </w:abstractNum>
  <w:abstractNum w:abstractNumId="98">
    <w:nsid w:val="7D5E18F8"/>
    <w:multiLevelType w:val="hybridMultilevel"/>
    <w:lvl w:ilvl="0">
      <w:lvlJc w:val="left"/>
      <w:lvlText w:val="(%1)"/>
      <w:numFmt w:val="lowerLetter"/>
      <w:start w:val="8"/>
    </w:lvl>
  </w:abstractNum>
  <w:abstractNum w:abstractNumId="99">
    <w:nsid w:val="5F3534A4"/>
    <w:multiLevelType w:val="hybridMultilevel"/>
    <w:lvl w:ilvl="0">
      <w:lvlJc w:val="left"/>
      <w:lvlText w:val="%1"/>
      <w:numFmt w:val="decimal"/>
      <w:start w:val="24"/>
    </w:lvl>
  </w:abstractNum>
  <w:abstractNum w:abstractNumId="100">
    <w:nsid w:val="73A1821B"/>
    <w:multiLevelType w:val="hybridMultilevel"/>
    <w:lvl w:ilvl="0">
      <w:lvlJc w:val="left"/>
      <w:lvlText w:val="*"/>
      <w:numFmt w:val="bullet"/>
      <w:start w:val="1"/>
    </w:lvl>
    <w:lvl w:ilvl="1">
      <w:lvlJc w:val="left"/>
      <w:lvlText w:val="(%2)"/>
      <w:numFmt w:val="lowerLetter"/>
      <w:start w:val="2"/>
    </w:lvl>
  </w:abstractNum>
  <w:abstractNum w:abstractNumId="101">
    <w:nsid w:val="7DE67713"/>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2020-08-03T05:24:10Z</dcterms:created>
  <dcterms:modified xsi:type="dcterms:W3CDTF">2020-08-03T05:24:10Z</dcterms:modified>
</cp:coreProperties>
</file>