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540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63"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3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79"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_________</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001-39486</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QUANTUM-SI INCORPORATED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57" w:lineRule="exact"/>
        <w:rPr>
          <w:sz w:val="24"/>
          <w:szCs w:val="24"/>
          <w:color w:val="auto"/>
        </w:rPr>
      </w:pPr>
    </w:p>
    <w:tbl>
      <w:tblPr>
        <w:tblLayout w:type="fixed"/>
        <w:tblInd w:w="640" w:type="dxa"/>
        <w:tblCellMar>
          <w:top w:w="0" w:type="dxa"/>
          <w:left w:w="0" w:type="dxa"/>
          <w:bottom w:w="0" w:type="dxa"/>
          <w:right w:w="0" w:type="dxa"/>
        </w:tblCellMar>
      </w:tblPr>
      <w:tr>
        <w:trPr>
          <w:trHeight w:val="238"/>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85-1388175</w:t>
            </w:r>
          </w:p>
        </w:tc>
      </w:tr>
      <w:tr>
        <w:trPr>
          <w:trHeight w:val="257"/>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8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29 Business Park Drive</w:t>
            </w:r>
          </w:p>
        </w:tc>
        <w:tc>
          <w:tcPr>
            <w:tcW w:w="3720" w:type="dxa"/>
            <w:vAlign w:val="bottom"/>
          </w:tcPr>
          <w:p>
            <w:pPr>
              <w:spacing w:after="0"/>
              <w:rPr>
                <w:sz w:val="24"/>
                <w:szCs w:val="24"/>
                <w:color w:val="auto"/>
              </w:rPr>
            </w:pPr>
          </w:p>
        </w:tc>
      </w:tr>
      <w:tr>
        <w:trPr>
          <w:trHeight w:val="257"/>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9"/>
              </w:rPr>
              <w:t>Branford, Connecticut</w:t>
            </w:r>
          </w:p>
        </w:tc>
        <w:tc>
          <w:tcPr>
            <w:tcW w:w="37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06405</w:t>
            </w:r>
          </w:p>
        </w:tc>
      </w:tr>
      <w:tr>
        <w:trPr>
          <w:trHeight w:val="256"/>
        </w:trPr>
        <w:tc>
          <w:tcPr>
            <w:tcW w:w="540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72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(866) 688-7374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680" w:type="dxa"/>
            <w:vAlign w:val="bottom"/>
          </w:tcPr>
          <w:p>
            <w:pPr>
              <w:spacing w:after="0"/>
              <w:rPr>
                <w:sz w:val="18"/>
                <w:szCs w:val="18"/>
                <w:color w:val="auto"/>
              </w:rPr>
            </w:pPr>
          </w:p>
        </w:tc>
      </w:tr>
      <w:tr>
        <w:trPr>
          <w:trHeight w:val="272"/>
        </w:trPr>
        <w:tc>
          <w:tcPr>
            <w:tcW w:w="4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00" w:type="dxa"/>
            <w:vAlign w:val="bottom"/>
          </w:tcPr>
          <w:p>
            <w:pPr>
              <w:spacing w:after="0"/>
              <w:rPr>
                <w:sz w:val="23"/>
                <w:szCs w:val="23"/>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Class A common stock, $0.0001 per share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QSI</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5"/>
        </w:trPr>
        <w:tc>
          <w:tcPr>
            <w:tcW w:w="4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Redeemable warrants, each whole warrant exercisable for one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QSIAW</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 of Class A common stock, each at an exercise price of</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80" w:type="dxa"/>
            <w:vAlign w:val="bottom"/>
          </w:tcPr>
          <w:p>
            <w:pPr>
              <w:spacing w:after="0"/>
              <w:rPr>
                <w:sz w:val="18"/>
                <w:szCs w:val="18"/>
                <w:color w:val="auto"/>
              </w:rPr>
            </w:pPr>
          </w:p>
        </w:tc>
      </w:tr>
      <w:tr>
        <w:trPr>
          <w:trHeight w:val="234"/>
        </w:trPr>
        <w:tc>
          <w:tcPr>
            <w:tcW w:w="4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$11.50 per share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r>
    </w:tbl>
    <w:p>
      <w:pPr>
        <w:spacing w:after="0" w:line="30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5" w:lineRule="exact"/>
        <w:rPr>
          <w:sz w:val="24"/>
          <w:szCs w:val="24"/>
          <w:color w:val="auto"/>
        </w:rPr>
      </w:pPr>
    </w:p>
    <w:tbl>
      <w:tblPr>
        <w:tblLayout w:type="fixed"/>
        <w:tblInd w:w="20" w:type="dxa"/>
        <w:tblCellMar>
          <w:top w:w="0" w:type="dxa"/>
          <w:left w:w="0" w:type="dxa"/>
          <w:bottom w:w="0" w:type="dxa"/>
          <w:right w:w="0" w:type="dxa"/>
        </w:tblCellMar>
      </w:tblPr>
      <w:tr>
        <w:trPr>
          <w:trHeight w:val="24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140"/>
              <w:spacing w:after="0"/>
              <w:rPr>
                <w:sz w:val="20"/>
                <w:szCs w:val="20"/>
                <w:color w:val="auto"/>
              </w:rPr>
            </w:pPr>
            <w:r>
              <w:rPr>
                <w:rFonts w:ascii="Wingdings" w:cs="Wingdings" w:eastAsia="Wingdings" w:hAnsi="Wingdings"/>
                <w:sz w:val="22"/>
                <w:szCs w:val="22"/>
                <w:b w:val="1"/>
                <w:bCs w:val="1"/>
                <w:color w:val="auto"/>
              </w:rPr>
              <w:t>o</w:t>
            </w:r>
          </w:p>
        </w:tc>
        <w:tc>
          <w:tcPr>
            <w:tcW w:w="3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Accelerated filer</w:t>
            </w:r>
          </w:p>
        </w:tc>
        <w:tc>
          <w:tcPr>
            <w:tcW w:w="1160" w:type="dxa"/>
            <w:vAlign w:val="bottom"/>
          </w:tcPr>
          <w:p>
            <w:pPr>
              <w:ind w:left="980"/>
              <w:spacing w:after="0"/>
              <w:rPr>
                <w:sz w:val="20"/>
                <w:szCs w:val="20"/>
                <w:color w:val="auto"/>
              </w:rPr>
            </w:pPr>
            <w:r>
              <w:rPr>
                <w:rFonts w:ascii="Wingdings" w:cs="Wingdings" w:eastAsia="Wingdings" w:hAnsi="Wingdings"/>
                <w:sz w:val="22"/>
                <w:szCs w:val="22"/>
                <w:b w:val="1"/>
                <w:bCs w:val="1"/>
                <w:color w:val="auto"/>
                <w:w w:val="81"/>
              </w:rPr>
              <w:t>o</w:t>
            </w:r>
          </w:p>
        </w:tc>
      </w:tr>
      <w:tr>
        <w:trPr>
          <w:trHeight w:val="354"/>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140"/>
              <w:spacing w:after="0" w:line="221" w:lineRule="exact"/>
              <w:rPr>
                <w:sz w:val="20"/>
                <w:szCs w:val="20"/>
                <w:color w:val="auto"/>
              </w:rPr>
            </w:pPr>
            <w:r>
              <w:rPr>
                <w:rFonts w:ascii="MS PGothic" w:cs="MS PGothic" w:eastAsia="MS PGothic" w:hAnsi="MS PGothic"/>
                <w:sz w:val="22"/>
                <w:szCs w:val="22"/>
                <w:color w:val="auto"/>
              </w:rPr>
              <w:t>☒</w:t>
            </w:r>
          </w:p>
        </w:tc>
        <w:tc>
          <w:tcPr>
            <w:tcW w:w="3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160" w:type="dxa"/>
            <w:vAlign w:val="bottom"/>
          </w:tcPr>
          <w:p>
            <w:pPr>
              <w:ind w:left="98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251"/>
        </w:trPr>
        <w:tc>
          <w:tcPr>
            <w:tcW w:w="276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7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160" w:type="dxa"/>
            <w:vAlign w:val="bottom"/>
          </w:tcPr>
          <w:p>
            <w:pPr>
              <w:ind w:left="980"/>
              <w:spacing w:after="0"/>
              <w:rPr>
                <w:sz w:val="20"/>
                <w:szCs w:val="20"/>
                <w:color w:val="auto"/>
              </w:rPr>
            </w:pPr>
            <w:r>
              <w:rPr>
                <w:rFonts w:ascii="Wingdings" w:cs="Wingdings" w:eastAsia="Wingdings" w:hAnsi="Wingdings"/>
                <w:sz w:val="22"/>
                <w:szCs w:val="22"/>
                <w:b w:val="1"/>
                <w:bCs w:val="1"/>
                <w:color w:val="auto"/>
                <w:w w:val="81"/>
              </w:rPr>
              <w:t>o</w:t>
            </w:r>
          </w:p>
        </w:tc>
      </w:tr>
    </w:tbl>
    <w:p>
      <w:pPr>
        <w:sectPr>
          <w:pgSz w:w="11900" w:h="16838" w:orient="portrait"/>
          <w:cols w:equalWidth="0" w:num="1">
            <w:col w:w="11240"/>
          </w:cols>
          <w:pgMar w:left="320" w:top="1407" w:right="339" w:bottom="65" w:gutter="0" w:footer="0" w:header="0"/>
        </w:sectPr>
      </w:pPr>
    </w:p>
    <w:bookmarkStart w:id="1" w:name="page2"/>
    <w:bookmarkEnd w:id="1"/>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9"/>
          <w:szCs w:val="19"/>
          <w:b w:val="1"/>
          <w:bCs w:val="1"/>
          <w:color w:val="auto"/>
        </w:rPr>
        <w:t>o</w:t>
      </w:r>
    </w:p>
    <w:p>
      <w:pPr>
        <w:spacing w:after="0" w:line="12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November 7, 2024, the registrant had 122,775,352 shares of Class A common stock outstanding and 19,937,500 shares of Class B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838835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180" w:type="dxa"/>
            <w:vAlign w:val="bottom"/>
            <w:gridSpan w:val="20"/>
          </w:tcPr>
          <w:p>
            <w:pPr>
              <w:spacing w:after="0" w:line="15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9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93"/>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14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5040" w:type="dxa"/>
            <w:vAlign w:val="bottom"/>
            <w:gridSpan w:val="9"/>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7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7480" w:type="dxa"/>
            <w:vAlign w:val="bottom"/>
            <w:gridSpan w:val="14"/>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September 30, 2024, and December 31, 2023 (unaudited)</w:t>
            </w:r>
          </w:p>
        </w:tc>
        <w:tc>
          <w:tcPr>
            <w:tcW w:w="1680" w:type="dxa"/>
            <w:vAlign w:val="bottom"/>
            <w:gridSpan w:val="4"/>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20" w:type="dxa"/>
            <w:vAlign w:val="bottom"/>
            <w:tcBorders>
              <w:top w:val="single" w:sz="8" w:color="0000FF"/>
              <w:bottom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30, 2024 and 2023 (unaudited)</w:t>
            </w:r>
          </w:p>
        </w:tc>
        <w:tc>
          <w:tcPr>
            <w:tcW w:w="6760" w:type="dxa"/>
            <w:vAlign w:val="bottom"/>
            <w:tcBorders>
              <w:top w:val="single" w:sz="8" w:color="0000FF"/>
            </w:tcBorders>
            <w:gridSpan w:val="10"/>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2024 and 2023 (unaudited)</w:t>
            </w:r>
          </w:p>
        </w:tc>
        <w:tc>
          <w:tcPr>
            <w:tcW w:w="380" w:type="dxa"/>
            <w:vAlign w:val="bottom"/>
            <w:tcBorders>
              <w:top w:val="single" w:sz="8" w:color="0000FF"/>
            </w:tcBorders>
            <w:gridSpan w:val="2"/>
          </w:tcPr>
          <w:p>
            <w:pPr>
              <w:spacing w:after="0"/>
              <w:rPr>
                <w:sz w:val="13"/>
                <w:szCs w:val="13"/>
                <w:color w:val="auto"/>
              </w:rPr>
            </w:pPr>
          </w:p>
        </w:tc>
        <w:tc>
          <w:tcPr>
            <w:tcW w:w="202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6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2024 and 2023 (unaudited)</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70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480" w:type="dxa"/>
            <w:vAlign w:val="bottom"/>
            <w:gridSpan w:val="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20" w:type="dxa"/>
            <w:vAlign w:val="bottom"/>
            <w:gridSpan w:val="5"/>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820" w:type="dxa"/>
            <w:vAlign w:val="bottom"/>
            <w:gridSpan w:val="7"/>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c>
          <w:tcPr>
            <w:tcW w:w="0" w:type="dxa"/>
            <w:vAlign w:val="bottom"/>
          </w:tcPr>
          <w:p>
            <w:pPr>
              <w:spacing w:after="0"/>
              <w:rPr>
                <w:sz w:val="1"/>
                <w:szCs w:val="1"/>
                <w:color w:val="auto"/>
              </w:rPr>
            </w:pPr>
          </w:p>
        </w:tc>
      </w:tr>
      <w:tr>
        <w:trPr>
          <w:trHeight w:val="47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7420" w:type="dxa"/>
            <w:vAlign w:val="bottom"/>
            <w:gridSpan w:val="1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60" w:type="dxa"/>
            <w:vAlign w:val="bottom"/>
            <w:tcBorders>
              <w:top w:val="single" w:sz="8" w:color="0000FF"/>
            </w:tcBorders>
          </w:tcPr>
          <w:p>
            <w:pPr>
              <w:spacing w:after="0"/>
              <w:rPr>
                <w:sz w:val="18"/>
                <w:szCs w:val="18"/>
                <w:color w:val="auto"/>
              </w:rPr>
            </w:pPr>
          </w:p>
        </w:tc>
        <w:tc>
          <w:tcPr>
            <w:tcW w:w="7680" w:type="dxa"/>
            <w:vAlign w:val="bottom"/>
            <w:gridSpan w:val="15"/>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840" w:type="dxa"/>
            <w:vAlign w:val="bottom"/>
            <w:gridSpan w:val="8"/>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840" w:type="dxa"/>
            <w:vAlign w:val="bottom"/>
            <w:gridSpan w:val="8"/>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860" w:type="dxa"/>
            <w:vAlign w:val="bottom"/>
            <w:gridSpan w:val="10"/>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4"/>
          </w:tcPr>
          <w:p>
            <w:pPr>
              <w:spacing w:after="0"/>
              <w:rPr>
                <w:sz w:val="18"/>
                <w:szCs w:val="18"/>
                <w:color w:val="auto"/>
              </w:rPr>
            </w:pPr>
          </w:p>
        </w:tc>
        <w:tc>
          <w:tcPr>
            <w:tcW w:w="7420" w:type="dxa"/>
            <w:vAlign w:val="bottom"/>
            <w:gridSpan w:val="13"/>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Quarterly Report on Form 10-Q, the terms “we”, “us”, “our”, the “Company” or “Quantum-Si” mean Quantum-Si Incorporated and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Quantum-Si Incorporated was incorporated in Delaware on June 10, 2020.</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as amended (the “Securities Act”), and Section 21E of the Securities Exchange Act of 1934, as amended (the “Exchange Act”), that relate to future events, our future operations or financial performance, or our plans, strategies and prospects. These statements are based on the beliefs and assumptions of our management team. Although we believe that our plans, intentions and expectations reflected in or suggested by these forward-looking statements are reasonable, we cannot assure that we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performance, are forward-looking statements. The actual results may differ from its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(or the negative versions of such words or expressions) are intended to identify such forward-looking statements. These forward-looking statements include, without limitation, our expectations with respect to future performance and development and commercialization of products and services. The forward-looking statements are based on projections prepared by, and are the responsibility of, management and involve significant risks and uncertainties that could cause the actual results to differ materially from those discussed in the forward-looking statements. Most of these factors are outside our control and are difficult to predict. Forward-looking statements contained in this Quarterly Report on Form 10-Q include, but are not limited to, statements about:</w:t>
      </w:r>
    </w:p>
    <w:p>
      <w:pPr>
        <w:spacing w:after="0" w:line="19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conflicts, pandemics or epidemics on our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the listing of our Class A common stock on The Nasdaq Stock Market LLC;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financing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and commercialization activities;</w:t>
      </w:r>
    </w:p>
    <w:p>
      <w:pPr>
        <w:spacing w:after="0" w:line="9" w:lineRule="exact"/>
        <w:rPr>
          <w:rFonts w:ascii="Times New Roman" w:cs="Times New Roman" w:eastAsia="Times New Roman" w:hAnsi="Times New Roman"/>
          <w:sz w:val="18"/>
          <w:szCs w:val="18"/>
          <w:color w:val="auto"/>
        </w:rPr>
      </w:pPr>
    </w:p>
    <w:p>
      <w:pPr>
        <w:ind w:left="660" w:hanging="328"/>
        <w:spacing w:after="0" w:line="21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and adoption of our existing products, including the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protein sequencing instrument, and the success of any product we may offer in the future;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for our products, and any related restrictions and limitations of any approved product;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in-license or acquire additional technology;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lease, license, manufacture and supply agreements;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currently marketing or engaged in the development or commercialization of products and services that serve customers engaged in proteomic analysis, many of which have greater financial and marketing resources than us;</w:t>
      </w: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our ability to serve those markets once commercialized, either alone or in partnership with others;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future revenue, capital requirements and needs for additional financing;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current expectations, forecasts and assumptions, and involve a number of judgments, risks and uncertainties. Important factors could cause actual results, performance or achievements to differ materially from those indicated or implied by forward-looking statements such as those described in Part I, Item 1A, “Risk Factors” of our Annual Report on Form 10-K for the fiscal year ended December 31, 2023, in Part II, Item 1A of our Quarterly Report on Form 10-Q for the quarter ended March 31, 2024 and this Quarterly Report on Form 10-Q, and in other filings that we make with the Securities and Exchange Commission. The risks described under the heading “Risk Factors” are not exhaustive. New risk factors emerge from time to time, and it is not possible to predict all such risk factors, nor can we assess the impact of all such risk factors on our business or the extent to which any factor or combination of factors may cause actual results to differ materially from those contained in any forward-looking statements. Forward-looking statements are not guarantees of performance. You should not put undue reliance on these statements, which speak only as of the date hereof. All forward-looking statements attributable to us or persons acting on our behalf are expressly qualified in their entirety by the foregoing cautionary statements. We undertake no obligation to update or revise publicly any forward-looking statements, whether as a result of new information, future events or otherwise, except as required by law.</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and par value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40"/>
        </w:trPr>
        <w:tc>
          <w:tcPr>
            <w:tcW w:w="8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42,268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133,860</w:t>
            </w:r>
          </w:p>
        </w:tc>
        <w:tc>
          <w:tcPr>
            <w:tcW w:w="0" w:type="dxa"/>
            <w:vAlign w:val="bottom"/>
          </w:tcPr>
          <w:p>
            <w:pPr>
              <w:spacing w:after="0"/>
              <w:rPr>
                <w:sz w:val="1"/>
                <w:szCs w:val="1"/>
                <w:color w:val="auto"/>
              </w:rPr>
            </w:pPr>
          </w:p>
        </w:tc>
      </w:tr>
      <w:tr>
        <w:trPr>
          <w:trHeight w:val="210"/>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Marketable securities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123,876</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of $0 and $0,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10"/>
        </w:trPr>
        <w:tc>
          <w:tcPr>
            <w:tcW w:w="8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8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w:t>
            </w:r>
          </w:p>
        </w:tc>
        <w:tc>
          <w:tcPr>
            <w:tcW w:w="0" w:type="dxa"/>
            <w:vAlign w:val="bottom"/>
          </w:tcPr>
          <w:p>
            <w:pPr>
              <w:spacing w:after="0"/>
              <w:rPr>
                <w:sz w:val="1"/>
                <w:szCs w:val="1"/>
                <w:color w:val="auto"/>
              </w:rPr>
            </w:pPr>
          </w:p>
        </w:tc>
      </w:tr>
      <w:tr>
        <w:trPr>
          <w:trHeight w:val="197"/>
        </w:trPr>
        <w:tc>
          <w:tcPr>
            <w:tcW w:w="806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205,828</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266,310</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16,275</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Internally developed software, net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14,438</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40"/>
        </w:trPr>
        <w:tc>
          <w:tcPr>
            <w:tcW w:w="8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236,454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298,250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80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8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payroll and payroll-related costs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4,943</w:t>
            </w:r>
          </w:p>
        </w:tc>
        <w:tc>
          <w:tcPr>
            <w:tcW w:w="0" w:type="dxa"/>
            <w:vAlign w:val="bottom"/>
          </w:tcPr>
          <w:p>
            <w:pPr>
              <w:spacing w:after="0"/>
              <w:rPr>
                <w:sz w:val="1"/>
                <w:szCs w:val="1"/>
                <w:color w:val="auto"/>
              </w:rPr>
            </w:pPr>
          </w:p>
        </w:tc>
      </w:tr>
      <w:tr>
        <w:trPr>
          <w:trHeight w:val="210"/>
        </w:trPr>
        <w:tc>
          <w:tcPr>
            <w:tcW w:w="8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Accrued contracted services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1,815</w:t>
            </w:r>
          </w:p>
        </w:tc>
        <w:tc>
          <w:tcPr>
            <w:tcW w:w="0" w:type="dxa"/>
            <w:vAlign w:val="bottom"/>
          </w:tcPr>
          <w:p>
            <w:pPr>
              <w:spacing w:after="0"/>
              <w:rPr>
                <w:sz w:val="1"/>
                <w:szCs w:val="1"/>
                <w:color w:val="auto"/>
              </w:rPr>
            </w:pPr>
          </w:p>
        </w:tc>
      </w:tr>
      <w:tr>
        <w:trPr>
          <w:trHeight w:val="223"/>
        </w:trPr>
        <w:tc>
          <w:tcPr>
            <w:tcW w:w="80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w:t>
            </w:r>
          </w:p>
        </w:tc>
        <w:tc>
          <w:tcPr>
            <w:tcW w:w="0" w:type="dxa"/>
            <w:vAlign w:val="bottom"/>
          </w:tcPr>
          <w:p>
            <w:pPr>
              <w:spacing w:after="0"/>
              <w:rPr>
                <w:sz w:val="1"/>
                <w:szCs w:val="1"/>
                <w:color w:val="auto"/>
              </w:rPr>
            </w:pPr>
          </w:p>
        </w:tc>
      </w:tr>
      <w:tr>
        <w:trPr>
          <w:trHeight w:val="40"/>
        </w:trPr>
        <w:tc>
          <w:tcPr>
            <w:tcW w:w="8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11,609</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Warrant liabilities</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w:t>
            </w:r>
          </w:p>
        </w:tc>
        <w:tc>
          <w:tcPr>
            <w:tcW w:w="0" w:type="dxa"/>
            <w:vAlign w:val="bottom"/>
          </w:tcPr>
          <w:p>
            <w:pPr>
              <w:spacing w:after="0"/>
              <w:rPr>
                <w:sz w:val="1"/>
                <w:szCs w:val="1"/>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40"/>
        </w:trPr>
        <w:tc>
          <w:tcPr>
            <w:tcW w:w="8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26,631</w:t>
            </w:r>
          </w:p>
        </w:tc>
        <w:tc>
          <w:tcPr>
            <w:tcW w:w="0" w:type="dxa"/>
            <w:vAlign w:val="bottom"/>
          </w:tcPr>
          <w:p>
            <w:pPr>
              <w:spacing w:after="0"/>
              <w:rPr>
                <w:sz w:val="1"/>
                <w:szCs w:val="1"/>
                <w:color w:val="auto"/>
              </w:rPr>
            </w:pPr>
          </w:p>
        </w:tc>
      </w:tr>
      <w:tr>
        <w:trPr>
          <w:trHeight w:val="149"/>
        </w:trPr>
        <w:tc>
          <w:tcPr>
            <w:tcW w:w="8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Common stock, $0.0001 par value; 600,000,000 shares authorized as of September 30, 2024 and December 31,</w:t>
            </w: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2023; 122,775,352 and 121,832,417 shares issued and outstanding as of September 30, 2024 and December 31, 2023,</w:t>
            </w:r>
          </w:p>
        </w:tc>
        <w:tc>
          <w:tcPr>
            <w:tcW w:w="20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20"/>
        </w:trPr>
        <w:tc>
          <w:tcPr>
            <w:tcW w:w="8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B Common stock, $0.0001 par value; 27,000,000 shares authorized as of September 30, 2024 and December 31,</w:t>
            </w:r>
          </w:p>
        </w:tc>
        <w:tc>
          <w:tcPr>
            <w:tcW w:w="20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 19,937,500 shares issued and outstanding as of September 30, 2024 and December 31, 2023</w:t>
            </w:r>
          </w:p>
        </w:tc>
        <w:tc>
          <w:tcPr>
            <w:tcW w:w="2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773,873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767,239</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(563,520)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(495,634)</w:t>
            </w:r>
          </w:p>
        </w:tc>
        <w:tc>
          <w:tcPr>
            <w:tcW w:w="0" w:type="dxa"/>
            <w:vAlign w:val="bottom"/>
          </w:tcPr>
          <w:p>
            <w:pPr>
              <w:spacing w:after="0"/>
              <w:rPr>
                <w:sz w:val="1"/>
                <w:szCs w:val="1"/>
                <w:color w:val="auto"/>
              </w:rPr>
            </w:pPr>
          </w:p>
        </w:tc>
      </w:tr>
      <w:tr>
        <w:trPr>
          <w:trHeight w:val="40"/>
        </w:trPr>
        <w:tc>
          <w:tcPr>
            <w:tcW w:w="8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271,619</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236,454</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298,250</w:t>
            </w:r>
          </w:p>
        </w:tc>
        <w:tc>
          <w:tcPr>
            <w:tcW w:w="0" w:type="dxa"/>
            <w:vAlign w:val="bottom"/>
          </w:tcPr>
          <w:p>
            <w:pPr>
              <w:spacing w:after="0"/>
              <w:rPr>
                <w:sz w:val="1"/>
                <w:szCs w:val="1"/>
                <w:color w:val="auto"/>
              </w:rPr>
            </w:pPr>
          </w:p>
        </w:tc>
      </w:tr>
      <w:tr>
        <w:trPr>
          <w:trHeight w:val="33"/>
        </w:trPr>
        <w:tc>
          <w:tcPr>
            <w:tcW w:w="8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1"/>
                <w:szCs w:val="21"/>
                <w:color w:val="auto"/>
              </w:rPr>
            </w:pPr>
          </w:p>
        </w:tc>
        <w:tc>
          <w:tcPr>
            <w:tcW w:w="29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43"/>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77"/>
        </w:trPr>
        <w:tc>
          <w:tcPr>
            <w:tcW w:w="50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56"/>
        </w:trPr>
        <w:tc>
          <w:tcPr>
            <w:tcW w:w="50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50,588</w:t>
            </w:r>
          </w:p>
        </w:tc>
        <w:tc>
          <w:tcPr>
            <w:tcW w:w="0" w:type="dxa"/>
            <w:vAlign w:val="bottom"/>
          </w:tcPr>
          <w:p>
            <w:pPr>
              <w:spacing w:after="0"/>
              <w:rPr>
                <w:sz w:val="1"/>
                <w:szCs w:val="1"/>
                <w:color w:val="auto"/>
              </w:rPr>
            </w:pPr>
          </w:p>
        </w:tc>
      </w:tr>
      <w:tr>
        <w:trPr>
          <w:trHeight w:val="277"/>
        </w:trPr>
        <w:tc>
          <w:tcPr>
            <w:tcW w:w="50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12,284</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28,455</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78,889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83,598</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(83,288)</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trading securities</w:t>
            </w: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on trading securities</w:t>
            </w:r>
          </w:p>
        </w:tc>
        <w:tc>
          <w:tcPr>
            <w:tcW w:w="14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(73,912)</w:t>
            </w:r>
          </w:p>
        </w:tc>
        <w:tc>
          <w:tcPr>
            <w:tcW w:w="0" w:type="dxa"/>
            <w:vAlign w:val="bottom"/>
          </w:tcPr>
          <w:p>
            <w:pPr>
              <w:spacing w:after="0"/>
              <w:rPr>
                <w:sz w:val="1"/>
                <w:szCs w:val="1"/>
                <w:color w:val="auto"/>
              </w:rPr>
            </w:pP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per common share attributable to common stockholders,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9"/>
                <w:szCs w:val="19"/>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34"/>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vMerge w:val="continue"/>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w:t>
            </w:r>
          </w:p>
        </w:tc>
        <w:tc>
          <w:tcPr>
            <w:tcW w:w="14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142,399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141,660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142,039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141,154</w:t>
            </w:r>
          </w:p>
        </w:tc>
        <w:tc>
          <w:tcPr>
            <w:tcW w:w="0" w:type="dxa"/>
            <w:vAlign w:val="bottom"/>
          </w:tcPr>
          <w:p>
            <w:pPr>
              <w:spacing w:after="0"/>
              <w:rPr>
                <w:sz w:val="1"/>
                <w:szCs w:val="1"/>
                <w:color w:val="auto"/>
              </w:rPr>
            </w:pPr>
          </w:p>
        </w:tc>
      </w:tr>
      <w:tr>
        <w:trPr>
          <w:trHeight w:val="234"/>
        </w:trPr>
        <w:tc>
          <w:tcPr>
            <w:tcW w:w="5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14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0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gain (loss):</w:t>
            </w: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unrealized gain on marketable securities, net of tax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comprehensive gain, net of tax</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(25,153)</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80" w:type="dxa"/>
            <w:vAlign w:val="bottom"/>
          </w:tcPr>
          <w:p>
            <w:pPr>
              <w:spacing w:after="0"/>
              <w:rPr>
                <w:sz w:val="16"/>
                <w:szCs w:val="16"/>
                <w:color w:val="auto"/>
              </w:rPr>
            </w:pPr>
          </w:p>
        </w:tc>
        <w:tc>
          <w:tcPr>
            <w:tcW w:w="1360" w:type="dxa"/>
            <w:vAlign w:val="bottom"/>
            <w:gridSpan w:val="3"/>
            <w:vMerge w:val="restart"/>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40" w:type="dxa"/>
            <w:vAlign w:val="bottom"/>
            <w:gridSpan w:val="3"/>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208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94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8"/>
                <w:szCs w:val="8"/>
                <w:color w:val="auto"/>
              </w:rPr>
            </w:pPr>
          </w:p>
        </w:tc>
        <w:tc>
          <w:tcPr>
            <w:tcW w:w="11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vMerge w:val="restart"/>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95"/>
        </w:trPr>
        <w:tc>
          <w:tcPr>
            <w:tcW w:w="2080" w:type="dxa"/>
            <w:vAlign w:val="bottom"/>
          </w:tcPr>
          <w:p>
            <w:pPr>
              <w:spacing w:after="0"/>
              <w:rPr>
                <w:sz w:val="8"/>
                <w:szCs w:val="8"/>
                <w:color w:val="auto"/>
              </w:rPr>
            </w:pPr>
          </w:p>
        </w:tc>
        <w:tc>
          <w:tcPr>
            <w:tcW w:w="22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940" w:type="dxa"/>
            <w:vAlign w:val="bottom"/>
            <w:gridSpan w:val="3"/>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80" w:type="dxa"/>
            <w:vAlign w:val="bottom"/>
          </w:tcPr>
          <w:p>
            <w:pPr>
              <w:spacing w:after="0"/>
              <w:rPr>
                <w:sz w:val="10"/>
                <w:szCs w:val="10"/>
                <w:color w:val="auto"/>
              </w:rPr>
            </w:pPr>
          </w:p>
        </w:tc>
        <w:tc>
          <w:tcPr>
            <w:tcW w:w="2260" w:type="dxa"/>
            <w:vAlign w:val="bottom"/>
            <w:gridSpan w:val="5"/>
            <w:vMerge w:val="continue"/>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vMerge w:val="restart"/>
          </w:tcPr>
          <w:p>
            <w:pPr>
              <w:jc w:val="center"/>
              <w:ind w:right="180"/>
              <w:spacing w:after="0" w:line="145"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60" w:type="dxa"/>
            <w:vAlign w:val="bottom"/>
            <w:gridSpan w:val="3"/>
            <w:vMerge w:val="restart"/>
          </w:tcPr>
          <w:p>
            <w:pPr>
              <w:jc w:val="center"/>
              <w:ind w:right="80"/>
              <w:spacing w:after="0" w:line="145"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160" w:type="dxa"/>
            <w:vAlign w:val="bottom"/>
            <w:gridSpan w:val="3"/>
            <w:vMerge w:val="restart"/>
          </w:tcPr>
          <w:p>
            <w:pPr>
              <w:ind w:left="80"/>
              <w:spacing w:after="0" w:line="14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2"/>
            <w:vMerge w:val="restart"/>
          </w:tcPr>
          <w:p>
            <w:pPr>
              <w:jc w:val="center"/>
              <w:spacing w:after="0" w:line="14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53"/>
        </w:trPr>
        <w:tc>
          <w:tcPr>
            <w:tcW w:w="20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260" w:type="dxa"/>
            <w:vAlign w:val="bottom"/>
            <w:gridSpan w:val="3"/>
            <w:vMerge w:val="continue"/>
          </w:tcPr>
          <w:p>
            <w:pPr>
              <w:spacing w:after="0"/>
              <w:rPr>
                <w:sz w:val="4"/>
                <w:szCs w:val="4"/>
                <w:color w:val="auto"/>
              </w:rPr>
            </w:pPr>
          </w:p>
        </w:tc>
        <w:tc>
          <w:tcPr>
            <w:tcW w:w="116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80" w:type="dxa"/>
            <w:vAlign w:val="bottom"/>
          </w:tcPr>
          <w:p>
            <w:pPr>
              <w:spacing w:after="0"/>
              <w:rPr>
                <w:sz w:val="18"/>
                <w:szCs w:val="18"/>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010101"/>
              </w:rPr>
              <w:t>Shares</w:t>
            </w:r>
          </w:p>
        </w:tc>
        <w:tc>
          <w:tcPr>
            <w:tcW w:w="200" w:type="dxa"/>
            <w:vAlign w:val="bottom"/>
          </w:tcPr>
          <w:p>
            <w:pPr>
              <w:spacing w:after="0"/>
              <w:rPr>
                <w:sz w:val="18"/>
                <w:szCs w:val="18"/>
                <w:color w:val="auto"/>
              </w:rPr>
            </w:pPr>
          </w:p>
        </w:tc>
        <w:tc>
          <w:tcPr>
            <w:tcW w:w="8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010101"/>
              </w:rPr>
              <w:t>Amount</w:t>
            </w:r>
          </w:p>
        </w:tc>
        <w:tc>
          <w:tcPr>
            <w:tcW w:w="8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010101"/>
              </w:rPr>
              <w:t>Shares</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010101"/>
              </w:rPr>
              <w:t>Amount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 gain</w:t>
            </w:r>
          </w:p>
        </w:tc>
        <w:tc>
          <w:tcPr>
            <w:tcW w:w="200" w:type="dxa"/>
            <w:vAlign w:val="bottom"/>
          </w:tcPr>
          <w:p>
            <w:pPr>
              <w:spacing w:after="0"/>
              <w:rPr>
                <w:sz w:val="18"/>
                <w:szCs w:val="18"/>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20" w:type="dxa"/>
            <w:vAlign w:val="bottom"/>
          </w:tcPr>
          <w:p>
            <w:pPr>
              <w:spacing w:after="0"/>
              <w:rPr>
                <w:sz w:val="18"/>
                <w:szCs w:val="18"/>
                <w:color w:val="auto"/>
              </w:rPr>
            </w:pPr>
          </w:p>
        </w:tc>
        <w:tc>
          <w:tcPr>
            <w:tcW w:w="88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equity</w:t>
            </w:r>
          </w:p>
        </w:tc>
        <w:tc>
          <w:tcPr>
            <w:tcW w:w="0" w:type="dxa"/>
            <w:vAlign w:val="bottom"/>
          </w:tcPr>
          <w:p>
            <w:pPr>
              <w:spacing w:after="0"/>
              <w:rPr>
                <w:sz w:val="1"/>
                <w:szCs w:val="1"/>
                <w:color w:val="auto"/>
              </w:rPr>
            </w:pPr>
          </w:p>
        </w:tc>
      </w:tr>
      <w:tr>
        <w:trPr>
          <w:trHeight w:val="31"/>
        </w:trPr>
        <w:tc>
          <w:tcPr>
            <w:tcW w:w="2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010101"/>
              </w:rPr>
              <w:t>Balance - December 31, 2023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121,832,417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19,937,500</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767,239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(495,634)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271,619</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issued upon</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1,645</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Net unrealized loss on</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marketable securities, net of</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Refund of issuance costs from</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 Business Combination</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010101"/>
              </w:rPr>
              <w:t>Net loss</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(19,474)</w:t>
            </w:r>
          </w:p>
        </w:tc>
        <w:tc>
          <w:tcPr>
            <w:tcW w:w="0" w:type="dxa"/>
            <w:vAlign w:val="bottom"/>
          </w:tcPr>
          <w:p>
            <w:pPr>
              <w:spacing w:after="0"/>
              <w:rPr>
                <w:sz w:val="1"/>
                <w:szCs w:val="1"/>
                <w:color w:val="auto"/>
              </w:rPr>
            </w:pPr>
          </w:p>
        </w:tc>
      </w:tr>
      <w:tr>
        <w:trPr>
          <w:trHeight w:val="204"/>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010101"/>
              </w:rPr>
              <w:t>Balance - March 31, 2024</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121,878,989</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19,937,500</w:t>
            </w:r>
          </w:p>
        </w:tc>
        <w:tc>
          <w:tcPr>
            <w:tcW w:w="80" w:type="dxa"/>
            <w:vAlign w:val="bottom"/>
          </w:tcPr>
          <w:p>
            <w:pPr>
              <w:spacing w:after="0"/>
              <w:rPr>
                <w:sz w:val="17"/>
                <w:szCs w:val="17"/>
                <w:color w:val="auto"/>
              </w:rPr>
            </w:pPr>
          </w:p>
        </w:tc>
        <w:tc>
          <w:tcPr>
            <w:tcW w:w="8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768,898</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(515,108)</w:t>
            </w:r>
          </w:p>
        </w:tc>
        <w:tc>
          <w:tcPr>
            <w:tcW w:w="8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253,771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issued upon</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96,069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issued upon</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407,274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Net unrealized gain on</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marketable securities, net of</w:t>
            </w: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(23,099)</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010101"/>
              </w:rPr>
              <w:t>Balance - June 30, 2024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122,382,332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19,937,500</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771,460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(538,207)</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233,260</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issued upon</w:t>
            </w: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issued upon</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vesting of restricted stock</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351,550</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2,411</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8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Net unrealized gain on</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marketable securities, net of</w:t>
            </w: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90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spacing w:after="0"/>
              <w:rPr>
                <w:sz w:val="18"/>
                <w:szCs w:val="18"/>
                <w:color w:val="auto"/>
              </w:rPr>
            </w:pPr>
          </w:p>
        </w:tc>
        <w:tc>
          <w:tcPr>
            <w:tcW w:w="3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(25,313)</w:t>
            </w:r>
          </w:p>
        </w:tc>
        <w:tc>
          <w:tcPr>
            <w:tcW w:w="0" w:type="dxa"/>
            <w:vAlign w:val="bottom"/>
          </w:tcPr>
          <w:p>
            <w:pPr>
              <w:spacing w:after="0"/>
              <w:rPr>
                <w:sz w:val="1"/>
                <w:szCs w:val="1"/>
                <w:color w:val="auto"/>
              </w:rPr>
            </w:pPr>
          </w:p>
        </w:tc>
      </w:tr>
      <w:tr>
        <w:trPr>
          <w:trHeight w:val="153"/>
        </w:trPr>
        <w:tc>
          <w:tcPr>
            <w:tcW w:w="2080" w:type="dxa"/>
            <w:vAlign w:val="bottom"/>
          </w:tcPr>
          <w:p>
            <w:pPr>
              <w:ind w:left="20"/>
              <w:spacing w:after="0" w:line="153" w:lineRule="exact"/>
              <w:rPr>
                <w:sz w:val="20"/>
                <w:szCs w:val="20"/>
                <w:color w:val="auto"/>
              </w:rPr>
            </w:pPr>
            <w:r>
              <w:rPr>
                <w:rFonts w:ascii="Times New Roman" w:cs="Times New Roman" w:eastAsia="Times New Roman" w:hAnsi="Times New Roman"/>
                <w:sz w:val="16"/>
                <w:szCs w:val="16"/>
                <w:b w:val="1"/>
                <w:bCs w:val="1"/>
                <w:color w:val="auto"/>
              </w:rPr>
              <w:t>Balance - September 30,</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122,775,352</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19,937,500</w:t>
            </w:r>
          </w:p>
        </w:tc>
        <w:tc>
          <w:tcPr>
            <w:tcW w:w="80" w:type="dxa"/>
            <w:vAlign w:val="bottom"/>
          </w:tcPr>
          <w:p>
            <w:pPr>
              <w:spacing w:after="0"/>
              <w:rPr>
                <w:sz w:val="13"/>
                <w:szCs w:val="13"/>
                <w:color w:val="auto"/>
              </w:rPr>
            </w:pPr>
          </w:p>
        </w:tc>
        <w:tc>
          <w:tcPr>
            <w:tcW w:w="800" w:type="dxa"/>
            <w:vAlign w:val="bottom"/>
            <w:tcBorders>
              <w:top w:val="single" w:sz="8" w:color="auto"/>
            </w:tcBorders>
            <w:vMerge w:val="restart"/>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773,873</w:t>
            </w:r>
          </w:p>
        </w:tc>
        <w:tc>
          <w:tcPr>
            <w:tcW w:w="8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(563,520)</w:t>
            </w:r>
          </w:p>
        </w:tc>
        <w:tc>
          <w:tcPr>
            <w:tcW w:w="8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210,520</w:t>
            </w:r>
          </w:p>
        </w:tc>
        <w:tc>
          <w:tcPr>
            <w:tcW w:w="0" w:type="dxa"/>
            <w:vAlign w:val="bottom"/>
          </w:tcPr>
          <w:p>
            <w:pPr>
              <w:spacing w:after="0"/>
              <w:rPr>
                <w:sz w:val="1"/>
                <w:szCs w:val="1"/>
                <w:color w:val="auto"/>
              </w:rPr>
            </w:pPr>
          </w:p>
        </w:tc>
      </w:tr>
      <w:tr>
        <w:trPr>
          <w:trHeight w:val="220"/>
        </w:trPr>
        <w:tc>
          <w:tcPr>
            <w:tcW w:w="20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90"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232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3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0" w:type="dxa"/>
            <w:vAlign w:val="bottom"/>
          </w:tcPr>
          <w:p>
            <w:pPr>
              <w:spacing w:after="0"/>
              <w:rPr>
                <w:sz w:val="17"/>
                <w:szCs w:val="17"/>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2320" w:type="dxa"/>
            <w:vAlign w:val="bottom"/>
            <w:gridSpan w:val="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340" w:type="dxa"/>
            <w:vAlign w:val="bottom"/>
            <w:gridSpan w:val="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3160" w:type="dxa"/>
            <w:vAlign w:val="bottom"/>
          </w:tcPr>
          <w:p>
            <w:pPr>
              <w:spacing w:after="0"/>
              <w:rPr>
                <w:sz w:val="13"/>
                <w:szCs w:val="13"/>
                <w:color w:val="auto"/>
              </w:rPr>
            </w:pPr>
          </w:p>
        </w:tc>
        <w:tc>
          <w:tcPr>
            <w:tcW w:w="2320" w:type="dxa"/>
            <w:vAlign w:val="bottom"/>
            <w:gridSpan w:val="5"/>
            <w:vMerge w:val="continue"/>
          </w:tcPr>
          <w:p>
            <w:pPr>
              <w:spacing w:after="0"/>
              <w:rPr>
                <w:sz w:val="13"/>
                <w:szCs w:val="13"/>
                <w:color w:val="auto"/>
              </w:rPr>
            </w:pPr>
          </w:p>
        </w:tc>
        <w:tc>
          <w:tcPr>
            <w:tcW w:w="234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220"/>
              <w:spacing w:after="0" w:line="164" w:lineRule="exact"/>
              <w:rPr>
                <w:sz w:val="20"/>
                <w:szCs w:val="20"/>
                <w:color w:val="auto"/>
              </w:rPr>
            </w:pPr>
            <w:r>
              <w:rPr>
                <w:rFonts w:ascii="Times New Roman" w:cs="Times New Roman" w:eastAsia="Times New Roman" w:hAnsi="Times New Roman"/>
                <w:sz w:val="18"/>
                <w:szCs w:val="18"/>
                <w:b w:val="1"/>
                <w:bCs w:val="1"/>
                <w:color w:val="auto"/>
                <w:w w:val="98"/>
              </w:rPr>
              <w:t>paid-in</w:t>
            </w:r>
          </w:p>
        </w:tc>
        <w:tc>
          <w:tcPr>
            <w:tcW w:w="1160" w:type="dxa"/>
            <w:vAlign w:val="bottom"/>
            <w:gridSpan w:val="3"/>
            <w:vMerge w:val="restart"/>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2"/>
            <w:vMerge w:val="restart"/>
          </w:tcPr>
          <w:p>
            <w:pPr>
              <w:ind w:left="40"/>
              <w:spacing w:after="0" w:line="164" w:lineRule="exact"/>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34"/>
        </w:trPr>
        <w:tc>
          <w:tcPr>
            <w:tcW w:w="3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3"/>
                <w:szCs w:val="23"/>
                <w:color w:val="auto"/>
              </w:rPr>
            </w:pPr>
          </w:p>
        </w:tc>
        <w:tc>
          <w:tcPr>
            <w:tcW w:w="11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160" w:type="dxa"/>
            <w:vAlign w:val="bottom"/>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010101"/>
              </w:rPr>
              <w:t>Shares</w:t>
            </w:r>
          </w:p>
        </w:tc>
        <w:tc>
          <w:tcPr>
            <w:tcW w:w="180" w:type="dxa"/>
            <w:vAlign w:val="bottom"/>
          </w:tcPr>
          <w:p>
            <w:pPr>
              <w:spacing w:after="0"/>
              <w:rPr>
                <w:sz w:val="23"/>
                <w:szCs w:val="2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010101"/>
              </w:rPr>
              <w:t>Amount</w:t>
            </w:r>
          </w:p>
        </w:tc>
        <w:tc>
          <w:tcPr>
            <w:tcW w:w="120" w:type="dxa"/>
            <w:vAlign w:val="bottom"/>
          </w:tcPr>
          <w:p>
            <w:pPr>
              <w:spacing w:after="0"/>
              <w:rPr>
                <w:sz w:val="23"/>
                <w:szCs w:val="23"/>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200" w:type="dxa"/>
            <w:vAlign w:val="bottom"/>
          </w:tcPr>
          <w:p>
            <w:pPr>
              <w:spacing w:after="0"/>
              <w:rPr>
                <w:sz w:val="23"/>
                <w:szCs w:val="23"/>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3"/>
                <w:szCs w:val="23"/>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50"/>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10101"/>
              </w:rPr>
              <w:t>Balance -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120,006,757</w:t>
            </w: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19,937,500</w:t>
            </w: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758,366</w:t>
            </w: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(399,674)</w:t>
            </w: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358,706</w:t>
            </w:r>
          </w:p>
        </w:tc>
        <w:tc>
          <w:tcPr>
            <w:tcW w:w="0" w:type="dxa"/>
            <w:vAlign w:val="bottom"/>
          </w:tcPr>
          <w:p>
            <w:pPr>
              <w:spacing w:after="0"/>
              <w:rPr>
                <w:sz w:val="1"/>
                <w:szCs w:val="1"/>
                <w:color w:val="auto"/>
              </w:rPr>
            </w:pPr>
          </w:p>
        </w:tc>
      </w:tr>
      <w:tr>
        <w:trPr>
          <w:trHeight w:val="211"/>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010101"/>
              </w:rPr>
              <w:t>Common stock issued upon exercise of</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010101"/>
              </w:rPr>
              <w:t>stock options and vesting of restricted</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010101"/>
              </w:rPr>
              <w:t>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1,552,583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Stock-based compensation</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010101"/>
              </w:rPr>
              <w:t>Net loss</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(23,611)</w:t>
            </w:r>
          </w:p>
        </w:tc>
        <w:tc>
          <w:tcPr>
            <w:tcW w:w="0" w:type="dxa"/>
            <w:vAlign w:val="bottom"/>
          </w:tcPr>
          <w:p>
            <w:pPr>
              <w:spacing w:after="0"/>
              <w:rPr>
                <w:sz w:val="1"/>
                <w:szCs w:val="1"/>
                <w:color w:val="auto"/>
              </w:rPr>
            </w:pPr>
          </w:p>
        </w:tc>
      </w:tr>
      <w:tr>
        <w:trPr>
          <w:trHeight w:val="257"/>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10101"/>
              </w:rPr>
              <w:t>Balance - March 31,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121,559,340</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19,937,500</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762,274</w:t>
            </w: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(423,285)</w:t>
            </w:r>
          </w:p>
        </w:tc>
        <w:tc>
          <w:tcPr>
            <w:tcW w:w="8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339,003</w:t>
            </w:r>
          </w:p>
        </w:tc>
        <w:tc>
          <w:tcPr>
            <w:tcW w:w="0" w:type="dxa"/>
            <w:vAlign w:val="bottom"/>
          </w:tcPr>
          <w:p>
            <w:pPr>
              <w:spacing w:after="0"/>
              <w:rPr>
                <w:sz w:val="1"/>
                <w:szCs w:val="1"/>
                <w:color w:val="auto"/>
              </w:rPr>
            </w:pPr>
          </w:p>
        </w:tc>
      </w:tr>
      <w:tr>
        <w:trPr>
          <w:trHeight w:val="211"/>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010101"/>
              </w:rPr>
              <w:t>Common stock issued upon exercise of</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60"/>
              <w:spacing w:after="0" w:line="202" w:lineRule="exact"/>
              <w:rPr>
                <w:sz w:val="20"/>
                <w:szCs w:val="20"/>
                <w:color w:val="auto"/>
              </w:rPr>
            </w:pPr>
            <w:r>
              <w:rPr>
                <w:rFonts w:ascii="Times New Roman" w:cs="Times New Roman" w:eastAsia="Times New Roman" w:hAnsi="Times New Roman"/>
                <w:sz w:val="18"/>
                <w:szCs w:val="18"/>
                <w:color w:val="010101"/>
              </w:rPr>
              <w:t>stock options and vesting of restricted</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60" w:type="dxa"/>
            <w:vAlign w:val="bottom"/>
          </w:tcPr>
          <w:p>
            <w:pPr>
              <w:ind w:left="160"/>
              <w:spacing w:after="0"/>
              <w:rPr>
                <w:sz w:val="20"/>
                <w:szCs w:val="20"/>
                <w:color w:val="auto"/>
              </w:rPr>
            </w:pPr>
            <w:r>
              <w:rPr>
                <w:rFonts w:ascii="Times New Roman" w:cs="Times New Roman" w:eastAsia="Times New Roman" w:hAnsi="Times New Roman"/>
                <w:sz w:val="18"/>
                <w:szCs w:val="18"/>
                <w:color w:val="010101"/>
              </w:rPr>
              <w:t>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74,273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Stock-based compensation</w:t>
            </w: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010101"/>
              </w:rPr>
              <w:t>Net loss</w:t>
            </w: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010101"/>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(25,573)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010101"/>
              </w:rPr>
              <w:t>(25,573)</w:t>
            </w:r>
          </w:p>
        </w:tc>
        <w:tc>
          <w:tcPr>
            <w:tcW w:w="0" w:type="dxa"/>
            <w:vAlign w:val="bottom"/>
          </w:tcPr>
          <w:p>
            <w:pPr>
              <w:spacing w:after="0"/>
              <w:rPr>
                <w:sz w:val="1"/>
                <w:szCs w:val="1"/>
                <w:color w:val="auto"/>
              </w:rPr>
            </w:pPr>
          </w:p>
        </w:tc>
      </w:tr>
      <w:tr>
        <w:trPr>
          <w:trHeight w:val="27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010101"/>
              </w:rPr>
              <w:t>Balance - June 30,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121,633,613</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19,937,500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764,139</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(448,858)</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01010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10101"/>
              </w:rPr>
              <w:t>315,295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 issued upon exercise of</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1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160" w:type="dxa"/>
            <w:vAlign w:val="bottom"/>
          </w:tcPr>
          <w:p>
            <w:pPr>
              <w:ind w:left="180"/>
              <w:spacing w:after="0" w:line="202" w:lineRule="exact"/>
              <w:rPr>
                <w:sz w:val="20"/>
                <w:szCs w:val="20"/>
                <w:color w:val="auto"/>
              </w:rPr>
            </w:pPr>
            <w:r>
              <w:rPr>
                <w:rFonts w:ascii="Times New Roman" w:cs="Times New Roman" w:eastAsia="Times New Roman" w:hAnsi="Times New Roman"/>
                <w:sz w:val="18"/>
                <w:szCs w:val="18"/>
                <w:color w:val="auto"/>
              </w:rPr>
              <w:t>stock options and vesting of restricted</w:t>
            </w: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156,921</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6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0" w:type="dxa"/>
            <w:vAlign w:val="bottom"/>
          </w:tcPr>
          <w:p>
            <w:pPr>
              <w:spacing w:after="0"/>
              <w:rPr>
                <w:sz w:val="1"/>
                <w:szCs w:val="1"/>
                <w:color w:val="auto"/>
              </w:rPr>
            </w:pPr>
          </w:p>
        </w:tc>
      </w:tr>
      <w:tr>
        <w:trPr>
          <w:trHeight w:val="25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0" w:type="dxa"/>
            <w:vAlign w:val="bottom"/>
          </w:tcPr>
          <w:p>
            <w:pPr>
              <w:spacing w:after="0"/>
              <w:rPr>
                <w:sz w:val="1"/>
                <w:szCs w:val="1"/>
                <w:color w:val="auto"/>
              </w:rPr>
            </w:pPr>
          </w:p>
        </w:tc>
      </w:tr>
      <w:tr>
        <w:trPr>
          <w:trHeight w:val="275"/>
        </w:trPr>
        <w:tc>
          <w:tcPr>
            <w:tcW w:w="3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 September 30,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121,790,534</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19,937,500</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765,637</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(473,586)</w:t>
            </w:r>
          </w:p>
        </w:tc>
        <w:tc>
          <w:tcPr>
            <w:tcW w:w="8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292,065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1"/>
        </w:trPr>
        <w:tc>
          <w:tcPr>
            <w:tcW w:w="8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3"/>
        </w:trPr>
        <w:tc>
          <w:tcPr>
            <w:tcW w:w="8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0"/>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8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r>
      <w:tr>
        <w:trPr>
          <w:trHeight w:val="193"/>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loss</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(67,886)</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(73,912)</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81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Non-cash lease expense</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1,486</w:t>
            </w:r>
          </w:p>
        </w:tc>
      </w:tr>
      <w:tr>
        <w:trPr>
          <w:trHeight w:val="193"/>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Unrealized (gain) loss on trading securities, net</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(8,302)</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Realized (gain) loss on trading securities, net</w:t>
            </w:r>
          </w:p>
        </w:tc>
        <w:tc>
          <w:tcPr>
            <w:tcW w:w="8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6,489</w:t>
            </w:r>
          </w:p>
        </w:tc>
      </w:tr>
      <w:tr>
        <w:trPr>
          <w:trHeight w:val="193"/>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(Accretion) amortization on marketable securities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Gain on disposal of fixed assets</w:t>
            </w:r>
          </w:p>
        </w:tc>
        <w:tc>
          <w:tcPr>
            <w:tcW w:w="8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3"/>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Write-down of inventory</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Change in fair value of warrant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r>
      <w:tr>
        <w:trPr>
          <w:trHeight w:val="193"/>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Stock-based compensation</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6,482</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6,914</w:t>
            </w:r>
          </w:p>
        </w:tc>
      </w:tr>
      <w:tr>
        <w:trPr>
          <w:trHeight w:val="193"/>
        </w:trPr>
        <w:tc>
          <w:tcPr>
            <w:tcW w:w="81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r>
      <w:tr>
        <w:trPr>
          <w:trHeight w:val="193"/>
        </w:trPr>
        <w:tc>
          <w:tcPr>
            <w:tcW w:w="81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Accounts receivable, net</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Inventory</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(2,325)</w:t>
            </w:r>
          </w:p>
        </w:tc>
      </w:tr>
      <w:tr>
        <w:trPr>
          <w:trHeight w:val="193"/>
        </w:trPr>
        <w:tc>
          <w:tcPr>
            <w:tcW w:w="81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93"/>
        </w:trPr>
        <w:tc>
          <w:tcPr>
            <w:tcW w:w="81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Other assets</w:t>
            </w:r>
          </w:p>
        </w:tc>
        <w:tc>
          <w:tcPr>
            <w:tcW w:w="8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Accounts payable</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w:t>
            </w:r>
          </w:p>
        </w:tc>
      </w:tr>
      <w:tr>
        <w:trPr>
          <w:trHeight w:val="193"/>
        </w:trPr>
        <w:tc>
          <w:tcPr>
            <w:tcW w:w="81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(2,656)</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(2,525)</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223"/>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(1,995)</w:t>
            </w:r>
          </w:p>
        </w:tc>
      </w:tr>
      <w:tr>
        <w:trPr>
          <w:trHeight w:val="231"/>
        </w:trPr>
        <w:tc>
          <w:tcPr>
            <w:tcW w:w="818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8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(64,914)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(73,067)</w:t>
            </w:r>
          </w:p>
        </w:tc>
      </w:tr>
      <w:tr>
        <w:trPr>
          <w:trHeight w:val="17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(4,877)</w:t>
            </w:r>
          </w:p>
        </w:tc>
      </w:tr>
      <w:tr>
        <w:trPr>
          <w:trHeight w:val="193"/>
        </w:trPr>
        <w:tc>
          <w:tcPr>
            <w:tcW w:w="8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Internally developed software - capitalized costs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(763)</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(262,043)</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81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4"/>
                <w:szCs w:val="14"/>
                <w:color w:val="auto"/>
              </w:rPr>
              <w:t>Sales and maturities of marketable securities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88,000</w:t>
            </w:r>
          </w:p>
        </w:tc>
      </w:tr>
      <w:tr>
        <w:trPr>
          <w:trHeight w:val="231"/>
        </w:trPr>
        <w:tc>
          <w:tcPr>
            <w:tcW w:w="81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b w:val="1"/>
                <w:bCs w:val="1"/>
                <w:color w:val="auto"/>
              </w:rPr>
              <w:t>Net cash (used in) provided by investing activities</w:t>
            </w:r>
          </w:p>
        </w:tc>
        <w:tc>
          <w:tcPr>
            <w:tcW w:w="8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82,360</w:t>
            </w:r>
          </w:p>
        </w:tc>
      </w:tr>
      <w:tr>
        <w:trPr>
          <w:trHeight w:val="171"/>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8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r>
      <w:tr>
        <w:trPr>
          <w:trHeight w:val="193"/>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offering costs</w:t>
            </w:r>
          </w:p>
        </w:tc>
        <w:tc>
          <w:tcPr>
            <w:tcW w:w="8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Refund of issuance costs from 2021 Business Combination</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r>
      <w:tr>
        <w:trPr>
          <w:trHeight w:val="23"/>
        </w:trPr>
        <w:tc>
          <w:tcPr>
            <w:tcW w:w="81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8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8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(91,592)</w:t>
            </w:r>
          </w:p>
        </w:tc>
        <w:tc>
          <w:tcPr>
            <w:tcW w:w="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9,503</w:t>
            </w:r>
          </w:p>
        </w:tc>
      </w:tr>
      <w:tr>
        <w:trPr>
          <w:trHeight w:val="23"/>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8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133,860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84,319</w:t>
            </w:r>
          </w:p>
        </w:tc>
      </w:tr>
      <w:tr>
        <w:trPr>
          <w:trHeight w:val="216"/>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880" w:type="dxa"/>
            <w:vAlign w:val="bottom"/>
            <w:tcBorders>
              <w:bottom w:val="single" w:sz="8" w:color="auto"/>
            </w:tcBorders>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42,268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93,822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81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88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r>
      <w:tr>
        <w:trPr>
          <w:trHeight w:val="192"/>
        </w:trPr>
        <w:tc>
          <w:tcPr>
            <w:tcW w:w="8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purchased but not paid</w:t>
            </w:r>
          </w:p>
        </w:tc>
        <w:tc>
          <w:tcPr>
            <w:tcW w:w="880" w:type="dxa"/>
            <w:vAlign w:val="bottom"/>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4"/>
        </w:trPr>
        <w:tc>
          <w:tcPr>
            <w:tcW w:w="8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offering costs payable</w:t>
            </w:r>
          </w:p>
        </w:tc>
        <w:tc>
          <w:tcPr>
            <w:tcW w:w="88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r>
      <w:tr>
        <w:trPr>
          <w:trHeight w:val="24"/>
        </w:trPr>
        <w:tc>
          <w:tcPr>
            <w:tcW w:w="8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QUANTUM-SI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Description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Quantum-Si Incorporated (including its subsidiaries, the “Company” or “Quantum-Si”) was incorporated in Delaware on June 10, 2020 as HighCape Capital Acquisition Corp. (“HighCape”). The Company’s legal name became Quantum-Si Incorporated following a business combination on June 10, 2021 between the Company and Q-SI Operations Inc. (formerly Quantum-Si Incorporated) (the “Business Combination”), which was founded in 2013.</w:t>
      </w:r>
    </w:p>
    <w:p>
      <w:pPr>
        <w:spacing w:after="0" w:line="1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Company is an innovative life sciences company with the mission of transforming single-molecule analysis and democratizing its use by providing researchers and clinicians access to the proteome, the set of proteins expressed within a cell. The Company has developed a proprietary universal single-molecule detection platform that the Company is first applying to proteomics to enable Next-Generation Protein Sequencing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(“NGPS”), the ability to sequence proteins in a massively parallel fashion (rather than sequentially, one at a time), and can be used for the study of nucleic acids. The Company’s platform is currently comprised of the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NGPS instrument, the Platinum Analysis Software service, reagent kits and semiconductor chips for use with its instruments.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with proceeds from the issuance of equity to private investors, as well as with the proceeds received from the closing of the Business Combination on June 10, 2021. The Company has incurred significant losses and negative cash flows from operations in all periods since inception and had an accumulated deficit of $563.5 million as of September 30, 2024. The Company has incurred significant operating losses, including net losses of $67.9 million and $73.9 million for the nine months ended September 30, 2024 and 2023, respectively. As of September 30, 2024, the Company had cash, cash equivalents and investments in marketable securities of $196.3 million. Management believes that the Company’s current cash, cash equivalents and marketable securities, together with revenue from the sales of its products and services, will be sufficient to fund its planned operations for at least the next twelve months from the date of the issuance of the accompanying Condensed Consolidated Financial Statements.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such time as the Company can generate significant revenue from product sales, if ever, it expects to finance its operations through private and public equity offerings, debt financings, and/or potential future collaboration, license and development agreements. However, there can be no assurance that the Company will be able to complete any such transactions on acceptable terms or otherwise, and the Company may be unable to obtain sufficient additional capital when needed. The inability to raise capital as and when needed would have a negative impact on the Company’s financial condition and its ability to pursue its business strategy. The Company will need to generate significant revenue to achieve profitability and it may never do 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the Company and have been prepared in accordance with accounting principles generally accepted in the United States of America (“U.S. GAAP”) and pursuant to the accounting disclosure rules and regulations of the Securities and Exchange Commission (the “SEC”). All intercompany transactions are eliminated.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audited Consolidated Financial Statements and the notes thereto included in the Company’s Annual Report on Form 10-K for the year ended December 31, 2023. The Condensed Consolidated Balance Sheet as of December 31, 2023 included herein was derived from the audited Consolidated Financial Statements as of that date, but does not include all disclosures, including certain notes required by U.S. GAAP, on an annual reporting basis.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Condensed Consolidated Financial Statements reflect all normal recurring adjustments necessary to fairly state the financial position, results of operations, and cash flows for the interim</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periods. The results for the three and nine months ended September 30, 2024 are not necessarily indicative of the results to be expected for any subsequent quarter, the year ending December 31, 2024, or any other period.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described in the Company’s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Throughout 2023, various central banks around the world, including the Federal Reserve in the United States, raised interest rates. While these rate increases have not had a significant adverse impact on the Company to date, the impact of such rate increases on the overall financial markets and the economy may adversely impact the Company in the future. In addition, the global economy has experienced, and is continuing to experience, high levels of inflation and global supply chain disruptions. The Company continues to monitor these supply chain, inflation and interest rate factors, as well as the uncertainty resulting from the overall economic environment.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the Company does not expect to be significantly impacted by the ongoing conflicts in Ukraine or Israel and Gaza, the Company has experienced some constraints in product and material availability and increasing costs required to obtain some materials and supplies as a result of these conflicts on the global economy. To date, the Company’s business has not been materially impacted by the conflicts, however, as the conflicts continue or worsen, it may adversely impact the Company’s business, financial condition, results of operations and/or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Business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and marketable securities. As of September 30, 2024 and December 31, 2023, the Company’s marketable securities consist of money market mutual funds, U.S. Treasury securities and commercial paper. The Company also maintains balances in certain operating accounts above federally insured limits and, as a result, the Company is exposed to credit risk in the event of default by the financial institutions to the extent account balances exceed the amount insured by the Federal Deposit Insurance Corporation.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sources certain key materials and components utilized in the Company’s products from single or limited suppliers. Historically, the Company has not experienced significant issues sourcing these materials and components. However, if these suppliers were not able to supply the requested amount of materials or components, it could take a considerable length of time to obtain alternative sources, which could affect the Company’s development efforts and commercial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Operating Decision Maker, its Chief Executive Officer, reviews the Company’s financial information on a consolidated basis for purposes of allocating resources and evaluating its financial performance. Accordingly, the Company has determined that it operates as a single reportable segment.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year amounts have been reclassified for consistency with the current year’s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U.S. GAAP requires the Company to make estimates and assumptions about future events that may affect the amounts recorded in its Condensed Consolidated Financial Statements and accompanying notes. Future events and their effects cannot be determined with certainty. On an ongoing basis, management evaluates these estimates and assumptions. Significant estimates and assumptions include:</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with respect to deferred tax assets;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valuation;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for leases;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warrant liabilities;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associated with revenue recognition;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the fair value used in the calculation of stock-based compensation.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bases these estimates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is stated at the lower of cost or net realizable value with cost determined using the first-in, first-out method. Materials that may be utilized for either commercial or, alternatively, for research and development purposes, are classified as inventory. Amounts in inventory used for research and development purposes are charged to research and development expense when the product enters the research and development process and can no longer be used for commercial purposes and, therefore, does not have an “alternative future use” as defined in authoritative guidance.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Inventory valuation is established based on a number of factors including, but not limited to, finished goods not meeting product specifications, product excess and obsolescence, or application of the lower of cost or net realizable value concepts. The determination of events requiring the establishment of inventory valuation, together with the calculation of the amount of such adjustments may require judgment. The Company performs an assessment of the recoverability of capitalized inventory during each reporting period and, if needed, records a write-down of inventory to its estimated net realizable value in the period it is identified. For further discussion related to inventory, please refer to </w:t>
      </w:r>
      <w:r>
        <w:rPr>
          <w:rFonts w:ascii="Times New Roman" w:cs="Times New Roman" w:eastAsia="Times New Roman" w:hAnsi="Times New Roman"/>
          <w:sz w:val="18"/>
          <w:szCs w:val="18"/>
          <w:u w:val="single" w:color="auto"/>
          <w:color w:val="0000FF"/>
        </w:rPr>
        <w:t>Note 5. Inventory</w:t>
      </w:r>
      <w:r>
        <w:rPr>
          <w:rFonts w:ascii="Times New Roman" w:cs="Times New Roman" w:eastAsia="Times New Roman" w:hAnsi="Times New Roman"/>
          <w:sz w:val="18"/>
          <w:szCs w:val="18"/>
          <w:color w:val="auto"/>
          <w:highlight w:val="white"/>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outstanding warrants include publicly traded warrants (the “Public Warrants”) and warrants sold in a private placement (the “Private Warrants”). The Public Warrants and Private Warrants meet the definition of a derivative, and the Company recorded these warrants as long-term liabilities in the Condensed Consolidated Balance Sheets at fair value upon initial recognition, with subsequent changes in their respective fair values recognized in the Condensed Consolidated Statements of Operations and Comprehensive Loss at each reporting date. For further discussion related to the Public Warrants and Private Warrants, please refer to </w:t>
      </w:r>
      <w:r>
        <w:rPr>
          <w:rFonts w:ascii="Times New Roman" w:cs="Times New Roman" w:eastAsia="Times New Roman" w:hAnsi="Times New Roman"/>
          <w:sz w:val="18"/>
          <w:szCs w:val="18"/>
          <w:u w:val="single" w:color="auto"/>
          <w:color w:val="0000FF"/>
        </w:rPr>
        <w:t>Note 11. Warrant Liabilities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revenue is derived from sales of products and services. Product revenue is primarily generated from the sales of instruments and consumables used in protein sequencing and analysis. Service revenue is primarily generated from service maintenance contracts including access to analysis software and advanced training for instrument use. The Company recognizes revenue when or as a customer obtains control of the promised goods and services. The amount of revenue recognized reflects the consideration to which the Company expects to be entitled in exchange for these goods and services. This process involves identifying the contract with a customer, determining the performance obligations in the contract, determining the contract price, allocating the contract price to the distinct performance obligations in the contract, and recognizing revenue as the performance obligations have been satisfied. The Company has made the accounting policy election allowed for under ASC 606-10-32-2A to exclude all sales taxes from transaction price. Revenue recognition for contracts with multiple deliverables is based on the separate satisfaction of each distinct performance obligation within the contract. A performance obligation is considered distinct from other obligations in a contract when it provides a benefit to the customer either on its own or together with other resources that are readily available to the customer and is separately identified in the contract. The Company allocates the transaction price to the performance obligations in a contract with a customer based on the relative standalone selling price of each performance obligation. The Company determines standalone selling price based on the price at which the performance obligation is sold separately. If the standalone selling price is not observable through past transactions, the Company estimates the standalone selling price taking into account available information and specific factors such as competitive positioning, internal costs, profit objectives, and internally approved pricing guidelines related to the performance obligation.</w:t>
      </w:r>
    </w:p>
    <w:p>
      <w:pPr>
        <w:spacing w:after="0" w:line="1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considers the performance obligation for sales of products satisfied upon shipment of the goods to the customer in accordance with the shipping terms (either upon shipment or delivery), which is when control of the product is deemed to be transferred; this includes instruments and consumables. Customers generally do not have a right to return products, except for defective or damaged products during the warranty period or unless prior written consent is provided.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instances where right of payment or transfer of title is contingent upon the customer’s acceptance of the product, revenue is deferred until all acceptance criteria have been met. Revenues for service maintenance contracts, which start after the first year of purchase and are considered as service type warranties that effectively extend the standard first-year service coverage at the customer’s option, are recognized ratably over the contract service period as these services are performed evenly over time. Revenues for advanced training is recognized at a point in time upon satisfaction of the underlying performance obligation. The Company typically provides a standard one-year warranty, which covers defects in materials, workmanship and manufacturing or performance conditions under normal use and service. The first year of the warranty of the products is considered an assurance-type warranty and is recorded as Cost of revenue within the Condensed Consolidated Statements of Operations and Comprehensive Loss. The Company has determined the standard first-year warranty is not a distinct performance obligation.</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type of revenue. The Company believes product revenue and service revenue aggregate the customer types by nature, amount, timing and uncertainty of its revenue streams. Total revenue generated from domestic sales was $0.4</w:t>
      </w:r>
    </w:p>
    <w:p>
      <w:pPr>
        <w:spacing w:after="0" w:line="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million and $0.2 million for the three months ended September 30, 2024 and 2023, respectively, and $0.8 million and $0.6 million for the nine months ended September 30, 2024 and 2023, respectively. Total revenue generated from international sales was $0.4 million and immaterial for the three months ended September 30, 2024 and 2023, respectively, and $1.1 million and $0.1 million for the nine months ended September 30, 2024 and 2023, respectively.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Deferred revenue is a contract liability that consists of customer payments received in advance of performance or billings in excess of revenue recognized, net of revenue recognized from the balance at the beginning of the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primarily consists of billings and payments received in advance of revenue recognition from service maintenance contracts including software subscription and advanced training and is reduced as the revenue recognition criteria are met. Deferred revenue that will be recognized as revenue within the succeeding 12-month period is recorded as current and is included within Accrued expenses and other current liabilities in the Company’s Condensed Consolidated Balance Sheets. The portion of deferred revenue where revenue is expected to be recognized beyond 12 months from the reporting date is recorded as non-current deferred revenue and is included in Other long-term liabilities in the Company’s Condensed Consolidated Balance Sheets.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both September 30, 2024 and December 31, 2023, the Company recorded $0.1 million of deferred revenue within Accrued expenses and other current liabilities in the Company’s Condensed Consolidated Balance Sheets. As of both September 30, 2024 and December 31, 2023, amounts recorded within Other long-term liabilities in the Company’s Condensed Consolidated Balance Sheets were immaterial. The Company expects to recognize approximately 38% of its remaining performance obligations as revenue for the remainder of the year ending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Stock-based compensation expense for stock option grants with only service conditions is recognized on a straight-line basis over the requisite service period of the individual grants, which is generally the vesting period, based on the estimated grant date fair values. Stock-based compensation expense for stock option grants subject to performance conditions is recognized on an accelerated basis is recognized as though each vesting portion of the award was, in substance, a separate award.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completion of the Business Combination, the Company measures compensation expense for stock-based awards to employees, non-employees and directors based upon the awards’ initial grant-date fair values. Stock-based compensation expense for stock options, restricted stock units and performance-based stock awards is recorded over the requisite service period. For awards with only a service condition, the Company expenses stock-based compensation using the straight-line method over the requisite service period for the entire award. For awards with a market condition, the Company expenses the grant date fair value at the target over the vesting period regardless of the value the award recipients ultimately receive. The fair value of restricted stock unit awards without a market condition is estimated using the current market price of the Company’s Class A common stock on the date of grant. The fair value of stock option grants with a market condition is estimated at the date of grant using the Monte Carlo simulation model (“Monte Carlo”). The fair values of stock option grants with a service condition are estimated as of the date of grant by applying the Black-Scholes option valuation model (“Black-Scholes”). The Monte Carlo and Black-Scholes models incorporate assumptions as to stock price volatility, the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expected life of the underlying stock options, a risk-free interest rate and dividend yield. The effect of forfeiture in compensation costs is recognized based on actual forfeitures when they occur.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Black-Scholes is affected by the stock price on the date of the grant as well as assumptions regarding a number of highly complex and subjective variables. These variables include the expected term of the option, expected risk-free interest rate, the expected volatility of Class A common stock, and expected dividend yield; each of which is described below. The assumptions for expected term and expected volatility are the two assumptions that significantly affect the grant date fair value.</w:t>
      </w:r>
    </w:p>
    <w:p>
      <w:pPr>
        <w:spacing w:after="0" w:line="17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expected term using the “simplified” method, which is the simple average of the vesting period and the contractual term.</w:t>
      </w:r>
    </w:p>
    <w:p>
      <w:pPr>
        <w:spacing w:after="0" w:line="63" w:lineRule="exact"/>
        <w:rPr>
          <w:rFonts w:ascii="Times New Roman" w:cs="Times New Roman" w:eastAsia="Times New Roman" w:hAnsi="Times New Roman"/>
          <w:sz w:val="18"/>
          <w:szCs w:val="18"/>
          <w:color w:val="auto"/>
        </w:rPr>
      </w:pPr>
    </w:p>
    <w:p>
      <w:pPr>
        <w:ind w:left="660" w:right="20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for periods within the expected term of the awards is based on the U.S. Treasury yield curve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at the time of the grant.</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Stock Price Volatility</w:t>
      </w:r>
      <w:r>
        <w:rPr>
          <w:rFonts w:ascii="Times New Roman" w:cs="Times New Roman" w:eastAsia="Times New Roman" w:hAnsi="Times New Roman"/>
          <w:sz w:val="18"/>
          <w:szCs w:val="18"/>
          <w:color w:val="auto"/>
        </w:rPr>
        <w:t>: The Company determined expected annual equity volatility based on a weighted average of the historical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Class A common stock and that of a selected peer group of comparable companies as the Company does not have a sufficient historical trading history of its own Class A common stock.</w:t>
      </w:r>
    </w:p>
    <w:p>
      <w:pPr>
        <w:spacing w:after="0" w:line="11" w:lineRule="exact"/>
        <w:rPr>
          <w:rFonts w:ascii="Times New Roman" w:cs="Times New Roman" w:eastAsia="Times New Roman" w:hAnsi="Times New Roman"/>
          <w:sz w:val="18"/>
          <w:szCs w:val="18"/>
          <w:color w:val="auto"/>
        </w:rPr>
      </w:pPr>
    </w:p>
    <w:p>
      <w:pPr>
        <w:ind w:left="660" w:right="340" w:hanging="328"/>
        <w:spacing w:after="0" w:line="281"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 Because the Company has never paid a dividend and does not expect to begin doing so in the foreseeable future,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assumes no dividend yield in valuing the stock-based awards.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The exercise price is taken directly from the grant notice issued to employees and nonemployees.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Disaggregation of Income Statement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DISE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requires additional disclosure of the nature of expenses included in the income statement. The ASU requires disclosures about specific types of expenses included in the expense captions presented on the face of the income statement as well as disclosures about selling expenses. The amendments in this update are effective for annual reporting periods beginning after December 15, 2026 and interim reporting periods beginning after December 15, 2027, with early adoption permitted. The ASU is required to be applied prospectively with the option for retrospective application. The Company is currently evaluating the impact ASU 2024-03 may have on its Consolidated Financial Statements and disclosures.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March 2024, the FASB issued ASU No.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xml:space="preserve"> which contains amendments to the Codification that remove references to various Concepts Statements. The amendments in ASU 2024-02 are not intended to result in significant accounting changes for most entities. The amendments in this update are effective for fiscal years beginning after December 15, 2024, with early adoption permitted. The Company is currently evaluating the impact ASU 2024-02 may have on its Consolidated Financial Statements and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expands income tax disclosure requirements to include additional information related to the rate reconciliation of effective tax rates to statutory rates, as well as additional disaggregation of taxes paid in both U.S. and foreign jurisdictions. The amendments in ASU 2023-09 also remove disclosures related to certain unrecognized tax benefits and deferred taxes. The amendments are effective for fiscal years beginning after December 31, 2024, with early adoption permitted. The amendments may be applied prospectively or retrospectively. The Company is currently evaluating the impact ASU 2023-09 may have on its Consolidated Financial Statements and disclosures.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which requires enhanced disclosures about significant segment expenses. In addition, the ASU clarified that single reportable segment entities must apply Topic 280 in its entirely. The ASU does not change how an entity identifies its operating segments, aggregates those operating segments, or applies the quantitative thresholds to determine its reportable segments. The ASU is required to be applied retrospectively to all periods presented in the financial statements and is effective for fiscal years beginning after December 15, 2023, and interim periods within fiscal years beginning after December 15, 2024, with early adoption permitted. The Company is currently evaluating the impact ASU 2023-07 may have on its financial position and results of operations upon adoption but does not expect the adoption will have a material impact on the Company’s Consolidated Financial Statements and disclosures.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Investments in Marketable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and December 31, 2023, the Company’s investments in marketable securities were determined to be available-for-sale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and interest income from marketable securities related to the Company’s available-for-sale securities for the three and nine months ended September 30, 2024 and dividend income from marketable securities, unrealized gain and realized loss on trading securities for the three and nine months ended September 30, 2023 were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tcPr>
          <w:p>
            <w:pPr>
              <w:spacing w:after="0"/>
              <w:rPr>
                <w:sz w:val="17"/>
                <w:szCs w:val="17"/>
                <w:color w:val="auto"/>
              </w:rPr>
            </w:pPr>
          </w:p>
        </w:tc>
        <w:tc>
          <w:tcPr>
            <w:tcW w:w="2960" w:type="dxa"/>
            <w:vAlign w:val="bottom"/>
            <w:gridSpan w:val="6"/>
          </w:tcPr>
          <w:p>
            <w:pPr>
              <w:ind w:left="6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44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8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80" w:type="dxa"/>
            <w:vAlign w:val="bottom"/>
            <w:tcBorders>
              <w:bottom w:val="single" w:sz="8" w:color="auto"/>
            </w:tcBorders>
          </w:tcPr>
          <w:p>
            <w:pPr>
              <w:spacing w:after="0"/>
              <w:rPr>
                <w:sz w:val="21"/>
                <w:szCs w:val="21"/>
                <w:color w:val="auto"/>
              </w:rPr>
            </w:pPr>
          </w:p>
        </w:tc>
      </w:tr>
      <w:tr>
        <w:trPr>
          <w:trHeight w:val="270"/>
        </w:trPr>
        <w:tc>
          <w:tcPr>
            <w:tcW w:w="544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5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income from marketable securities</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r>
      <w:tr>
        <w:trPr>
          <w:trHeight w:val="25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from marketable securities</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10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trading securities</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loss on trading securities</w:t>
            </w: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(6,489)</w:t>
            </w: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Company’s available-for-sale securities recorded within Marketable securities in the Condensed Consolidated Balance Sheets as of September 30, 2024 and December 31, 2023 (in thousands):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marketable securities:</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Short-term marketable securities:</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0" w:type="dxa"/>
            <w:vAlign w:val="bottom"/>
            <w:tcBorders>
              <w:top w:val="single" w:sz="8" w:color="auto"/>
            </w:tcBorders>
          </w:tcPr>
          <w:p>
            <w:pPr>
              <w:jc w:val="center"/>
              <w:ind w:left="1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0" w:type="dxa"/>
            <w:vAlign w:val="bottom"/>
          </w:tcPr>
          <w:p>
            <w:pPr>
              <w:jc w:val="center"/>
              <w:ind w:left="2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Realized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682"/>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119,049</w:t>
            </w:r>
          </w:p>
        </w:tc>
        <w:tc>
          <w:tcPr>
            <w:tcW w:w="0" w:type="dxa"/>
            <w:vAlign w:val="bottom"/>
          </w:tcPr>
          <w:p>
            <w:pPr>
              <w:spacing w:after="0"/>
              <w:rPr>
                <w:sz w:val="1"/>
                <w:szCs w:val="1"/>
                <w:color w:val="auto"/>
              </w:rPr>
            </w:pPr>
          </w:p>
        </w:tc>
      </w:tr>
      <w:tr>
        <w:trPr>
          <w:trHeight w:val="263"/>
        </w:trPr>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34,974</w:t>
            </w: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35,027</w:t>
            </w:r>
          </w:p>
        </w:tc>
        <w:tc>
          <w:tcPr>
            <w:tcW w:w="0" w:type="dxa"/>
            <w:vAlign w:val="bottom"/>
          </w:tcPr>
          <w:p>
            <w:pPr>
              <w:spacing w:after="0"/>
              <w:rPr>
                <w:sz w:val="1"/>
                <w:szCs w:val="1"/>
                <w:color w:val="auto"/>
              </w:rPr>
            </w:pPr>
          </w:p>
        </w:tc>
      </w:tr>
      <w:tr>
        <w:trPr>
          <w:trHeight w:val="250"/>
        </w:trPr>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153,914</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154,076</w:t>
            </w:r>
          </w:p>
        </w:tc>
        <w:tc>
          <w:tcPr>
            <w:tcW w:w="0" w:type="dxa"/>
            <w:vAlign w:val="bottom"/>
          </w:tcPr>
          <w:p>
            <w:pPr>
              <w:spacing w:after="0"/>
              <w:rPr>
                <w:sz w:val="1"/>
                <w:szCs w:val="1"/>
                <w:color w:val="auto"/>
              </w:rPr>
            </w:pPr>
          </w:p>
        </w:tc>
      </w:tr>
      <w:tr>
        <w:trPr>
          <w:trHeight w:val="27"/>
        </w:trPr>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0"/>
        </w:trPr>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36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0" w:type="dxa"/>
            <w:vAlign w:val="bottom"/>
          </w:tcPr>
          <w:p>
            <w:pPr>
              <w:jc w:val="center"/>
              <w:ind w:left="19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320" w:type="dxa"/>
            <w:vAlign w:val="bottom"/>
          </w:tcPr>
          <w:p>
            <w:pPr>
              <w:spacing w:after="0"/>
              <w:rPr>
                <w:sz w:val="14"/>
                <w:szCs w:val="14"/>
                <w:color w:val="auto"/>
              </w:rPr>
            </w:pPr>
          </w:p>
        </w:tc>
        <w:tc>
          <w:tcPr>
            <w:tcW w:w="116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0" w:type="dxa"/>
            <w:vAlign w:val="bottom"/>
          </w:tcPr>
          <w:p>
            <w:pPr>
              <w:jc w:val="center"/>
              <w:ind w:left="1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00" w:type="dxa"/>
            <w:vAlign w:val="bottom"/>
            <w:gridSpan w:val="2"/>
          </w:tcPr>
          <w:p>
            <w:pPr>
              <w:spacing w:after="0"/>
              <w:rPr>
                <w:sz w:val="20"/>
                <w:szCs w:val="20"/>
                <w:color w:val="auto"/>
              </w:rPr>
            </w:pPr>
          </w:p>
        </w:tc>
        <w:tc>
          <w:tcPr>
            <w:tcW w:w="1200" w:type="dxa"/>
            <w:vAlign w:val="bottom"/>
            <w:tcBorders>
              <w:bottom w:val="single" w:sz="8" w:color="auto"/>
            </w:tcBorders>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698"/>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w:t>
            </w:r>
          </w:p>
        </w:tc>
        <w:tc>
          <w:tcPr>
            <w:tcW w:w="10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0" w:type="dxa"/>
            <w:vAlign w:val="bottom"/>
          </w:tcPr>
          <w:p>
            <w:pPr>
              <w:spacing w:after="0"/>
              <w:rPr>
                <w:sz w:val="1"/>
                <w:szCs w:val="1"/>
                <w:color w:val="auto"/>
              </w:rPr>
            </w:pPr>
          </w:p>
        </w:tc>
      </w:tr>
      <w:tr>
        <w:trPr>
          <w:trHeight w:val="256"/>
        </w:trPr>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41,229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0" w:type="dxa"/>
            <w:vAlign w:val="bottom"/>
          </w:tcPr>
          <w:p>
            <w:pPr>
              <w:spacing w:after="0"/>
              <w:rPr>
                <w:sz w:val="1"/>
                <w:szCs w:val="1"/>
                <w:color w:val="auto"/>
              </w:rPr>
            </w:pPr>
          </w:p>
        </w:tc>
      </w:tr>
      <w:tr>
        <w:trPr>
          <w:trHeight w:val="250"/>
        </w:trPr>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123,854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-3181985</wp:posOffset>
            </wp:positionH>
            <wp:positionV relativeFrom="paragraph">
              <wp:posOffset>-2390775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-2099310</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-1773555</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-822325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-530860</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-3181985</wp:posOffset>
            </wp:positionH>
            <wp:positionV relativeFrom="paragraph">
              <wp:posOffset>-205105</wp:posOffset>
            </wp:positionV>
            <wp:extent cx="71323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00" w:space="720"/>
            <w:col w:w="6220"/>
          </w:cols>
          <w:pgMar w:left="320" w:top="290" w:right="33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values of the Company’s available-for-sale securities included within Marketable securities in the Condensed Consolidated Balance Sheets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December 31, 2023, by remaining contractual maturity, are as follows (in thousands):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Short-term marketable securities:</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U.S. Treasury securities</w:t>
      </w:r>
    </w:p>
    <w:p>
      <w:pPr>
        <w:spacing w:after="0" w:line="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Commercial paper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Fair Value of Financial Instruments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3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Over</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40" w:type="dxa"/>
            <w:vAlign w:val="bottom"/>
          </w:tcPr>
          <w:p>
            <w:pPr>
              <w:spacing w:after="0"/>
              <w:rPr>
                <w:sz w:val="16"/>
                <w:szCs w:val="16"/>
                <w:color w:val="auto"/>
              </w:rPr>
            </w:pPr>
          </w:p>
        </w:tc>
        <w:tc>
          <w:tcPr>
            <w:tcW w:w="134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One Year</w:t>
            </w:r>
          </w:p>
        </w:tc>
        <w:tc>
          <w:tcPr>
            <w:tcW w:w="220" w:type="dxa"/>
            <w:vAlign w:val="bottom"/>
          </w:tcPr>
          <w:p>
            <w:pPr>
              <w:spacing w:after="0"/>
              <w:rPr>
                <w:sz w:val="16"/>
                <w:szCs w:val="16"/>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Through</w:t>
            </w:r>
          </w:p>
        </w:tc>
        <w:tc>
          <w:tcPr>
            <w:tcW w:w="2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Five Years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2"/>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119,049</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119,049</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35,027</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35,027</w:t>
            </w:r>
          </w:p>
        </w:tc>
        <w:tc>
          <w:tcPr>
            <w:tcW w:w="0" w:type="dxa"/>
            <w:vAlign w:val="bottom"/>
          </w:tcPr>
          <w:p>
            <w:pPr>
              <w:spacing w:after="0"/>
              <w:rPr>
                <w:sz w:val="1"/>
                <w:szCs w:val="1"/>
                <w:color w:val="auto"/>
              </w:rPr>
            </w:pPr>
          </w:p>
        </w:tc>
      </w:tr>
      <w:tr>
        <w:trPr>
          <w:trHeight w:val="250"/>
        </w:trPr>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154,076</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154,076</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7"/>
              </w:rPr>
              <w:t>Over</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13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One Year</w:t>
            </w:r>
          </w:p>
        </w:tc>
        <w:tc>
          <w:tcPr>
            <w:tcW w:w="240" w:type="dxa"/>
            <w:vAlign w:val="bottom"/>
          </w:tcPr>
          <w:p>
            <w:pPr>
              <w:spacing w:after="0"/>
              <w:rPr>
                <w:sz w:val="15"/>
                <w:szCs w:val="15"/>
                <w:color w:val="auto"/>
              </w:rPr>
            </w:pPr>
          </w:p>
        </w:tc>
        <w:tc>
          <w:tcPr>
            <w:tcW w:w="134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w w:val="99"/>
              </w:rPr>
              <w:t>One Year</w:t>
            </w:r>
          </w:p>
        </w:tc>
        <w:tc>
          <w:tcPr>
            <w:tcW w:w="220" w:type="dxa"/>
            <w:vAlign w:val="bottom"/>
          </w:tcPr>
          <w:p>
            <w:pPr>
              <w:spacing w:after="0"/>
              <w:rPr>
                <w:sz w:val="15"/>
                <w:szCs w:val="15"/>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Over</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4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3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Through</w:t>
            </w:r>
          </w:p>
        </w:tc>
        <w:tc>
          <w:tcPr>
            <w:tcW w:w="2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or Less</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Five Years</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Five Years</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82"/>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8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0" w:type="dxa"/>
            <w:vAlign w:val="bottom"/>
          </w:tcPr>
          <w:p>
            <w:pPr>
              <w:spacing w:after="0"/>
              <w:rPr>
                <w:sz w:val="1"/>
                <w:szCs w:val="1"/>
                <w:color w:val="auto"/>
              </w:rPr>
            </w:pPr>
          </w:p>
        </w:tc>
      </w:tr>
      <w:tr>
        <w:trPr>
          <w:trHeight w:val="263"/>
        </w:trPr>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0" w:type="dxa"/>
            <w:vAlign w:val="bottom"/>
          </w:tcPr>
          <w:p>
            <w:pPr>
              <w:spacing w:after="0"/>
              <w:rPr>
                <w:sz w:val="1"/>
                <w:szCs w:val="1"/>
                <w:color w:val="auto"/>
              </w:rPr>
            </w:pPr>
          </w:p>
        </w:tc>
      </w:tr>
      <w:tr>
        <w:trPr>
          <w:trHeight w:val="250"/>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123,876</w:t>
            </w:r>
          </w:p>
        </w:tc>
        <w:tc>
          <w:tcPr>
            <w:tcW w:w="0" w:type="dxa"/>
            <w:vAlign w:val="bottom"/>
          </w:tcPr>
          <w:p>
            <w:pPr>
              <w:spacing w:after="0"/>
              <w:rPr>
                <w:sz w:val="1"/>
                <w:szCs w:val="1"/>
                <w:color w:val="auto"/>
              </w:rPr>
            </w:pPr>
          </w:p>
        </w:tc>
      </w:tr>
      <w:tr>
        <w:trPr>
          <w:trHeight w:val="27"/>
        </w:trPr>
        <w:tc>
          <w:tcPr>
            <w:tcW w:w="240" w:type="dxa"/>
            <w:vAlign w:val="bottom"/>
            <w:tcBorders>
              <w:top w:val="single" w:sz="8" w:color="auto"/>
              <w:bottom w:val="single" w:sz="8" w:color="auto"/>
            </w:tcBorders>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-2502535</wp:posOffset>
            </wp:positionV>
            <wp:extent cx="713232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-2211070</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-1885315</wp:posOffset>
            </wp:positionV>
            <wp:extent cx="713232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-822325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-530860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-205105</wp:posOffset>
            </wp:positionV>
            <wp:extent cx="7132320" cy="1885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683" w:lineRule="exact"/>
        <w:rPr>
          <w:sz w:val="20"/>
          <w:szCs w:val="20"/>
          <w:color w:val="auto"/>
        </w:rPr>
      </w:pPr>
    </w:p>
    <w:p>
      <w:pPr>
        <w:sectPr>
          <w:pgSz w:w="11900" w:h="16838" w:orient="portrait"/>
          <w:cols w:equalWidth="0" w:num="2">
            <w:col w:w="4320" w:space="720"/>
            <w:col w:w="6200"/>
          </w:cols>
          <w:pgMar w:left="320" w:top="290" w:right="339" w:bottom="1440" w:gutter="0" w:footer="0" w:header="0"/>
        </w:sectPr>
      </w:pP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74"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Valuations based on quoted prices in active markets for identical assets or liabilities that an entity has the ability to access.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Valuations based on quoted prices for similar assets or liabilities, quoted prices for identical assets or liabilities in markets that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or other inputs that are observable or can be corroborated by observable data for substantially the full term of the assets or liabilities.</w:t>
      </w:r>
    </w:p>
    <w:p>
      <w:pPr>
        <w:spacing w:after="0" w:line="158"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Valuations based on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carrying value of cash and cash equivalents, accounts payable and accrued expenses and other current liabilities approximates their fair values due to the short-term or on demand nature of these instruments. At September 30, 2024 and December 31, 2023, the Company’s investment portfolio included available-for-sale securities which were comprised of money market funds, U.S. treasury bills and commercial paper. The Company has U.S. Treasury bills and commercial papers that are classified as Level 2 due to the fair value for these instruments being determined by utilizing observable inputs in similar assets or identical assets in non-active markets. The fair value of certain of the U.S. Treasury bills transferred to Level 2 from Level 1 of the fair value hierarchy due to trading activity, observability and accessibility of the pricing information from the most active market of the investment.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Warrants are recorded as Warrant liabilities in the Condensed Consolidated Balance Sheets. The warrant liabilities are measured at fair value at inception and on a recurring basis, with changes in fair value presented as Change in fair value of warrant liabilities in the Condensed Consolidated Statements of Operations and Comprehensive Loss.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Public Warrants and Private Warrants were carried at fair value as of September 30, 2024 and December 31, 2023. The Public Warrants were valued using Level 1 inputs as they are traded in an active market. The Private Warrants were valued using a binomial lattice model. The primary unobservable input utilized in determining the fair value of the Private Warrants was the expected volatility of the Company’s Class A common stock. The expected volatility was based on consideration of the implied volatility from the Company’s own Public Warrant pricing and on the historical volatility observed at guideline public companies. As of September 30, 2024, the significant assumptions used in preparing the binomial lattice model for valuing the Private Warrants liability include (i) volatility of 121.2%, (ii) risk-free interest rate of 3.7%, (iii) strike price of $11.50, (iv) fair value of Class A common stock of $0.88, and (v) expected life of 1.7 years. As of December 31, 2023, the significant assumptions used in preparing the binomial lattice model for valuing the Private Warrants liability include (i) volatility of 92.1%, (ii) risk-free interest rate of 4.10%, (iii) strike price of $11.50, (iv) fair value of Class A common stock of $2.01, and (v) expected life of 2.4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exercises or redemptions of the Public Warrants or Private Warrants during the three and nine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assets and liabilities in the Condensed Consolidated Balance Sheets as of September 30,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that are measured at fair value on a recurring basis, by level, within the fair value hierarchy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63"/>
        </w:trPr>
        <w:tc>
          <w:tcPr>
            <w:tcW w:w="5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24,126</w:t>
            </w: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119,049</w:t>
            </w: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35,027</w:t>
            </w:r>
          </w:p>
        </w:tc>
      </w:tr>
      <w:tr>
        <w:trPr>
          <w:trHeight w:val="257"/>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 at fair value on a recurring basis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154,076</w:t>
            </w:r>
          </w:p>
        </w:tc>
        <w:tc>
          <w:tcPr>
            <w:tcW w:w="8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192,467</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64"/>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at fair value on a recurring basis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879"/>
        </w:trPr>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5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63"/>
        </w:trPr>
        <w:tc>
          <w:tcPr>
            <w:tcW w:w="5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22"/>
                <w:szCs w:val="22"/>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280" w:type="dxa"/>
            <w:vAlign w:val="bottom"/>
            <w:tcBorders>
              <w:top w:val="single" w:sz="8" w:color="auto"/>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50,226</w:t>
            </w: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59,654</w:t>
            </w: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19,436</w:t>
            </w:r>
          </w:p>
        </w:tc>
      </w:tr>
      <w:tr>
        <w:trPr>
          <w:trHeight w:val="25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Treasury securities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22"/>
                <w:szCs w:val="22"/>
                <w:color w:val="auto"/>
              </w:rPr>
            </w:pP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82,640</w:t>
            </w:r>
          </w:p>
        </w:tc>
      </w:tr>
      <w:tr>
        <w:trPr>
          <w:trHeight w:val="263"/>
        </w:trPr>
        <w:tc>
          <w:tcPr>
            <w:tcW w:w="5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c>
          <w:tcPr>
            <w:tcW w:w="8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41,236</w:t>
            </w:r>
          </w:p>
        </w:tc>
      </w:tr>
      <w:tr>
        <w:trPr>
          <w:trHeight w:val="277"/>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 on a recurring basis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60,672</w:t>
            </w:r>
          </w:p>
        </w:tc>
        <w:tc>
          <w:tcPr>
            <w:tcW w:w="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253,192</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5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at fair value on a recurring basis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1"/>
        </w:trPr>
        <w:tc>
          <w:tcPr>
            <w:tcW w:w="5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Inventory consists of the following as of September 30, 2024 and December 31,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Raw materials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Work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Finished goods</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57"/>
        </w:trPr>
        <w:tc>
          <w:tcPr>
            <w:tcW w:w="18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r>
      <w:tr>
        <w:trPr>
          <w:trHeight w:val="277"/>
        </w:trPr>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w:t>
            </w:r>
          </w:p>
        </w:tc>
      </w:tr>
      <w:tr>
        <w:trPr>
          <w:trHeight w:val="250"/>
        </w:trPr>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3,945</w:t>
            </w:r>
          </w:p>
        </w:tc>
      </w:tr>
      <w:tr>
        <w:trPr>
          <w:trHeight w:val="27"/>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7340" w:space="720"/>
            <w:col w:w="3180"/>
          </w:cols>
          <w:pgMar w:left="320" w:top="290" w:right="339" w:bottom="1440" w:gutter="0" w:footer="0" w:header="0"/>
          <w:type w:val="continuous"/>
        </w:sectPr>
      </w:pP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recorded charges for inventory write-downs of $0.8 million and $2.4 million, respectively, in Research and Development expenses in the Condensed Consolidated Statements of Operations and Comprehensive Loss. There were no charges for inventory write-downs during the three and nine months ended September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as of September 30, 2024 and December 31, 2023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34"/>
        </w:trPr>
        <w:tc>
          <w:tcPr>
            <w:tcW w:w="8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Laboratory and production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14,727</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5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6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w:t>
            </w:r>
          </w:p>
        </w:tc>
      </w:tr>
      <w:tr>
        <w:trPr>
          <w:trHeight w:val="26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process</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5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w:t>
            </w: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26,318</w:t>
            </w:r>
          </w:p>
        </w:tc>
      </w:tr>
      <w:tr>
        <w:trPr>
          <w:trHeight w:val="28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(10,043)</w:t>
            </w:r>
          </w:p>
        </w:tc>
      </w:tr>
      <w:tr>
        <w:trPr>
          <w:trHeight w:val="275"/>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0" w:right="339" w:bottom="1440" w:gutter="0" w:footer="0" w:header="0"/>
          <w:type w:val="continuous"/>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Depreciation and amortization expense is included within Cost of revenue and Selling, general and administrative expenses in the </w:t>
      </w:r>
      <w:r>
        <w:rPr>
          <w:rFonts w:ascii="Times New Roman" w:cs="Times New Roman" w:eastAsia="Times New Roman" w:hAnsi="Times New Roman"/>
          <w:sz w:val="17"/>
          <w:szCs w:val="17"/>
          <w:color w:val="auto"/>
        </w:rPr>
        <w:t>Condensed Consolidated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Statements of Operations and Comprehensive Loss. Depreciation and amortization expense was $1.2 million and $1.1 million for the three months ended September 30, 2024 and 2023, respectively, and $3.6 million and $2.9 million for the nine months ended September 30, 2024 and 2023, respectively. No impairments were recorded for the three and nine months ended September 30, 2024 or 2023.</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Lease-related costs for the three and nine months ended September 30, 2024 and 2023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5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506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r>
      <w:tr>
        <w:trPr>
          <w:trHeight w:val="270"/>
        </w:trPr>
        <w:tc>
          <w:tcPr>
            <w:tcW w:w="5060" w:type="dxa"/>
            <w:vAlign w:val="bottom"/>
            <w:tcBorders>
              <w:bottom w:val="single" w:sz="8" w:color="CCEEFF"/>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6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82"/>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September 30, 2024 are as follows (dollars in thousands):</w:t>
            </w: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50"/>
        </w:trPr>
        <w:tc>
          <w:tcPr>
            <w:tcW w:w="9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Remaining Lease</w:t>
            </w:r>
          </w:p>
        </w:tc>
      </w:tr>
      <w:tr>
        <w:trPr>
          <w:trHeight w:val="245"/>
        </w:trPr>
        <w:tc>
          <w:tcPr>
            <w:tcW w:w="9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Payments</w:t>
            </w:r>
          </w:p>
        </w:tc>
      </w:tr>
      <w:tr>
        <w:trPr>
          <w:trHeight w:val="257"/>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1,127</w:t>
            </w:r>
          </w:p>
        </w:tc>
      </w:tr>
      <w:tr>
        <w:trPr>
          <w:trHeight w:val="25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4,527</w:t>
            </w:r>
          </w:p>
        </w:tc>
      </w:tr>
      <w:tr>
        <w:trPr>
          <w:trHeight w:val="26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4,585</w:t>
            </w:r>
          </w:p>
        </w:tc>
      </w:tr>
      <w:tr>
        <w:trPr>
          <w:trHeight w:val="25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4,549</w:t>
            </w:r>
          </w:p>
        </w:tc>
      </w:tr>
      <w:tr>
        <w:trPr>
          <w:trHeight w:val="26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2,975</w:t>
            </w:r>
          </w:p>
        </w:tc>
      </w:tr>
      <w:tr>
        <w:trPr>
          <w:trHeight w:val="25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10,052</w:t>
            </w:r>
          </w:p>
        </w:tc>
      </w:tr>
      <w:tr>
        <w:trPr>
          <w:trHeight w:val="257"/>
        </w:trPr>
        <w:tc>
          <w:tcPr>
            <w:tcW w:w="9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remaining undiscounted lease payments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27,815</w:t>
            </w:r>
          </w:p>
        </w:tc>
      </w:tr>
      <w:tr>
        <w:trPr>
          <w:trHeight w:val="25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1"/>
                <w:szCs w:val="21"/>
                <w:color w:val="auto"/>
              </w:rPr>
            </w:pPr>
          </w:p>
        </w:tc>
        <w:tc>
          <w:tcPr>
            <w:tcW w:w="1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(4,886)</w:t>
            </w:r>
          </w:p>
        </w:tc>
      </w:tr>
      <w:tr>
        <w:trPr>
          <w:trHeight w:val="29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Lease incentives</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shd w:val="clear" w:color="auto" w:fill="CCEEFF"/>
          </w:tcPr>
          <w:p>
            <w:pPr>
              <w:spacing w:after="0"/>
              <w:rPr>
                <w:sz w:val="24"/>
                <w:szCs w:val="24"/>
                <w:color w:val="auto"/>
              </w:rPr>
            </w:pPr>
          </w:p>
        </w:tc>
        <w:tc>
          <w:tcPr>
            <w:tcW w:w="1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(9,104)</w:t>
            </w:r>
          </w:p>
        </w:tc>
      </w:tr>
      <w:tr>
        <w:trPr>
          <w:trHeight w:val="243"/>
        </w:trPr>
        <w:tc>
          <w:tcPr>
            <w:tcW w:w="9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lease liabilities</w:t>
            </w:r>
          </w:p>
        </w:tc>
        <w:tc>
          <w:tcPr>
            <w:tcW w:w="22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13,825</w:t>
            </w:r>
          </w:p>
        </w:tc>
      </w:tr>
      <w:tr>
        <w:trPr>
          <w:trHeight w:val="257"/>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(3,614)</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10,211</w:t>
            </w:r>
          </w:p>
        </w:tc>
      </w:tr>
      <w:tr>
        <w:trPr>
          <w:trHeight w:val="20"/>
        </w:trPr>
        <w:tc>
          <w:tcPr>
            <w:tcW w:w="9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57"/>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tcPr>
          <w:p>
            <w:pPr>
              <w:spacing w:after="0"/>
              <w:rPr>
                <w:sz w:val="22"/>
                <w:szCs w:val="22"/>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bl>
    <w:p>
      <w:pPr>
        <w:spacing w:after="0" w:line="228"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8"/>
          <w:szCs w:val="18"/>
          <w:color w:val="auto"/>
        </w:rPr>
        <w:t>Includes lease incentives that are estimated to be realized in 2026 and 2027 for the costs of leasehold improvements.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cash flow and supplemental cash flow information related to the Company’s right-of-use assets and lease liabilities for the nine months ended September 30, 2024 and 2023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8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0"/>
        </w:trPr>
        <w:tc>
          <w:tcPr>
            <w:tcW w:w="81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paid to settle 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312"/>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r>
              <w:rPr>
                <w:rFonts w:ascii="Times New Roman" w:cs="Times New Roman" w:eastAsia="Times New Roman" w:hAnsi="Times New Roman"/>
                <w:sz w:val="23"/>
                <w:szCs w:val="23"/>
                <w:color w:val="auto"/>
                <w:vertAlign w:val="superscript"/>
              </w:rPr>
              <w:t>(2)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223" w:lineRule="exact"/>
        <w:rPr>
          <w:sz w:val="20"/>
          <w:szCs w:val="20"/>
          <w:color w:val="auto"/>
        </w:rPr>
      </w:pPr>
    </w:p>
    <w:p>
      <w:pPr>
        <w:ind w:left="180" w:hanging="172"/>
        <w:spacing w:after="0" w:line="229" w:lineRule="auto"/>
        <w:tabs>
          <w:tab w:leader="none" w:pos="224"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nine months ended September 30, 2024 includes an increase in right-of-use assets due to the change in estimated timing of receipt of reimbursements for tenant improvements.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2021, the Company signed a 10-year lease for approximately 67,000 square feet of space in New Haven, Connecticut. The lease commenced on January 8, 2022 with rent payments beginning on July 7, 2022. Under the lease, the landlord contractually agreed to reimburse the Company for up to $9.1 million in improvements to the space, to be used for such improvements as the Company deems “necessary or desirable”. On September 13, 2022, the Company filed a lawsuit against the landlord, alleging that the landlord has: (i) refused to reimburse the Company for costs related to improvements already incurred and submitted, (ii) delayed the Company’s completion of improvements, in order to avoid reimbursing the costs of those improvements, and (iii) improperly rejected the Company’s proposed improvement plans. The Company accounted for these lease incentives as an offset to the lease liability recorded at the inception of the lease. In September 2024, the Company determined there was a change in the estimated timing of receipt of reimbursements for the improvements. This resulted in an increase of the carrying value of the right-of-use asset and the corresponding lease liabilities of $1.0 million. Although the Company believes it is contractually entitled to the $9.1 million of lease incentives, based on the current status of the litigation, the Company cannot determine the likely outcome or estimate the impact on such carrying values.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Company incurred and recognized total leasehold improvements of approximately $1.2 million and $1.6 million, respectively, related to reimbursable construction costs which are included in construction in progress within Property and equipment, net, on the Condensed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Accrued Expenses and Other Current Liabilities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8"/>
        </w:trPr>
        <w:tc>
          <w:tcPr>
            <w:tcW w:w="80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2"/>
        </w:trPr>
        <w:tc>
          <w:tcPr>
            <w:tcW w:w="80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costs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fees</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5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57"/>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Incentive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Quantum-Si Incorporated 2021 Equity Incentive Plan (the “2021 Plan”) provides for grants of stock options, stock appreciation rights, restricted stock, restricted stock units, and other stock or cash-based awards. Directors, officers and other employees of the Company and its subsidiaries, as well as others performing consulting or advisory services for the Company, are eligible for grants under the 2021 Plan. As of September 30, 2024, there were 13,204,915 shares available for future grant under the 2021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Inducement Equity Incentive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8, 2023, the Company adopted the 2023 Inducement Equity Incentive Plan (the “2023 Inducement Plan”) to reserve 3,000,000 shares of its Class A common stock to be used exclusively for grants of awards to individuals that were not previously employees or directors of the Company as a material inducement to such individuals’ entry into employment with the Company within the meaning of Rule 5635(c)(4) of the Nasdaq Listing Rules. On August 23, 2024, the Company amended the 2023 Inducement Plan to reserve an additional 3,000,000 shares of its Class A common stock under the 2023 Inducement Plan. As of September 30, 2024, there were 2,268,867 shares available for future issuance under the 2023 Inducement Plan, as amended. The terms and conditions of the 2023 Inducement Plan, as amended, are substantially similar to those of the 2021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Stock Options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$1.7 million and $1.1 million for stock-based compensation related to stock options for the three months ended September 30, 2024 and 2023, respectively, and $4.8 million and $5.7 million for stock-based compensation related to stock options for the nine months ended September 30, 2024 and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and records the compensation cost associated with the grants described above with an offsetting entry to paid-in capital. The Company utilized the Black-Scholes option pricing model for determining the estimated fair value for service or performance-based stock awards where performance is not tied to market conditions. The Black-Scholes option pricing model requires the use of subjective assumptions which determine the fair value of stock-based awards.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stock option award granted during the nine months ended September 30, 2024 was estimated as of the grant date using a Black-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Scholes model with the following assumptions: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3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5"/>
        </w:trPr>
        <w:tc>
          <w:tcPr>
            <w:tcW w:w="498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230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4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60" w:type="dxa"/>
            <w:vAlign w:val="bottom"/>
            <w:gridSpan w:val="3"/>
            <w:shd w:val="clear" w:color="auto" w:fill="CCEEFF"/>
          </w:tcPr>
          <w:p>
            <w:pPr>
              <w:jc w:val="center"/>
              <w:ind w:right="570"/>
              <w:spacing w:after="0"/>
              <w:rPr>
                <w:sz w:val="20"/>
                <w:szCs w:val="20"/>
                <w:color w:val="auto"/>
              </w:rPr>
            </w:pPr>
            <w:r>
              <w:rPr>
                <w:rFonts w:ascii="Times New Roman" w:cs="Times New Roman" w:eastAsia="Times New Roman" w:hAnsi="Times New Roman"/>
                <w:sz w:val="18"/>
                <w:szCs w:val="18"/>
                <w:color w:val="auto"/>
                <w:w w:val="99"/>
              </w:rPr>
              <w:t>4.6 - 5.0</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60" w:type="dxa"/>
            <w:vAlign w:val="bottom"/>
            <w:gridSpan w:val="3"/>
          </w:tcPr>
          <w:p>
            <w:pPr>
              <w:jc w:val="center"/>
              <w:ind w:right="550"/>
              <w:spacing w:after="0"/>
              <w:rPr>
                <w:sz w:val="20"/>
                <w:szCs w:val="20"/>
                <w:color w:val="auto"/>
              </w:rPr>
            </w:pPr>
            <w:r>
              <w:rPr>
                <w:rFonts w:ascii="Times New Roman" w:cs="Times New Roman" w:eastAsia="Times New Roman" w:hAnsi="Times New Roman"/>
                <w:sz w:val="18"/>
                <w:szCs w:val="18"/>
                <w:color w:val="auto"/>
                <w:w w:val="99"/>
              </w:rPr>
              <w:t>3.4% - 5.2%</w:t>
            </w: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140" w:type="dxa"/>
            <w:vAlign w:val="bottom"/>
            <w:gridSpan w:val="5"/>
            <w:shd w:val="clear" w:color="auto" w:fill="CCEEFF"/>
          </w:tcPr>
          <w:p>
            <w:pPr>
              <w:jc w:val="center"/>
              <w:ind w:left="730"/>
              <w:spacing w:after="0"/>
              <w:rPr>
                <w:sz w:val="20"/>
                <w:szCs w:val="20"/>
                <w:color w:val="auto"/>
              </w:rPr>
            </w:pPr>
            <w:r>
              <w:rPr>
                <w:rFonts w:ascii="Times New Roman" w:cs="Times New Roman" w:eastAsia="Times New Roman" w:hAnsi="Times New Roman"/>
                <w:sz w:val="18"/>
                <w:szCs w:val="18"/>
                <w:color w:val="auto"/>
                <w:w w:val="99"/>
              </w:rPr>
              <w:t>82.4% - 90.6%</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w:t>
            </w: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 per share</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jc w:val="center"/>
              <w:ind w:right="830"/>
              <w:spacing w:after="0"/>
              <w:rPr>
                <w:sz w:val="20"/>
                <w:szCs w:val="20"/>
                <w:color w:val="auto"/>
              </w:rPr>
            </w:pPr>
            <w:r>
              <w:rPr>
                <w:rFonts w:ascii="Times New Roman" w:cs="Times New Roman" w:eastAsia="Times New Roman" w:hAnsi="Times New Roman"/>
                <w:sz w:val="18"/>
                <w:szCs w:val="18"/>
                <w:color w:val="auto"/>
                <w:w w:val="98"/>
              </w:rPr>
              <w:t>$1.03</w:t>
            </w:r>
          </w:p>
        </w:tc>
      </w:tr>
      <w:tr>
        <w:trPr>
          <w:trHeight w:val="527"/>
        </w:trPr>
        <w:tc>
          <w:tcPr>
            <w:tcW w:w="95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summary of the stock option activity for the nine months ended September 30, 2024 is presented in the table below:</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50"/>
        </w:trPr>
        <w:tc>
          <w:tcPr>
            <w:tcW w:w="49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8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03"/>
        </w:trPr>
        <w:tc>
          <w:tcPr>
            <w:tcW w:w="4980" w:type="dxa"/>
            <w:vAlign w:val="bottom"/>
          </w:tcPr>
          <w:p>
            <w:pPr>
              <w:spacing w:after="0"/>
              <w:rPr>
                <w:sz w:val="17"/>
                <w:szCs w:val="17"/>
                <w:color w:val="auto"/>
              </w:rPr>
            </w:pPr>
          </w:p>
        </w:tc>
        <w:tc>
          <w:tcPr>
            <w:tcW w:w="1420" w:type="dxa"/>
            <w:vAlign w:val="bottom"/>
          </w:tcPr>
          <w:p>
            <w:pPr>
              <w:jc w:val="right"/>
              <w:ind w:right="190"/>
              <w:spacing w:after="0" w:line="202"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8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ind w:right="50"/>
              <w:spacing w:after="0" w:line="202" w:lineRule="exact"/>
              <w:rPr>
                <w:sz w:val="20"/>
                <w:szCs w:val="20"/>
                <w:color w:val="auto"/>
              </w:rPr>
            </w:pPr>
            <w:r>
              <w:rPr>
                <w:rFonts w:ascii="Times New Roman" w:cs="Times New Roman" w:eastAsia="Times New Roman" w:hAnsi="Times New Roman"/>
                <w:sz w:val="18"/>
                <w:szCs w:val="18"/>
                <w:b w:val="1"/>
                <w:bCs w:val="1"/>
                <w:color w:val="auto"/>
                <w:w w:val="98"/>
              </w:rPr>
              <w:t>Intrinsic Value</w:t>
            </w:r>
          </w:p>
        </w:tc>
      </w:tr>
      <w:tr>
        <w:trPr>
          <w:trHeight w:val="279"/>
        </w:trPr>
        <w:tc>
          <w:tcPr>
            <w:tcW w:w="498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2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5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22,511,900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8.2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3"/>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(2,385,526)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7"/>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6"/>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22,156,173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2"/>
                <w:szCs w:val="22"/>
                <w:color w:val="auto"/>
              </w:rPr>
            </w:pPr>
          </w:p>
        </w:tc>
        <w:tc>
          <w:tcPr>
            <w:tcW w:w="14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7"/>
              </w:rPr>
              <w:t>8.0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r>
      <w:tr>
        <w:trPr>
          <w:trHeight w:val="25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at September 30, 2024</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9,292,622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w w:val="97"/>
              </w:rPr>
              <w:t>6.8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September 30, 2024</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19,025,789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Pr>
          <w:p>
            <w:pPr>
              <w:spacing w:after="0"/>
              <w:rPr>
                <w:sz w:val="21"/>
                <w:szCs w:val="21"/>
                <w:color w:val="auto"/>
              </w:rPr>
            </w:pPr>
          </w:p>
        </w:tc>
        <w:tc>
          <w:tcPr>
            <w:tcW w:w="14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7"/>
              </w:rPr>
              <w:t>7.8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Modification of Performance 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2022 and May 2023, the Company granted 2,780,000 and 1,000,000 performance-based stock option awards to its Chief Executive Officer and Chief Financial Officer, respectively. The vesting of these awards are subject to continued service to the Company and certain market conditions. The market conditions require the Company’s Class A common stock trade above specified levels for certain periods of time. The fair values of the awards were estimated at the grant date using the Monte Carlo simulation model.</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15, 2024, the market conditions that trigger the vesting of these performance-based stock option awards were modified. The modified market conditions require the Company’s Class A common stock to trade above specified levels for certain defined periods of time that are different from the original awards. The Company accounted for the modifications as modifications of market conditions. The total incremental stock-based compensation expense to be recognized for these awards is approximately $2.4 million within Selling, general and administrative operating expenses in the Condensed Consolidated Statements of Operations and Comprehensive Loss. Incremental stock-based compensation expense for the three and nine months ended September 30, 2024 was $0.2 million and $0.4 million, respectively. There were no such modifications to performance-based stock option awards for the three and nine months ended September 30, 2023.</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Restricted Stock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recorded $0.7 million of stock-based compensation expense related to restricted stock unit (“RSU”) awards for the three months ended September 30, 2024. Stock-based compensation expense related to RSU awards for the three months ended September 30, 2023 was immaterial. The Company recorded $1.7 million and $1.2 million of stock-based compensation expense related to RSU awards for the nine months ended September 30, 2024 and 2023, respectively. The nine months ended September 30, 2023 included a reversal of stock-based compensation expense for the Company’s former Chief Financial Officer and certain members of the Company’s board of directors (the “Board”) as the service conditions of certain awards previously granted were not met.</w:t>
      </w:r>
    </w:p>
    <w:p>
      <w:pPr>
        <w:sectPr>
          <w:pgSz w:w="11900" w:h="16838" w:orient="portrait"/>
          <w:cols w:equalWidth="0" w:num="1">
            <w:col w:w="11240"/>
          </w:cols>
          <w:pgMar w:left="320" w:top="290"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activity for the nine months ended September 30, 2024 is 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RSUs at December 31, 2023</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Vested</w:t>
      </w:r>
    </w:p>
    <w:p>
      <w:pPr>
        <w:spacing w:after="0" w:line="5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Outstanding non-vested RSUs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41"/>
        </w:trPr>
        <w:tc>
          <w:tcPr>
            <w:tcW w:w="14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Underlying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8"/>
              </w:rPr>
              <w:t>Grant-Date</w:t>
            </w:r>
          </w:p>
        </w:tc>
        <w:tc>
          <w:tcPr>
            <w:tcW w:w="0" w:type="dxa"/>
            <w:vAlign w:val="bottom"/>
          </w:tcPr>
          <w:p>
            <w:pPr>
              <w:spacing w:after="0"/>
              <w:rPr>
                <w:sz w:val="1"/>
                <w:szCs w:val="1"/>
                <w:color w:val="auto"/>
              </w:rPr>
            </w:pPr>
          </w:p>
        </w:tc>
      </w:tr>
      <w:tr>
        <w:trPr>
          <w:trHeight w:val="237"/>
        </w:trPr>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847,169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56"/>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8,380,356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57"/>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(805,396)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90"/>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57"/>
        </w:trPr>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7,449,922</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980" w:space="200"/>
            <w:col w:w="3060"/>
          </w:cols>
          <w:pgMar w:left="320" w:top="290" w:right="339" w:bottom="1440" w:gutter="0" w:footer="0" w:header="0"/>
          <w:type w:val="continuous"/>
        </w:sectPr>
      </w:pP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stock-based compensation is allocated to the following operating expense categories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060" w:type="dxa"/>
            <w:vAlign w:val="bottom"/>
          </w:tcPr>
          <w:p>
            <w:pPr>
              <w:spacing w:after="0"/>
              <w:rPr>
                <w:sz w:val="22"/>
                <w:szCs w:val="22"/>
                <w:color w:val="auto"/>
              </w:rPr>
            </w:pPr>
          </w:p>
        </w:tc>
        <w:tc>
          <w:tcPr>
            <w:tcW w:w="312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2"/>
                <w:szCs w:val="22"/>
                <w:color w:val="auto"/>
              </w:rPr>
            </w:pPr>
          </w:p>
        </w:tc>
        <w:tc>
          <w:tcPr>
            <w:tcW w:w="29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0"/>
        </w:trPr>
        <w:tc>
          <w:tcPr>
            <w:tcW w:w="5060" w:type="dxa"/>
            <w:vAlign w:val="bottom"/>
            <w:tcBorders>
              <w:bottom w:val="single" w:sz="8" w:color="CCEEFF"/>
            </w:tcBorders>
          </w:tcPr>
          <w:p>
            <w:pPr>
              <w:spacing w:after="0"/>
              <w:rPr>
                <w:sz w:val="23"/>
                <w:szCs w:val="2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top w:val="single" w:sz="8" w:color="auto"/>
              <w:bottom w:val="single" w:sz="8" w:color="auto"/>
            </w:tcBorders>
          </w:tcPr>
          <w:p>
            <w:pPr>
              <w:spacing w:after="0"/>
              <w:rPr>
                <w:sz w:val="23"/>
                <w:szCs w:val="23"/>
                <w:color w:val="auto"/>
              </w:rPr>
            </w:pP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r>
      <w:tr>
        <w:trPr>
          <w:trHeight w:val="263"/>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89"/>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Net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presents both basic earnings per share (“EPS”) and diluted EPS. Basic net loss per share is computed by dividing net loss by the weighted-average number of shares of common stock outstanding for the period. Diluted net loss per share is computed by giving effect to all common share equivalents to the extent they are dilutive. Basic and diluted net loss per share was the same for each period presented as the inclusion of all common share equivalents would have been anti-dilutive.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calculations for the three and nine months ended September 30, 2024 and 2023 of basic and diluted net loss per share for the Company’s common stock (in thousands, except per share amounts):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1"/>
                <w:szCs w:val="21"/>
                <w:color w:val="auto"/>
              </w:rPr>
            </w:pPr>
          </w:p>
        </w:tc>
        <w:tc>
          <w:tcPr>
            <w:tcW w:w="290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70"/>
        </w:trPr>
        <w:tc>
          <w:tcPr>
            <w:tcW w:w="5040" w:type="dxa"/>
            <w:vAlign w:val="bottom"/>
            <w:tcBorders>
              <w:bottom w:val="single" w:sz="8" w:color="CCEEFF"/>
            </w:tcBorders>
          </w:tcPr>
          <w:p>
            <w:pPr>
              <w:spacing w:after="0"/>
              <w:rPr>
                <w:sz w:val="23"/>
                <w:szCs w:val="23"/>
                <w:color w:val="auto"/>
              </w:rPr>
            </w:pPr>
          </w:p>
        </w:tc>
        <w:tc>
          <w:tcPr>
            <w:tcW w:w="140" w:type="dxa"/>
            <w:vAlign w:val="bottom"/>
            <w:tcBorders>
              <w:top w:val="single" w:sz="8" w:color="auto"/>
              <w:bottom w:val="single" w:sz="8" w:color="auto"/>
            </w:tcBorders>
          </w:tcPr>
          <w:p>
            <w:pPr>
              <w:spacing w:after="0"/>
              <w:rPr>
                <w:sz w:val="23"/>
                <w:szCs w:val="23"/>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3"/>
                <w:szCs w:val="23"/>
                <w:color w:val="auto"/>
              </w:rPr>
            </w:pPr>
          </w:p>
        </w:tc>
        <w:tc>
          <w:tcPr>
            <w:tcW w:w="16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(73,912)</w:t>
            </w:r>
          </w:p>
        </w:tc>
        <w:tc>
          <w:tcPr>
            <w:tcW w:w="0" w:type="dxa"/>
            <w:vAlign w:val="bottom"/>
          </w:tcPr>
          <w:p>
            <w:pPr>
              <w:spacing w:after="0"/>
              <w:rPr>
                <w:sz w:val="1"/>
                <w:szCs w:val="1"/>
                <w:color w:val="auto"/>
              </w:rPr>
            </w:pPr>
          </w:p>
        </w:tc>
      </w:tr>
      <w:tr>
        <w:trPr>
          <w:trHeight w:val="211"/>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Numerator for basic and diluted EPS - loss attributable to common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(25,313)</w:t>
            </w:r>
          </w:p>
        </w:tc>
        <w:tc>
          <w:tcPr>
            <w:tcW w:w="8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(67,886)</w:t>
            </w:r>
          </w:p>
        </w:tc>
        <w:tc>
          <w:tcPr>
            <w:tcW w:w="100" w:type="dxa"/>
            <w:vAlign w:val="bottom"/>
            <w:shd w:val="clear" w:color="auto" w:fill="CCEEFF"/>
          </w:tcPr>
          <w:p>
            <w:pPr>
              <w:spacing w:after="0"/>
              <w:rPr>
                <w:sz w:val="18"/>
                <w:szCs w:val="18"/>
                <w:color w:val="auto"/>
              </w:rPr>
            </w:pPr>
          </w:p>
        </w:tc>
        <w:tc>
          <w:tcPr>
            <w:tcW w:w="34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(73,912)</w:t>
            </w:r>
          </w:p>
        </w:tc>
        <w:tc>
          <w:tcPr>
            <w:tcW w:w="0" w:type="dxa"/>
            <w:vAlign w:val="bottom"/>
          </w:tcPr>
          <w:p>
            <w:pPr>
              <w:spacing w:after="0"/>
              <w:rPr>
                <w:sz w:val="1"/>
                <w:szCs w:val="1"/>
                <w:color w:val="auto"/>
              </w:rPr>
            </w:pPr>
          </w:p>
        </w:tc>
      </w:tr>
      <w:tr>
        <w:trPr>
          <w:trHeight w:val="227"/>
        </w:trPr>
        <w:tc>
          <w:tcPr>
            <w:tcW w:w="50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stockholders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3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142,399</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142,039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141,154</w:t>
            </w:r>
          </w:p>
        </w:tc>
        <w:tc>
          <w:tcPr>
            <w:tcW w:w="0" w:type="dxa"/>
            <w:vAlign w:val="bottom"/>
          </w:tcPr>
          <w:p>
            <w:pPr>
              <w:spacing w:after="0"/>
              <w:rPr>
                <w:sz w:val="1"/>
                <w:szCs w:val="1"/>
                <w:color w:val="auto"/>
              </w:rPr>
            </w:pPr>
          </w:p>
        </w:tc>
      </w:tr>
      <w:tr>
        <w:trPr>
          <w:trHeight w:val="198"/>
        </w:trPr>
        <w:tc>
          <w:tcPr>
            <w:tcW w:w="50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Denominator for basic and diluted EPS - weighted-average</w:t>
            </w:r>
          </w:p>
        </w:tc>
        <w:tc>
          <w:tcPr>
            <w:tcW w:w="140" w:type="dxa"/>
            <w:vAlign w:val="bottom"/>
          </w:tcPr>
          <w:p>
            <w:pPr>
              <w:spacing w:after="0"/>
              <w:rPr>
                <w:sz w:val="17"/>
                <w:szCs w:val="17"/>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142,399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141,660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142,039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141,154</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per share attributable to Class A and Class B common stockholders was the same on a basic and diluted basis, as the inclusion of all potential common equivalent shares outstanding would have been anti-dilutive.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potential dilutive shares were excluded from the calculation of diluted net loss per share because their effect would be anti-dilutive for the three and nine months ended September 30, 2024 and 2023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210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960" w:type="dxa"/>
            <w:vAlign w:val="bottom"/>
            <w:tcBorders>
              <w:bottom w:val="single" w:sz="8" w:color="auto"/>
            </w:tcBorders>
          </w:tcPr>
          <w:p>
            <w:pPr>
              <w:spacing w:after="0"/>
              <w:rPr>
                <w:sz w:val="21"/>
                <w:szCs w:val="21"/>
                <w:color w:val="auto"/>
              </w:rPr>
            </w:pPr>
          </w:p>
        </w:tc>
      </w:tr>
      <w:tr>
        <w:trPr>
          <w:trHeight w:val="270"/>
        </w:trPr>
        <w:tc>
          <w:tcPr>
            <w:tcW w:w="818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22,156,173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23,621,828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restricted stock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7,449,922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640,674</w:t>
            </w:r>
          </w:p>
        </w:tc>
      </w:tr>
      <w:tr>
        <w:trPr>
          <w:trHeight w:val="27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warrants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3,968,319</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3,968,319</w:t>
            </w:r>
          </w:p>
        </w:tc>
      </w:tr>
      <w:tr>
        <w:trPr>
          <w:trHeight w:val="250"/>
        </w:trPr>
        <w:tc>
          <w:tcPr>
            <w:tcW w:w="81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33,574,414</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28,230,821</w:t>
            </w:r>
          </w:p>
        </w:tc>
      </w:tr>
      <w:tr>
        <w:trPr>
          <w:trHeight w:val="27"/>
        </w:trPr>
        <w:tc>
          <w:tcPr>
            <w:tcW w:w="81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Warrant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and December 31, 2023, there were an aggregate of 3,833,319 outstanding Public Warrants, which entitle the holder to acquire Class A common stock. Each whole warrant entitles the registered holder to purchase one share of Class A common stock at an exercise price of $11.50 per share, subject to adjustment as discussed below, beginning on September 9, 2021. The warrants will expire on June 10, 2026 or earlier upon redemption or liquidation.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any time while the warrants are exercisable, the Company may redeem not less than all of the outstanding Public Warrants:</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warrant holder; and</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Company’s Class A common stock equals or exceeds $18.00 per share (as adjusted for stock splits, stock capitalizations, reorganizations, recapitalizations and the like) for any 20 trading days within a 30-trading day period ending three business days before the Company sends the notice of redemption to the warrant holders.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foregoing conditions are satisfied and the Company issues a notice of redemption of the Public Warrants at $0.01 per warrant, each holder of Public Warrants will be entitled to exercise their Public Warrants held prior to the scheduled redemption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the Company calls the Public Warrants for redemption for $0.01 as described above, the Board may elect to require any holder that wishes to exercise his, her or its Public Warrants to do so on a “cashless basis.” If the Board makes such election, all holders of Public Warrants would pay the exercise price by surrendering their warrants for that number of shares of Class A common stock equal to the quotient obtained by dividing (x) the product of the number of shares of Class A common stock underlying the warrants, multiplied by the excess of the “fair market value” over the exercise price of the warrants by</w:t>
      </w:r>
    </w:p>
    <w:p>
      <w:pPr>
        <w:spacing w:after="0" w:line="3" w:lineRule="exact"/>
        <w:rPr>
          <w:sz w:val="20"/>
          <w:szCs w:val="20"/>
          <w:color w:val="auto"/>
        </w:rPr>
      </w:pPr>
    </w:p>
    <w:p>
      <w:pPr>
        <w:jc w:val="both"/>
        <w:ind w:firstLine="8"/>
        <w:spacing w:after="0" w:line="255" w:lineRule="auto"/>
        <w:tabs>
          <w:tab w:leader="none" w:pos="25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For purposes of the redemption provisions of the warrants, the “fair market value” means the average last reported sale price of the Class A common stock for the 10 trading days ending on the third trading day prior to the date on which the notice of redemption is sent to the holders of warrants.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Public Warrants do not meet the criteria to be classified in stockholders’ equity as the exercise of the Public Warrants may be settled in cash upon the occurrence of a tender offer or exchange offer in which the maker of the tender offer or exchange offer, upon completion of the tender offer or exchange offer, beneficially owns more than 50% of the outstanding shares of the Company’s Class A common stock, even if it would not result in a change of control of the Company. This provision precludes the Public Warrants from being classified in equity and thus they are classified as long-term liabilities in the Condensed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September 30, 2024 and December 31, 2023, there were 135,000 Private Warrants outstanding. The Private Warrants are identical to the Public Warrants, except that so long as they are held by HighCape Capital Acquisition LLC or any of its permitted transferees, (i) the Private Warrants and the shares of Class A common stock issuable upon the exercise of the Private Warrants were not transferable, assignable or saleable until 30 days after the completion of the Business Combination, (ii) the Private Warrants will be exercisable for cash or on a cashless basis, at the holder’s option, and (iii) the Private Warrants are not subject to the Company’s redemption option at the price of $0.01 per warrant. The Private Warrants are subject to the Company’s redemption option at the price of $0.01 per warrant, provided that the other conditions of such redemption are met, as described above. If the Private Warrants are held by a holder other than HighCape Capital Acquisition LLC or any of its permitted transferees, the Private Warrants will be redeemable by the Company in all redemption scenarios applicable to the Public Warrants and exercisable by such holders on the same basis as the Public Warrants.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Warrants do not meet the criteria to be classified in stockholders’ equity as the terms of the warrants provide for potential changes to the settlement amounts depending upon the characteristics of the warrant holder, and, because the holder of a warrant is not an input into the pricing of a fixed-for-fixed option on equity shares. This provision precludes the Private Warrants from being classified in equity and thus they are classified as long-term liabilities in the Condensed Consolidated Balance Sheets.</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 xml:space="preserve">The fair value of warrant liabilities was $0.4 million and $1.3 million as of September 30, 2024 and December 31, 2023, respectively. The Company recognized a gain of $0.1 million and a loss of $0.2 million as a Change in fair value of warrant liabilities in the </w:t>
      </w:r>
      <w:r>
        <w:rPr>
          <w:rFonts w:ascii="Times New Roman" w:cs="Times New Roman" w:eastAsia="Times New Roman" w:hAnsi="Times New Roman"/>
          <w:sz w:val="17"/>
          <w:szCs w:val="17"/>
          <w:color w:val="auto"/>
        </w:rPr>
        <w:t>Condensed Consolidated Statements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Operations and Comprehensive Loss for the three months ended September 30, 2024 and 2023, respectively. The Company recognized a gain of $0.9 million and a loss of $0.1 million as a Change in fair value of warrant liabilities in the Condensed Consolidated Statements of Operations and Comprehensive Loss for the nine months ended September 30, 2024 and 2023, respectively. There were no exercises or redemptions of the Public Warrants or Private Warrants during the three and nine months ended September 30, 2024 or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Restructuring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committed to organizational restructurings during the first and third quarters of 2023, designed to decrease its costs and create a more streamlined organization to support its business. As of December 31, 2023, the Company recorded a restructuring liability of $0.5 million which is included in Accrued expenses and other current liabilities in the Condensed Consolidated Balance Sheets. As of September 30, 2024, the Company had no remaining restructuring liability.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restructuring costs, primarily for cash severance and other severance costs, are allocated to the following operating expense categories as follows (in thousands):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Research and</w:t>
            </w: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Selling, general and</w:t>
            </w:r>
          </w:p>
        </w:tc>
        <w:tc>
          <w:tcPr>
            <w:tcW w:w="360" w:type="dxa"/>
            <w:vAlign w:val="bottom"/>
          </w:tcPr>
          <w:p>
            <w:pPr>
              <w:spacing w:after="0"/>
              <w:rPr>
                <w:sz w:val="18"/>
                <w:szCs w:val="18"/>
                <w:color w:val="auto"/>
              </w:rPr>
            </w:pPr>
          </w:p>
        </w:tc>
        <w:tc>
          <w:tcPr>
            <w:tcW w:w="122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6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development</w:t>
            </w:r>
          </w:p>
        </w:tc>
        <w:tc>
          <w:tcPr>
            <w:tcW w:w="16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administrative</w:t>
            </w:r>
          </w:p>
        </w:tc>
        <w:tc>
          <w:tcPr>
            <w:tcW w:w="36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56"/>
        </w:trPr>
        <w:tc>
          <w:tcPr>
            <w:tcW w:w="62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Restructuring charges incurred</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57"/>
        </w:trPr>
        <w:tc>
          <w:tcPr>
            <w:tcW w:w="628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Cash payments and other adjustments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63"/>
        </w:trPr>
        <w:tc>
          <w:tcPr>
            <w:tcW w:w="628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Cash payments and other adjustments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6280" w:type="dxa"/>
            <w:vAlign w:val="bottom"/>
            <w:shd w:val="clear" w:color="auto" w:fill="CCEEFF"/>
          </w:tcPr>
          <w:p>
            <w:pPr>
              <w:ind w:left="20"/>
              <w:spacing w:after="0" w:line="263" w:lineRule="exact"/>
              <w:rPr>
                <w:sz w:val="20"/>
                <w:szCs w:val="20"/>
                <w:color w:val="auto"/>
              </w:rPr>
            </w:pPr>
            <w:r>
              <w:rPr>
                <w:rFonts w:ascii="Times New Roman" w:cs="Times New Roman" w:eastAsia="Times New Roman" w:hAnsi="Times New Roman"/>
                <w:sz w:val="18"/>
                <w:szCs w:val="18"/>
                <w:color w:val="auto"/>
              </w:rPr>
              <w:t>Cash payments and other adjustments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5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2"/>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as of September 30, 2024</w:t>
            </w: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200" w:hanging="192"/>
        <w:spacing w:after="0"/>
        <w:tabs>
          <w:tab w:leader="none" w:pos="200" w:val="left"/>
        </w:tabs>
        <w:numPr>
          <w:ilvl w:val="0"/>
          <w:numId w:val="1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Restructuring charges incurred and Cash payments and other adjustments include non-cash charges related to stock-based compensation expenses.</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restructuring activities were complete as of March 31, 2024. The Company does not expect to incur additional charges associated with these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Income taxes for the three and nine months ended September 30, 2024 and 2023 were recorded at the Company’s estimated annual effective income tax rate, subject to adjustments for discrete events, if they occur. The Company’s estimated annual effective tax rate for the three and nine months ended September 30, 2024 was (0.17)% and (0.06)%, respectively. The Company’s estimated annual effective tax rate for each of the three and nine months ended September 30, 2023 was 0.0%. The primary reconciling items between the federal statutory rate of 21.0% and the Company’s overall effective tax rate for these periods were related to stock-based compensation, the valuation allowance recorded against the full amount of the Company’s net deferred tax assets and foreign taxes.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valuation allowance is required when it is more likely than not that some portion or all of the Company’s deferred tax assets will not be realized. The realization of deferred tax assets depends on the generation of sufficient future taxable income during the period in which the Company’s related temporary differences become deductible. Management believes that based on the earnings history of the Company, it is more likely than not that the benefits of these assets will not be realized, and therefore, a full valuation allowance has been recorded against the Company’s net deferred tax assets as of September 30, 2024 and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as of February 17, 2021, legacy Quantum-Si entered into a Master Services Agreement (“MSA”) with 4Catalyzer Corporation (“4C”), a company controlled by Dr. Jonathan Rothberg, a member of the Board, pursuant to which the Company may engage 4C to provide services such as general administration, facilities, information technology, financing, legal, human resources and other services, through future statements of work and under terms and conditions to be determined by the parties with respect to any services to be provided. The Company incurred expenses payable to 4C of $0.1 million</w:t>
      </w:r>
    </w:p>
    <w:p>
      <w:pPr>
        <w:spacing w:after="0" w:line="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both the three months ended September 30, 2024 and 2023, and $0.2 million and $0.3 million for the nine months ended September 30, 2024 and 2023, respectively. These expenses included amounts for month-to-month sublease arrangements for office and laboratory spaces from 4C and certain administrative expenses. These amounts are included in Selling, general and administrative expenses in the Condensed Consolidated Statements of Operations and Comprehensive Loss.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October 1, 2022, the Company entered into a Protein Engineering Collaboration (the “New Collaboration”) with Protein Evolution, Inc. (“PEI”) to develop technology and methods in the field of nanobodies and potentially other binders to produce novel biological reagents and related data. Dr. Rothberg serves as a member of the board of directors of PEI and the Rothberg family are controlling stockholders of PEI. As of September 30, 2024 there was no amount due from PEI to</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related to the New Collaboration. As of December 31, 2023, the amount due from PEI to the Company related to the New Collaboration was $0.3 million. The New Collaboration was terminated effective May 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November 1, 2022, the Company entered into an Advisory Agreement with Dr. Rothberg (the “Advisory Agreement”), pursuant to which Dr. Rothberg serves as a member of the Board, advises the Chief Executive Officer and the Board on strategic matters, and provides consulting, business development and similar services on matters relating to the Company’s current, future and potential scientific and strategic initiatives and such other consulting services reasonably requested from time to time. Pursuant to the Advisory Agreement, as compensation for the services provided thereunder, in March 2023, the Company granted Dr. Rothberg an option to purchase 250,000 shares of Class A common stock pursuant to the 2021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Licenses related to certain intellectual property: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licenses certain intellectual property, some of which may be utilized in its current or future product offerings. To preserve the right to use such intellectual property, the Company is required to make annual minimum fixed payments totaling approximately $0.1 million as well as royalties based on net sales if the royalties exceed annual minimum fixed payments. As of September 30, 2024 and December 31, 2023, the Company had accrued royalties of approximately $0.1 million included in Accrued expenses and other current liabilities in the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eligible U.S. employees (the “401(k) Plan”). Contributions to the 401(k) Plan are discretionary. The Company did not make any matching contributions to the 401(k) Plan for the three and nine months ended September 30,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in the ordinary course of business. The Company accrues contingent liabilities to the extent the liability is probable and estimable.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May 16, 2024, a punitive class action lawsuit was filed in the Delaware Court of Chancery, styled </w:t>
      </w:r>
      <w:r>
        <w:rPr>
          <w:rFonts w:ascii="Times New Roman" w:cs="Times New Roman" w:eastAsia="Times New Roman" w:hAnsi="Times New Roman"/>
          <w:sz w:val="18"/>
          <w:szCs w:val="18"/>
          <w:i w:val="1"/>
          <w:iCs w:val="1"/>
          <w:color w:val="auto"/>
        </w:rPr>
        <w:t>Farzad v. HighCape Capital, et al.</w:t>
      </w:r>
      <w:r>
        <w:rPr>
          <w:rFonts w:ascii="Times New Roman" w:cs="Times New Roman" w:eastAsia="Times New Roman" w:hAnsi="Times New Roman"/>
          <w:sz w:val="18"/>
          <w:szCs w:val="18"/>
          <w:color w:val="auto"/>
        </w:rPr>
        <w:t xml:space="preserve"> (the “Delaware Stockholder Litigation”). The Delaware Stockholder Litigation asserts breach of fiduciary duty claims against the former officers and directors of HighCape, including Kevin Rakin, Matt Zuga, David Colpman, Robert Taub and Antony Loebel, HighCape Capital Acquisition LLC and HighCape Capital L.P., aiding and abetting breach of fiduciary duty claims against Foresite Capital Management, LLC and Dr. Rothberg, and unjust enrichment claims against all defendants related to the Business Combination. The Delaware Stockholder Litigation complaint alleges that the transactions contemplated by the Business Combination were a product of an unfair process which was allegedly impacted by conflicts of interest, resulting in mispricing of the Business Combination. The complaint seeks, among other things, unspecified damages and attorneys’ fees and costs. On July 29, 2024, the defendants filed motions to dismiss the Delaware Stockholder Litigation complaint. There is no assurance that defendants will be successful in the defense of the litigation or that insurance will be available or adequate to fund any potential settlement or judgment or the litigation costs of the action. At the time of this filing the outcome of this matter is not estimable or probable.</w:t>
      </w:r>
    </w:p>
    <w:p>
      <w:pPr>
        <w:spacing w:after="0" w:line="1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April 2023, the Company informed the contract manufacturer that had manufactured its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Carbon™ instruments that it intended to wind down the relationship and transition to a different contract manufacturer. In October 2023, the former contract manufacturer filed a complaint against the Company in the State of Texas alleging breach of contract and made claims for economic damage and attorney costs. In January 2024, the suit was withdrawn and refiled in the State of Minnesota alleging similar claims. Although it is not possible to determine the potential financial exposure associated with the alleged claim at this time given its early stage, the Company believes it has a meritorious defense and intends to vigorously defend against all claims asserted in the complaint. At the time of this filing the outcome of this matter is not estimable or probable.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that contain indemnification provisions with other parties in the ordinary course of business, including business partners, investors, contractors, and the Company’s officers, directors and certain employees. The Company has agreed to indemnify and defend the indemnified party claims and related losses suffered or incurred by the indemnified party from actual or threatened third-party claims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any particular case. To date, losses recorded in the Condensed Consolidated Statements of Operations and Comprehensive Loss in connection with the indemnification provisions have not been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Subsequent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Deficiency Notice</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2024, the Company received a notice (the “Notice”) from the Listing Qualifications Staff of The Nasdaq Stock Market LLC (“Nasdaq”) notifying the Company that, for the last 30 consecutive business days, the bid price of the Company’s Class A common stock had closed below $1.00 per share, the minimum closing bid price required by the continued listing requirements of Nasdaq Listing Rule 5450(a)(1) (the “Bid Price Requirement”). While the Notice has no immediate effect on the listing or trading of the Company’s Class A common stock on The Nasdaq Global Select Market, the Company has until May 5, 2025 to regain compliance. If the Company does not regain compliance with the Bid Price Requirement by the Compliance Date, the Company may be eligible for an additional 180 calendar day compliance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which management believes is relevant to an assessment and understanding of our condensed consolidated results of operations and financial condition. The discussion should be read in conjunction with (i) the unaudited Condensed Consolidated Financial Statements and notes thereto contained in this Quarterly Report on Form 10-Q, (ii) the Consolidated Financial Statements and notes thereto for the year ended December 31, 2023 contained in our Annual Report on Form 10-K for the year ended December 31, 2023, filed with the Securities and Exchange Commission (the “SEC”) on February 29, 2024, and (iii) our other public reports filed with the SEC. This discussion contains forward looking statements and involves numerous risks and uncertainties, including, but not limited to, those described in the “Risk Factors” section of our Annual Report on Form 10-K for the year ended December 31, 2023, our Quarterly Report on Form 10-Q for the quarter ended March 31, 2024 and this Quarterly Report on Form 10-Q. Actual results may differ materially from those contained in any forward-looking statements. Unless the context otherwise requires, references to “we”, “us”, “our”, the “Company” or “Quantum-Si” are intended to mean the business and operations of Quantum-Si Incorporated and its consolidated subsidiaries. The unaudited Condensed Consolidated Financial Statements for the three and nine months ended September 30, 2024 and 2023 present the financial position and results of operations of Quantum-Si Incorporated and its consolidated subsidiaries.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are an innovative life sciences company with the mission of transforming single-molecule analysis and democratizing its use by providing researchers and clinicians access to the proteome, the set of proteins expressed within a cell. We have developed a proprietary universal single-molecule detection platform that we are first applying to proteomics to enable Next-Generation Protein Sequencing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(“NGPS”), the ability to sequence proteins in a massively parallel fashion (rather than sequentially, one at a time), that can be used for the study of nucleic acids. Our platform was designed to offer an end-to-end workflow including both sample preparation and sequencing and is comprised of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NGPS instrument, the Platinum Analysis Software service, and reagent kits and proprietary semiconductor chips for use with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We began a controlled launch of the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in December 2022 and subsequently initiated a full commercial launch at the end of the first quarter of 2024.</w:t>
      </w:r>
    </w:p>
    <w:p>
      <w:pPr>
        <w:spacing w:after="0" w:line="20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Now that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Platinum Analysis Software system has launched, we intend to follow a systematic, phased approach to continue to successfully launch updates to our platform. We believe we are the first company to successfully enable NGPS on a semiconductor chip, thus digitizing a massive proteomics opportunity, which allows for a massively parallel solution at the ultimate level of sensitivity - single-molecule detection. We believe our platform, which is designed to streamline sequencing and data analysis at a lower instrument cost than legacy proteomic solutions, could allow our product to have wide utility across the study of the proteome. For example, we believe our platform could be used for biomarker discovery and disease detection, pathway analysis, immune response, vaccine development, quality assurance and quality control, among other applications.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Results of Operations for the Three and Nine Months Ended September 30, 2024 as Compared to the Three and Nine Months Ended September 30,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Condensed Consolidated Statements of Operations and Comprehensive Loss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00" w:type="dxa"/>
            <w:vAlign w:val="bottom"/>
            <w:gridSpan w:val="9"/>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Three months ended September 30,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gridSpan w:val="9"/>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tc>
      </w:tr>
      <w:tr>
        <w:trPr>
          <w:trHeight w:val="29"/>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w w:val="96"/>
              </w:rPr>
              <w:t>$ Change</w:t>
            </w:r>
          </w:p>
        </w:tc>
        <w:tc>
          <w:tcPr>
            <w:tcW w:w="80" w:type="dxa"/>
            <w:vAlign w:val="bottom"/>
          </w:tcPr>
          <w:p>
            <w:pPr>
              <w:spacing w:after="0"/>
              <w:rPr>
                <w:sz w:val="21"/>
                <w:szCs w:val="21"/>
                <w:color w:val="auto"/>
              </w:rPr>
            </w:pPr>
          </w:p>
        </w:tc>
        <w:tc>
          <w:tcPr>
            <w:tcW w:w="120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200" w:type="dxa"/>
            <w:vAlign w:val="bottom"/>
          </w:tcPr>
          <w:p>
            <w:pPr>
              <w:spacing w:after="0"/>
              <w:rPr>
                <w:sz w:val="21"/>
                <w:szCs w:val="21"/>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w w:val="99"/>
              </w:rPr>
              <w:t>$ Change</w:t>
            </w:r>
          </w:p>
        </w:tc>
        <w:tc>
          <w:tcPr>
            <w:tcW w:w="100" w:type="dxa"/>
            <w:vAlign w:val="bottom"/>
          </w:tcPr>
          <w:p>
            <w:pPr>
              <w:spacing w:after="0"/>
              <w:rPr>
                <w:sz w:val="21"/>
                <w:szCs w:val="21"/>
                <w:color w:val="auto"/>
              </w:rPr>
            </w:pP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29"/>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5"/>
        </w:trPr>
        <w:tc>
          <w:tcPr>
            <w:tcW w:w="29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Product</w:t>
            </w: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10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253.7 %</w:t>
            </w:r>
          </w:p>
        </w:tc>
        <w:tc>
          <w:tcPr>
            <w:tcW w:w="1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10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171.6 %</w:t>
            </w:r>
          </w:p>
        </w:tc>
      </w:tr>
      <w:tr>
        <w:trPr>
          <w:trHeight w:val="251"/>
        </w:trPr>
        <w:tc>
          <w:tcPr>
            <w:tcW w:w="2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Service</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228.6 %</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221.4 %</w:t>
            </w:r>
          </w:p>
        </w:tc>
      </w:tr>
      <w:tr>
        <w:trPr>
          <w:trHeight w:val="229"/>
        </w:trPr>
        <w:tc>
          <w:tcPr>
            <w:tcW w:w="29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Total revenue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252.9 %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173.6 %</w:t>
            </w:r>
          </w:p>
        </w:tc>
      </w:tr>
      <w:tr>
        <w:trPr>
          <w:trHeight w:val="278"/>
        </w:trPr>
        <w:tc>
          <w:tcPr>
            <w:tcW w:w="2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37"/>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11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265.2 %</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135.5 %</w:t>
            </w:r>
          </w:p>
        </w:tc>
      </w:tr>
      <w:tr>
        <w:trPr>
          <w:trHeight w:val="257"/>
        </w:trPr>
        <w:tc>
          <w:tcPr>
            <w:tcW w:w="2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7"/>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w:t>
            </w:r>
          </w:p>
        </w:tc>
        <w:tc>
          <w:tcPr>
            <w:tcW w:w="11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7"/>
                <w:szCs w:val="17"/>
                <w:color w:val="auto"/>
              </w:rPr>
              <w:t>239.8 %</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219.4 %</w:t>
            </w: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5"/>
        </w:trPr>
        <w:tc>
          <w:tcPr>
            <w:tcW w:w="29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42,653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50,588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51"/>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10,696</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1,588</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36,236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33,010</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9.8 %</w:t>
            </w:r>
          </w:p>
        </w:tc>
      </w:tr>
      <w:tr>
        <w:trPr>
          <w:trHeight w:val="230"/>
        </w:trPr>
        <w:tc>
          <w:tcPr>
            <w:tcW w:w="29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28,455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27,283</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9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78,889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83,598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(4,709)</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(27,175)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(83,288)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r>
      <w:tr>
        <w:trPr>
          <w:trHeight w:val="235"/>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and interest income</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25.8 %</w:t>
            </w:r>
          </w:p>
        </w:tc>
      </w:tr>
      <w:tr>
        <w:trPr>
          <w:trHeight w:val="264"/>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on trading securities</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5"/>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Realized loss on trading securities</w:t>
            </w: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51"/>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warrant liabilities</w:t>
            </w: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(1,232.1)%</w:t>
            </w:r>
          </w:p>
        </w:tc>
      </w:tr>
      <w:tr>
        <w:trPr>
          <w:trHeight w:val="236"/>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140" w:type="dxa"/>
            <w:vAlign w:val="bottom"/>
            <w:tcBorders>
              <w:bottom w:val="single" w:sz="8" w:color="CCEEFF"/>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(102.7)%</w:t>
            </w:r>
          </w:p>
        </w:tc>
      </w:tr>
      <w:tr>
        <w:trPr>
          <w:trHeight w:val="24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(25,270)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(67,843)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(73,912)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20"/>
                <w:szCs w:val="20"/>
                <w:color w:val="auto"/>
              </w:rPr>
            </w:pPr>
          </w:p>
        </w:tc>
        <w:tc>
          <w:tcPr>
            <w:tcW w:w="1200" w:type="dxa"/>
            <w:vAlign w:val="bottom"/>
            <w:gridSpan w:val="3"/>
          </w:tcPr>
          <w:p>
            <w:pPr>
              <w:ind w:left="820"/>
              <w:spacing w:after="0"/>
              <w:rPr>
                <w:sz w:val="20"/>
                <w:szCs w:val="20"/>
                <w:color w:val="auto"/>
              </w:rPr>
            </w:pPr>
            <w:r>
              <w:rPr>
                <w:rFonts w:ascii="Times New Roman" w:cs="Times New Roman" w:eastAsia="Times New Roman" w:hAnsi="Times New Roman"/>
                <w:sz w:val="17"/>
                <w:szCs w:val="17"/>
                <w:color w:val="auto"/>
              </w:rPr>
              <w:t>nm</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6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(24,728)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w:t>
            </w:r>
          </w:p>
        </w:tc>
        <w:tc>
          <w:tcPr>
            <w:tcW w:w="9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6,026</w:t>
            </w:r>
          </w:p>
        </w:tc>
        <w:tc>
          <w:tcPr>
            <w:tcW w:w="1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Cost of Revenue and Gross Profit</w:t>
      </w:r>
    </w:p>
    <w:p>
      <w:pPr>
        <w:spacing w:after="0" w:line="2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Revenue is derived from sales of products and services. Product revenue is generated from the following sources: (i) sales of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(ii) consumables, which consist of sales of our library, sequencing reagents and semiconductor chips, and (iii) freight revenue, which is recognized upon shipment. Service revenue is generated from service maintenance contracts including Platinum Analysis Software access, and advanced training for instrument use.</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primarily consists of product and service costs including material costs, personnel costs and benefits, inbound and outbound freight, packaging, warranty replacement costs, royalty costs, facilities costs, depreciation and amortization expense, and inventory write-offs.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Cost of revenue and Gross profit for the three and nine months ended September 30, 2024 and 2023 are as follows (dollars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gridSpan w:val="9"/>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0" w:type="dxa"/>
            <w:vAlign w:val="bottom"/>
            <w:tcBorders>
              <w:bottom w:val="single" w:sz="8" w:color="auto"/>
            </w:tcBorders>
            <w:gridSpan w:val="9"/>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7"/>
        </w:trPr>
        <w:tc>
          <w:tcPr>
            <w:tcW w:w="27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8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252.9 %</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173.6 %</w:t>
            </w:r>
          </w:p>
        </w:tc>
      </w:tr>
      <w:tr>
        <w:trPr>
          <w:trHeight w:val="25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265.2 %</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135.5 %</w:t>
            </w:r>
          </w:p>
        </w:tc>
      </w:tr>
      <w:tr>
        <w:trPr>
          <w:trHeight w:val="322"/>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239.8 %</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219.4 %</w:t>
            </w:r>
          </w:p>
        </w:tc>
      </w:tr>
      <w:tr>
        <w:trPr>
          <w:trHeight w:val="217"/>
        </w:trPr>
        <w:tc>
          <w:tcPr>
            <w:tcW w:w="27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48.4 %</w:t>
            </w: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r>
    </w:tbl>
    <w:p>
      <w:pPr>
        <w:spacing w:after="0" w:line="302"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Total revenue for the sale of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instruments, related reagent kits and service maintenance contracts increased $0.6 million, or 252.9%, and $1.2 million, or 173.6%, for the three and nine months ended September 30, 2024, respectively, as compared to the same periods in 2023.</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 increased $0.3 million, or 265.2%, and $0.5 million, or 135.5% for the three and nine months ended September 30, 2024, respectively, as compared to the same periods in 2023.</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increased $0.3 million, or 239.8%, and $0.7 million, or 219.4%, for the three and nine months ended September 30, 2024, respectively, as compared to the same periods in 2023.</w:t>
      </w:r>
    </w:p>
    <w:p>
      <w:pPr>
        <w:spacing w:after="0" w:line="15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We began a controlled launch of the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and started to take orders in December 2022. We subsequently began limited commercial shipments of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January 2023 and subsequently initiated a full commercial launch at the end of the first quarter of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Expenses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primarily consist of personnel costs and benefits, stock-based compensation, lab supplies, consulting and professional services, fabrication services, charges related to product without an alternative future use, facilities costs, software, and other outsourced expenses. Research and development expenses are recognized as incurred. Our research and development expenses are primarily related to developing new products and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2024 and 2023 are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80" w:type="dxa"/>
            <w:vAlign w:val="bottom"/>
          </w:tcPr>
          <w:p>
            <w:pPr>
              <w:spacing w:after="0"/>
              <w:rPr>
                <w:sz w:val="21"/>
                <w:szCs w:val="21"/>
                <w:color w:val="auto"/>
              </w:rPr>
            </w:pPr>
          </w:p>
        </w:tc>
        <w:tc>
          <w:tcPr>
            <w:tcW w:w="4160" w:type="dxa"/>
            <w:vAlign w:val="bottom"/>
            <w:tcBorders>
              <w:bottom w:val="single" w:sz="8" w:color="auto"/>
            </w:tcBorders>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9"/>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7"/>
        </w:trPr>
        <w:tc>
          <w:tcPr>
            <w:tcW w:w="27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 Change</w:t>
            </w: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16,171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$0.4 million, or 2.5%, for the three months ended September 30, 2024, when compared to the same period in 2023. This decrease was primarily due to a $0.8 million decrease in payroll and payroll-related costs, primarily driven by restructuring activities that occurred in the three months ended September 30, 2023, and a $0.6 million decrease in fabrication and outsourced services. These decreases were partially offset by a $0.8 million increase in write-downs of inventory that no longer had an alternative future use and an increase of $0.5 million in laboratory supplies expense.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decreased by $7.9 million, or 15.7%, for the nine months ended September 30, 2024, when compared to the same period in 2023. This decrease was primarily due to a $4.8 million decrease in payroll and payroll-related costs, a $3.7 million decrease in fabrication and outsourced services and a $0.5 million decrease in stock-based compensation expense. The decrease in payroll and payroll-related costs were primarily driven by restructuring activities that occurred in 2023 and an increase in personnel costs that were capitalized for the nine months ended September 30, 2023. These decreases were partially offset by a $2.4 million increase in write-downs of inventory that no longer had a future use, a $1.7 million increase in laboratory supplies expense and a $0.9 million increase in depreciation and amortization expense.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Selling, General and Administrative Expenses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 costs and benefits, stock-based compensation, patent and filing fees, consulting and professional services, legal and accounting services, facilities costs, depreciation and amortization expense, insurance and office expenses, product advertising and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 expenses for the three and nine months ended September 30, 2024 and 2023 are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4060" w:type="dxa"/>
            <w:vAlign w:val="bottom"/>
            <w:tcBorders>
              <w:bottom w:val="single" w:sz="8" w:color="auto"/>
            </w:tcBorders>
            <w:gridSpan w:val="9"/>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9"/>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7"/>
        </w:trPr>
        <w:tc>
          <w:tcPr>
            <w:tcW w:w="29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12,284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14.8 %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increased $1.6 million, or 14.8%, for the three months ended September 30, 2024, when compared to the same period in 2023. This increase was primarily due to a $1.0 million increase in stock-based compensation expense, a $1.1 million increase in payroll and payroll-related expenses primarily related to investments made in commercial operations and a $0.4 million increase in outsourced services. These increases were partially offset by a $0.5 million decrease in legal fees and a $0.4 million decrease in professional services and consulting fees.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increased $3.2 million, or 9.8%, for the nine months ended September 30, 2024, when compared to the same period in 2023. The increase was primarily due to a $2.0 million increase in payroll and payroll-related costs primarily related to investments made in commercial operations, a $0.9 million increase in outsourced services, a $0.7 million increase in trade show and other marketing-related expenses, a $0.6 million increase in legal fees and a $0.5 million increase in non-income tax expenses. These increases were partially offset by a decrease of $1.7 million in professional services and consulting fees and a $0.6 million decrease in insurance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and Interest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2024, dividend and interest income is derived primarily from fixed income securities and money market mutual funds. In 2023, dividend and interest income was derived from mutual funds.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and interest income for the three and nine months ended September 30, 2024 and 2023 are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9"/>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900" w:type="dxa"/>
            <w:vAlign w:val="bottom"/>
            <w:tcBorders>
              <w:bottom w:val="single" w:sz="8" w:color="auto"/>
            </w:tcBorders>
            <w:gridSpan w:val="9"/>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7"/>
        </w:trPr>
        <w:tc>
          <w:tcPr>
            <w:tcW w:w="29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and interest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r>
    </w:tbl>
    <w:p>
      <w:pPr>
        <w:spacing w:after="0" w:line="3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Dividend and interest income increased by $0.1 million and $1.9 million for the three and nine months ended September 30, 2024, respectively, as compared to the same periods in 2023. This increase was a result of higher dividends and interest earned on invested balances in marketable securities.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Unrealized Gain on Trading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 on trading securities for the three and nine months ended September 30, 2024 and 2023 is as follows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8"/>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8"/>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7"/>
        </w:trPr>
        <w:tc>
          <w:tcPr>
            <w:tcW w:w="29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35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Unrealized gain on trading securities   $</w:t>
            </w:r>
          </w:p>
        </w:tc>
        <w:tc>
          <w:tcPr>
            <w:tcW w:w="5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(1,953)</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(8,302)</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Unrealized gain on trading securities for the three and nine months ended September 30, 2024 as compared to a gain of $2.0 million and $8.3</w:t>
      </w:r>
    </w:p>
    <w:p>
      <w:pPr>
        <w:spacing w:after="0" w:line="5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million for the same periods in 2023, respectively. The prior year gains were primarily related to market adjustments of investments in trading securities, which consisted of fixed income mutual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Realized Loss on Trading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loss on trading securities for the three and nine months ended September 30, 2024 and 2023 is as follows (dollars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20" w:type="dxa"/>
            <w:vAlign w:val="bottom"/>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8"/>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8"/>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6"/>
        </w:trPr>
        <w:tc>
          <w:tcPr>
            <w:tcW w:w="29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loss on trading securities</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(1,901)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  $   (6,489)</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Realized loss on trading securities for the three and nine months ended September 30, 2024 as compared to a loss of $1.9 million and $6.5</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million for the same periods in 2023, respectively. The prior year losses were primarily related to market adjustments of investments in trading securities, which consisted of fixed income mutual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 in Fair Value of Warrant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liabilities were recorded at fair value as part of the business combination between HighCape and Quantum-Si Incorporated in June 2021 (the “Business Combination”). Change in fair value of warrant liabilities primarily consists of the change in the fair value of our Public Warrants and Private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warrant liabilities for the three and nine months ended September 30, 2024 and 2023 is as follows (dollars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gridSpan w:val="9"/>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9"/>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56"/>
        </w:trPr>
        <w:tc>
          <w:tcPr>
            <w:tcW w:w="2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6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2"/>
                <w:szCs w:val="22"/>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191"/>
        </w:trPr>
        <w:tc>
          <w:tcPr>
            <w:tcW w:w="2740" w:type="dxa"/>
            <w:vAlign w:val="bottom"/>
            <w:tcBorders>
              <w:top w:val="single" w:sz="8" w:color="CCEEFF"/>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Change in fair value of warrant</w:t>
            </w: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r>
      <w:tr>
        <w:trPr>
          <w:trHeight w:val="248"/>
        </w:trPr>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(174.7)%  $</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change in fair value of warrant liabilities decreased $0.1 million for the three months ended September 30, 2024 compared to an increase of $0.2 million for the same period of 2023. The change in fair value of warrant liabilities decreased $0.9 million for the nine months ended September 30, 2024 compared to an increase of $0.1 million for the same period of 2023. These fluctuations were primarily driven by the change in the underlying trading price of our Class A common stock during the periods reported.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Other Income (Expense), Net</w:t>
            </w: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53"/>
        </w:trPr>
        <w:tc>
          <w:tcPr>
            <w:tcW w:w="960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Other income (expense), net, for the three and nine months ended September 30, 2024 and 2023 is as follows (dollars in thousands):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7"/>
        </w:trPr>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9"/>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9"/>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56"/>
        </w:trPr>
        <w:tc>
          <w:tcPr>
            <w:tcW w:w="22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5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21"/>
                <w:szCs w:val="21"/>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(160.0)%  $</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(expense), net, increased slightly for the three months ended September 30, 2024 as compared to the same period in 2023. Other income (expense), net, decreased $0.4 million, or 102.7%, for the nine months ended September 30, 2024 as compared to the same period in 2023. This decrease was primarily due to a $0.4 million decrease in the fair value of contingent consideration associated with the 2021 acquisition of Majelac Technologies LLC that was recorded during the nine months ended September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consolidated cash flows for operating, investing, and financing activities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and 2023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80" w:type="dxa"/>
            <w:vAlign w:val="bottom"/>
          </w:tcPr>
          <w:p>
            <w:pPr>
              <w:spacing w:after="0"/>
              <w:rPr>
                <w:sz w:val="21"/>
                <w:szCs w:val="21"/>
                <w:color w:val="auto"/>
              </w:rPr>
            </w:pPr>
          </w:p>
        </w:tc>
        <w:tc>
          <w:tcPr>
            <w:tcW w:w="34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70"/>
        </w:trPr>
        <w:tc>
          <w:tcPr>
            <w:tcW w:w="778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(73,067)</w:t>
            </w:r>
          </w:p>
        </w:tc>
      </w:tr>
      <w:tr>
        <w:trPr>
          <w:trHeight w:val="250"/>
        </w:trPr>
        <w:tc>
          <w:tcPr>
            <w:tcW w:w="7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82,360</w:t>
            </w:r>
          </w:p>
        </w:tc>
      </w:tr>
      <w:tr>
        <w:trPr>
          <w:trHeight w:val="263"/>
        </w:trPr>
        <w:tc>
          <w:tcPr>
            <w:tcW w:w="7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50"/>
        </w:trPr>
        <w:tc>
          <w:tcPr>
            <w:tcW w:w="77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5"/>
        </w:trPr>
        <w:tc>
          <w:tcPr>
            <w:tcW w:w="77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operating activities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cash used in operating activities of $64.9 million for the nine months ended September 30, 2024 was primarily due to a net loss of $67.9 million resulting from continued spend on research and development and commercialization efforts, accretion on marketable securities of $6.5 million and changes in operating assets and liabilities of $3.9 million, partially offset by stock-based compensation of $6.5 million, depreciation and amortization of $3.6 million and write-downs of inventory of $2.4 million.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net cash used in operating activities of $73.1 million for the nine months ended September 30, 2023 was primarily due to a net loss of $73.9 million resulting from continued spend on research and development efforts and commercialization ramp up, net cash outflows from changes in operating assets and liabilities of $8.5 million and unrealized gains on marketable securities of $8.3 million, partially offset by stock-based compensation of $6.9 million, realized losses on marketable securities of $6.5 million and depreciation and amortization of $3.1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(used in) provided by investing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investing activities was $26.8 million compared to net cash provided by investing activities of $82.4 million for the same period in 2023. This increase in cash used was primarily due to an increase of purchases of marketable securities of $262.0 million partially offset by a $150.5 million increase in proceeds from the sales and maturities of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cash provided by financing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financing activities was $0.1 million compared to $0.2 million for the same period in 2023. This decrease in cash provided was primarily due to the change in proceeds from the exercise of stock options offset by deferred offering costs paid for the Shelf Registration Statement and the ATM Offering, both of which are defined and described below.</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Outlook</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Since our inception, we have funded our operations primarily with proceeds from the issuance of equity to private investors, as well as with the proceeds received from the closing of the Business Combination on June 10, 2021. Additionally, we began to generate revenue during 2023 from commercial sales of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Our primary uses of liquidity have been operating expenses, capital expenditures and our acquisition of certain assets. Cash flows from operations have been historically negative as we continue to invest in the development of our technology in NGPS. Going forward, we anticipate debt or equity offerings will be the primary source of funds to support our operating needs and capital expenditures until we reach scale of our commercial operations. We expect to incur negative operating cash flows on an annual basis for the foreseeable future until such time that we can scale our revenue growth.</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our existing cash and cash equivalents and investments in marketable securities, together with revenue from the sale of our products and services, will be sufficient to meet our liquidity, capital expenditure, and anticipated working capital requirements and fund our operations for at least the next 12 months. We expect to use our cash and cash equivalents and investments in marketable securities and funds from revenue generated to invest in our continued commercialization efforts, to further invest in research and development, for other operating expenses, business acquisitions and for working capital and general corporate purposes.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we had cash and cash equivalents and investments in marketable securities totaling $196.3 million. Our future capital requirements may vary from those currently planned and will depend on various factors including the pace and success of product commercialization.</w:t>
      </w:r>
    </w:p>
    <w:p>
      <w:pPr>
        <w:spacing w:after="0" w:line="16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Our ongoing commercialization of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as well as our continuing research and development efforts to enhance our Platinum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instrument may require an accelerated amount of spending to enhance the sales and marketing teams, continue to drive development, and build inventory. Other factors that could accelerate cash needs include: (i) delays in achieving scientific and technical milestones, (ii) unforeseen capital expenditures and fabrication costs related to manufacturing for commercialization, (iii) changes we may make in our business or commercialization strategy, (iv) costs of running a public company, (v) other items affecting our forecasted level of expenditures and use of cash resources, including potential acquisitions, and (vi) increased product and service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August 2023, we filed a $150 million Shelf Registration Statement (the “Shelf Registration Statement”), which became effective on August 22,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2023, we also entered into an Equity Distribution Agreement (“EDA”) with an outside placement agent (the “Agent”), under which we may, from time to time, sell shares of our Class A common stock under the ATM Offering (as defined below). The Shelf Registration Statement includes a prospectus supplement covering the offering, issuance and sale of up to $75 million of our Class A common stock, from time to time, in at-the-market offerings through the Agent (the “ATM Offering”). The shares to be sold under the EDA may be issued and sold pursuant to the Shelf Registration Statement. The EDA also provides that the Agent will be entitled to compensation for its services in an amount up to 3.0% of the gross proceeds from the sales of shares sold through the Agent under the EDA. We have no obligation to sell any shares under the EDA and may at any time suspend solicitation and offers under the EDA. To date, we have not issued or sold any shares of our Class A common stock under the ATM Offering.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future, we may be unable to obtain any required additional financing on terms favorable to us, if at all. If adequate funds are not available to us on acceptable terms or otherwise, we may be unable to successfully develop or enhance products and services, respond to competitive pressure or take advantage of acquisition opportunities, any of which could have a material adverse effect on our business, financial condition, operating results and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forecast capital expenditures in order to execute on our business plan and maintain growth; however, the actual amount and timing of such capital expenditures will ultimately be determined by the volume of business. We anticipate our future capital expenditures will be at approximately the same level as compared to the year ended December 31, 2023. We have funded and plan to continue funding these capital expenditures with cash and financing.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lease certain facilities and equipment under non-cancellable lease agreements that expire at various dates through 2032. As of September 30, 2024, future lease payments, before adjustments for tenant incentives, were approximately $27.8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Licenses related to certain intellectual property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license certain intellectual property, some of which may be utilized in our current or future product offerings. To preserve the right to use such intellectual property, we are required to make annual minimum fixed payments totaling approximately $0.1 million as well as royalties based on net sales if the royalties exceed annual minimum fixed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management’s discussion and analysis of our financial condition and results of operations is based on our unaudited Condensed Consolidated Financial Statements, which have been prepared in accordance with accounting principles generally accepted in the United States of America. The preparation of these unaudited Condensed Consolidated Financial Statements requires us to make estimates and assumptions that affect the reported amounts of assets and liabilities and the disclosure of contingent assets and liabilities at the date of the unaudited Condensed Consolidated Financial Statements, as well as expenses incurred during the reporting periods. Our estimates are based on our historical experience and various other factors that we believe are reasonable under the circumstances, the results of which form the basis for making judgments about items that are not readily apparent from other sources. Actual results may differ from these estimates under different assumptions or conditions. Please refer to our critical accounting policies as disclosed in our Annual Report on Form 10-K for the year ended December 31, 2023 and </w:t>
      </w:r>
      <w:r>
        <w:rPr>
          <w:rFonts w:ascii="Times New Roman" w:cs="Times New Roman" w:eastAsia="Times New Roman" w:hAnsi="Times New Roman"/>
          <w:sz w:val="18"/>
          <w:szCs w:val="18"/>
          <w:u w:val="single" w:color="auto"/>
          <w:color w:val="0000FF"/>
        </w:rPr>
        <w:t>Note 2. Summary of Significant Accounting Policies</w:t>
      </w:r>
      <w:r>
        <w:rPr>
          <w:rFonts w:ascii="Times New Roman" w:cs="Times New Roman" w:eastAsia="Times New Roman" w:hAnsi="Times New Roman"/>
          <w:sz w:val="18"/>
          <w:szCs w:val="18"/>
          <w:color w:val="auto"/>
        </w:rPr>
        <w:t>, in the accompanying notes to the unaudited Condensed Consolidated Financial Statements for a complete description of our significant accounting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u w:val="single" w:color="auto"/>
          <w:color w:val="0000FF"/>
        </w:rPr>
        <w:t>Note 2. Summary of Significant Accounting Policies</w:t>
      </w:r>
      <w:r>
        <w:rPr>
          <w:rFonts w:ascii="Times New Roman" w:cs="Times New Roman" w:eastAsia="Times New Roman" w:hAnsi="Times New Roman"/>
          <w:sz w:val="18"/>
          <w:szCs w:val="18"/>
          <w:color w:val="auto"/>
          <w:highlight w:val="white"/>
        </w:rPr>
        <w:t>, in the accompanying notes to the unaudited Condensed Consolidated Financial</w:t>
      </w:r>
      <w:r>
        <w:rPr>
          <w:rFonts w:ascii="Times New Roman" w:cs="Times New Roman" w:eastAsia="Times New Roman" w:hAnsi="Times New Roman"/>
          <w:sz w:val="18"/>
          <w:szCs w:val="18"/>
          <w:color w:val="auto"/>
        </w:rPr>
        <w:t xml:space="preserve"> Statements included elsewhere in this Quarterly Report on Form 10-Q for a description of recently issued accounting pronouncements that may potentially impact our financial position and results of operations.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inflation can and has had an impact on the underlying cost of our supplies and manufacturing components related to our business. To the extent our costs are impacted by general inflationary pressures, we may not be able to fully offset such higher costs through price increases or manufacturing efficiencies. Our inability or failure to do so could harm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2024, our marketable securities are comprised primarily of investments in money market funds backed by U.S. government issued securities, U.S. Treasury bills, and high-quality corporate commercial paper. The primary objective of our investments is the preservation of capital to fulfill liquidity needs. We do not enter into investments for trading or speculative purposes. Based on the short-term nature of our holdings, future interest rate changes are not expected to have a material impact on our marketable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Presently, we operate our business primarily within the United States, with limited sales outside the United States. To date, we have executed the majority of our transactions in U.S. dollars. In the future, we anticipate expanding into Europe and other locations outside the United States. This expansion may include transacting business in currencies other than the U.S. Dollar. Despite this, we anticipate conducting limited activity outside the U.S. Dollar in the near term, and therefore foreign currency translation risk is not expected to have a material impact on our Consolidated Financial Statements. However, the growth of our operations, scope of transactions outside the United States, and the use of currencies other than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 Dollar may grow in the future, at which point it is possible foreign currency translation will have a material effect on our operations. To date, we have not entered into any hedging arrangements with respect to foreign currency risk. As our international operations grow, we will continue to reassess our approach to managing our risk relating to fluctuations in currency rates.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the design and operation of our disclosure controls and procedures, as defined in Rules 13a-15(e) and 15d-15(e) under the Exchange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Based on the evaluation of our disclosure controls and procedures, our Chief Executive Officer and Chief Financial Officer concluded that our disclosure controls and procedures were effective as of September 30,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From time to time, the Company is engaged in legal proceedings in the ordinary course of business. For further information on the Company’s legal proceedings, please refer to </w:t>
      </w:r>
      <w:r>
        <w:rPr>
          <w:rFonts w:ascii="Times New Roman" w:cs="Times New Roman" w:eastAsia="Times New Roman" w:hAnsi="Times New Roman"/>
          <w:sz w:val="18"/>
          <w:szCs w:val="18"/>
          <w:u w:val="single" w:color="auto"/>
          <w:color w:val="0000FF"/>
        </w:rPr>
        <w:t>Note 15. Commitments and Contingencies</w:t>
      </w:r>
      <w:r>
        <w:rPr>
          <w:rFonts w:ascii="Times New Roman" w:cs="Times New Roman" w:eastAsia="Times New Roman" w:hAnsi="Times New Roman"/>
          <w:sz w:val="18"/>
          <w:szCs w:val="18"/>
          <w:color w:val="auto"/>
        </w:rPr>
        <w:t>, in the notes to the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results of operations, financial condition and cash flows are subject to various risks and uncertainties, including the risk factors described under the caption “Risk Factors” in our Annual Report on Form 10-K for the year ended December 31, 2023, filed with the SEC on February 29, 2024, and in our Quarterly Report on Form 10-Q for the quarter ended March 31, 2024, filed with the SEC on May 9, 2024, and the risk factor described below. We may disclose changes to risk factors or additional risk factors from time to time in our future filings with the SEC.</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fail to maintain the listing of our Class A common stock on the Nasdaq Stock Market LLC (“Nasdaq”), which could seriously harm the liquidity of our shares and our ability to raise capital or complete a strategic transaction.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has established continued listing requirements, including a requirement to maintain a minimum closing bid price of at least $1.00 per share. On November 4, 2024, we received written notice from Nasdaq notifying us that, because the closing bid price for our Class A common stock has fallen below $1.00 per share for 30 consecutive business days, we no longer meet the minimum bid price requirement for continued inclusion on The Nasdaq Global Market pursuant to Nasdaq Listing Rule 5450(a)(1) (the “Bid Price Requirement”). In accordance with Nasdaq Listing Rule 5810(c)(3)(A), we have been provided an initial period of 180 calendar days, or until May 5, 2025 (the “Compliance Date”), to regain compliance with the Bid Price Requirement. To regain compliance, the closing bid price of our Class A common stock must be at least $1.00 per share for a minimum of 10 consecutive business days during this 180-calendar day period. If we do not regain compliance with the Bid Price Requirement by the Compliance Date, we may be eligible for an additional 180-calendar day compliance period. To qualify, we would need to transfer the listing of our Class A common stock to The Nasdaq Capital Market and meet the continued listing requirement for the market value of publicly held shares and all other initial listing standards, with the exception of the Bid Price Requirement. To effect such a transfer, we would also need to pay an application fee to Nasdaq and would need to provide written notice to the Staff of our intention to cure the deficiency during the additional compliance period.</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able to regain compliance with the Bid Price Requirement or maintain compliance with other Nasdaq requirements in the future. If we are not able to maintain compliance with Nasdaq requirements, our Class A common stock may be delisted from Nasdaq, which could have a material adverse effect on us and our stockholders, including by reducing the liquidity of our shares and having a material adverse effect on our ability to raise capital or complete a strategic transaction.</w:t>
      </w:r>
    </w:p>
    <w:p>
      <w:pPr>
        <w:spacing w:after="0" w:line="17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Arrangements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September 13, 2024, in connection with estate planning, entities owned by trusts created for the benefit of Dr. Rothberg’s children, who is a member of the Board, entered into a 10b5-1 sales plan (the “Sales Plan”) intended to satisfy the affirmative defense of Rule 10b5-1(c) under the Exchange Act. The Sales Plan provides for the sale of up to 6,250,000 shares of the Company’s Class A common stock beginning on January 13, 2025 and shall terminate upon the earliest of (i) January 13, 2026, (ii) the sale of 6,250,000 shares of the Company’s Class A common stock, or (iii) the occurrence of any of the other terminating events set forth in the Sales Plan.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disclosed above, during the quarter ended September 30, 2024, no other officers or directors, as defined in Rule 16a-1(f), adopted, modified or terminated a “Rule 10b5-1 trading arrangement” or a “non-Rule 10b5-1 trading arrangement,” as defined in Item 408 of Regulation S-K.</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Quarterly Report on Form 10-Q.</w:t>
      </w:r>
    </w:p>
    <w:p>
      <w:pPr>
        <w:sectPr>
          <w:pgSz w:w="11900" w:h="16838" w:orient="portrait"/>
          <w:cols w:equalWidth="0" w:num="1">
            <w:col w:w="11240"/>
          </w:cols>
          <w:pgMar w:left="320" w:top="290" w:right="339" w:bottom="1440" w:gutter="0" w:footer="0" w:header="0"/>
        </w:sectPr>
      </w:pPr>
    </w:p>
    <w:bookmarkStart w:id="38" w:name="page39"/>
    <w:bookmarkEnd w:id="38"/>
    <w:p>
      <w:pPr>
        <w:spacing w:after="0" w:line="200" w:lineRule="exact"/>
        <w:rPr>
          <w:sz w:val="20"/>
          <w:szCs w:val="20"/>
          <w:color w:val="auto"/>
        </w:rPr>
      </w:pPr>
    </w:p>
    <w:p>
      <w:pPr>
        <w:spacing w:after="0" w:line="209" w:lineRule="exact"/>
        <w:rPr>
          <w:sz w:val="20"/>
          <w:szCs w:val="20"/>
          <w:color w:val="auto"/>
        </w:rPr>
      </w:pPr>
    </w:p>
    <w:p>
      <w:pPr>
        <w:ind w:left="20"/>
        <w:spacing w:after="0" w:line="271" w:lineRule="auto"/>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10.1+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Incorporated by</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Reference Herein</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8"/>
                <w:szCs w:val="18"/>
                <w:b w:val="1"/>
                <w:bCs w:val="1"/>
                <w:color w:val="auto"/>
                <w:w w:val="94"/>
              </w:rPr>
              <w:t>from</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SEC File/</w:t>
            </w:r>
          </w:p>
        </w:tc>
      </w:tr>
      <w:tr>
        <w:trPr>
          <w:trHeight w:val="272"/>
        </w:trPr>
        <w:tc>
          <w:tcPr>
            <w:tcW w:w="35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00" w:type="dxa"/>
            <w:vAlign w:val="bottom"/>
          </w:tcPr>
          <w:p>
            <w:pPr>
              <w:spacing w:after="0"/>
              <w:rPr>
                <w:sz w:val="23"/>
                <w:szCs w:val="23"/>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Filed Herewith</w:t>
            </w:r>
          </w:p>
        </w:tc>
        <w:tc>
          <w:tcPr>
            <w:tcW w:w="80" w:type="dxa"/>
            <w:vAlign w:val="bottom"/>
          </w:tcPr>
          <w:p>
            <w:pPr>
              <w:spacing w:after="0"/>
              <w:rPr>
                <w:sz w:val="23"/>
                <w:szCs w:val="23"/>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Form or Schedule</w:t>
            </w:r>
          </w:p>
        </w:tc>
        <w:tc>
          <w:tcPr>
            <w:tcW w:w="80" w:type="dxa"/>
            <w:vAlign w:val="bottom"/>
          </w:tcPr>
          <w:p>
            <w:pPr>
              <w:spacing w:after="0"/>
              <w:rPr>
                <w:sz w:val="23"/>
                <w:szCs w:val="23"/>
                <w:color w:val="auto"/>
              </w:rPr>
            </w:pPr>
          </w:p>
        </w:tc>
        <w:tc>
          <w:tcPr>
            <w:tcW w:w="12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80" w:type="dxa"/>
            <w:vAlign w:val="bottom"/>
          </w:tcPr>
          <w:p>
            <w:pPr>
              <w:spacing w:after="0"/>
              <w:rPr>
                <w:sz w:val="23"/>
                <w:szCs w:val="23"/>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 Number</w:t>
            </w:r>
          </w:p>
        </w:tc>
      </w:tr>
      <w:tr>
        <w:trPr>
          <w:trHeight w:val="211"/>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Letter of Employment, dated as of August 12,</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1"/>
              </w:rPr>
              <w:t>X</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03"/>
        </w:trPr>
        <w:tc>
          <w:tcPr>
            <w:tcW w:w="36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2024, by and between Quantum-Si Incorporated</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4"/>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John Vieceli</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-427990</wp:posOffset>
            </wp:positionV>
            <wp:extent cx="7132320" cy="445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 w:space="560"/>
            <w:col w:w="10020"/>
          </w:cols>
          <w:pgMar w:left="320" w:top="167" w:right="339" w:bottom="1440" w:gutter="0" w:footer="0" w:header="0"/>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p>
        </w:tc>
        <w:tc>
          <w:tcPr>
            <w:tcW w:w="320" w:type="dxa"/>
            <w:vAlign w:val="bottom"/>
            <w:shd w:val="clear" w:color="auto" w:fill="CCEEFF"/>
          </w:tcPr>
          <w:p>
            <w:pPr>
              <w:spacing w:after="0"/>
              <w:rPr>
                <w:sz w:val="19"/>
                <w:szCs w:val="19"/>
                <w:color w:val="auto"/>
              </w:rPr>
            </w:pPr>
          </w:p>
        </w:tc>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 Letter of Employment, dated as of August</w:t>
            </w:r>
          </w:p>
        </w:tc>
        <w:tc>
          <w:tcPr>
            <w:tcW w:w="6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X</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CCEEFF"/>
            </w:tcBorders>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22, 2024, by and between Quantum-Si</w:t>
            </w:r>
          </w:p>
        </w:tc>
        <w:tc>
          <w:tcPr>
            <w:tcW w:w="6080" w:type="dxa"/>
            <w:vAlign w:val="bottom"/>
            <w:tcBorders>
              <w:top w:val="single" w:sz="8" w:color="CCEEFF"/>
            </w:tcBorders>
            <w:shd w:val="clear" w:color="auto" w:fill="CCEEFF"/>
          </w:tcPr>
          <w:p>
            <w:pPr>
              <w:spacing w:after="0"/>
              <w:rPr>
                <w:sz w:val="17"/>
                <w:szCs w:val="17"/>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Incorporated and Todd Bennett</w:t>
            </w:r>
          </w:p>
        </w:tc>
        <w:tc>
          <w:tcPr>
            <w:tcW w:w="608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80" w:type="dxa"/>
            <w:vAlign w:val="bottom"/>
          </w:tcPr>
          <w:p>
            <w:pPr>
              <w:spacing w:after="0"/>
              <w:rPr>
                <w:sz w:val="18"/>
                <w:szCs w:val="18"/>
                <w:color w:val="auto"/>
              </w:rPr>
            </w:pPr>
          </w:p>
        </w:tc>
      </w:tr>
      <w:tr>
        <w:trPr>
          <w:trHeight w:val="189"/>
        </w:trPr>
        <w:tc>
          <w:tcPr>
            <w:tcW w:w="580" w:type="dxa"/>
            <w:vAlign w:val="bottom"/>
            <w:gridSpan w:val="4"/>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p>
        </w:tc>
        <w:tc>
          <w:tcPr>
            <w:tcW w:w="320" w:type="dxa"/>
            <w:vAlign w:val="bottom"/>
            <w:shd w:val="clear" w:color="auto" w:fill="CCEEFF"/>
          </w:tcPr>
          <w:p>
            <w:pPr>
              <w:spacing w:after="0"/>
              <w:rPr>
                <w:sz w:val="16"/>
                <w:szCs w:val="16"/>
                <w:color w:val="auto"/>
              </w:rPr>
            </w:pPr>
          </w:p>
        </w:tc>
        <w:tc>
          <w:tcPr>
            <w:tcW w:w="426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2023 Inducement Equity Incentive Plan, as</w:t>
            </w:r>
          </w:p>
        </w:tc>
        <w:tc>
          <w:tcPr>
            <w:tcW w:w="6080" w:type="dxa"/>
            <w:vAlign w:val="bottom"/>
            <w:shd w:val="clear" w:color="auto" w:fill="CCEEFF"/>
          </w:tcPr>
          <w:p>
            <w:pPr>
              <w:ind w:left="460"/>
              <w:spacing w:after="0" w:line="169" w:lineRule="exact"/>
              <w:rPr>
                <w:sz w:val="20"/>
                <w:szCs w:val="20"/>
                <w:color w:val="auto"/>
              </w:rPr>
            </w:pPr>
            <w:r>
              <w:rPr>
                <w:rFonts w:ascii="Times New Roman" w:cs="Times New Roman" w:eastAsia="Times New Roman" w:hAnsi="Times New Roman"/>
                <w:sz w:val="18"/>
                <w:szCs w:val="18"/>
                <w:color w:val="auto"/>
              </w:rPr>
              <w:t>X</w:t>
            </w:r>
          </w:p>
        </w:tc>
      </w:tr>
      <w:tr>
        <w:trPr>
          <w:trHeight w:val="250"/>
        </w:trPr>
        <w:tc>
          <w:tcPr>
            <w:tcW w:w="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0000FF"/>
            </w:tcBorders>
            <w:shd w:val="clear" w:color="auto" w:fill="CCEEFF"/>
          </w:tcPr>
          <w:p>
            <w:pPr>
              <w:spacing w:after="0"/>
              <w:rPr>
                <w:sz w:val="21"/>
                <w:szCs w:val="21"/>
                <w:color w:val="auto"/>
              </w:rPr>
            </w:pPr>
          </w:p>
        </w:tc>
        <w:tc>
          <w:tcPr>
            <w:tcW w:w="10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amended</w:t>
            </w:r>
          </w:p>
        </w:tc>
        <w:tc>
          <w:tcPr>
            <w:tcW w:w="6080" w:type="dxa"/>
            <w:vAlign w:val="bottom"/>
            <w:tcBorders>
              <w:top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80" w:type="dxa"/>
            <w:vAlign w:val="bottom"/>
          </w:tcPr>
          <w:p>
            <w:pPr>
              <w:spacing w:after="0"/>
              <w:rPr>
                <w:sz w:val="18"/>
                <w:szCs w:val="18"/>
                <w:color w:val="auto"/>
              </w:rPr>
            </w:pPr>
          </w:p>
        </w:tc>
      </w:tr>
      <w:tr>
        <w:trPr>
          <w:trHeight w:val="189"/>
        </w:trPr>
        <w:tc>
          <w:tcPr>
            <w:tcW w:w="900" w:type="dxa"/>
            <w:vAlign w:val="bottom"/>
            <w:gridSpan w:val="5"/>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3.1+</w:t>
            </w:r>
          </w:p>
        </w:tc>
        <w:tc>
          <w:tcPr>
            <w:tcW w:w="426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Form of Restricted Stock Agreement under the</w:t>
            </w:r>
          </w:p>
        </w:tc>
        <w:tc>
          <w:tcPr>
            <w:tcW w:w="6080" w:type="dxa"/>
            <w:vAlign w:val="bottom"/>
            <w:shd w:val="clear" w:color="auto" w:fill="CCEEFF"/>
          </w:tcPr>
          <w:p>
            <w:pPr>
              <w:ind w:left="460"/>
              <w:spacing w:after="0" w:line="169" w:lineRule="exact"/>
              <w:rPr>
                <w:sz w:val="20"/>
                <w:szCs w:val="20"/>
                <w:color w:val="auto"/>
              </w:rPr>
            </w:pPr>
            <w:r>
              <w:rPr>
                <w:rFonts w:ascii="Times New Roman" w:cs="Times New Roman" w:eastAsia="Times New Roman" w:hAnsi="Times New Roman"/>
                <w:sz w:val="18"/>
                <w:szCs w:val="18"/>
                <w:color w:val="auto"/>
              </w:rPr>
              <w:t>X</w:t>
            </w:r>
          </w:p>
        </w:tc>
      </w:tr>
      <w:tr>
        <w:trPr>
          <w:trHeight w:val="250"/>
        </w:trPr>
        <w:tc>
          <w:tcPr>
            <w:tcW w:w="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0000FF"/>
            </w:tcBorders>
            <w:shd w:val="clear" w:color="auto" w:fill="CCEEFF"/>
          </w:tcPr>
          <w:p>
            <w:pPr>
              <w:spacing w:after="0"/>
              <w:rPr>
                <w:sz w:val="21"/>
                <w:szCs w:val="21"/>
                <w:color w:val="auto"/>
              </w:rPr>
            </w:pPr>
          </w:p>
        </w:tc>
        <w:tc>
          <w:tcPr>
            <w:tcW w:w="100" w:type="dxa"/>
            <w:vAlign w:val="bottom"/>
            <w:tcBorders>
              <w:top w:val="single" w:sz="8" w:color="0000FF"/>
            </w:tcBorders>
            <w:shd w:val="clear" w:color="auto" w:fill="CCEEFF"/>
          </w:tcPr>
          <w:p>
            <w:pPr>
              <w:spacing w:after="0"/>
              <w:rPr>
                <w:sz w:val="21"/>
                <w:szCs w:val="21"/>
                <w:color w:val="auto"/>
              </w:rPr>
            </w:pPr>
          </w:p>
        </w:tc>
        <w:tc>
          <w:tcPr>
            <w:tcW w:w="140" w:type="dxa"/>
            <w:vAlign w:val="bottom"/>
            <w:tcBorders>
              <w:top w:val="single" w:sz="8" w:color="0000FF"/>
            </w:tcBorders>
            <w:shd w:val="clear" w:color="auto" w:fill="CCEEFF"/>
          </w:tcPr>
          <w:p>
            <w:pPr>
              <w:spacing w:after="0"/>
              <w:rPr>
                <w:sz w:val="21"/>
                <w:szCs w:val="21"/>
                <w:color w:val="auto"/>
              </w:rPr>
            </w:pPr>
          </w:p>
        </w:tc>
        <w:tc>
          <w:tcPr>
            <w:tcW w:w="320" w:type="dxa"/>
            <w:vAlign w:val="bottom"/>
            <w:tcBorders>
              <w:top w:val="single" w:sz="8" w:color="CCEEFF"/>
            </w:tcBorders>
            <w:shd w:val="clear" w:color="auto" w:fill="CCEEFF"/>
          </w:tcPr>
          <w:p>
            <w:pPr>
              <w:spacing w:after="0"/>
              <w:rPr>
                <w:sz w:val="21"/>
                <w:szCs w:val="21"/>
                <w:color w:val="auto"/>
              </w:rPr>
            </w:pPr>
          </w:p>
        </w:tc>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 Inducement Equity Incentive Plan</w:t>
            </w:r>
          </w:p>
        </w:tc>
        <w:tc>
          <w:tcPr>
            <w:tcW w:w="6080" w:type="dxa"/>
            <w:vAlign w:val="bottom"/>
            <w:tcBorders>
              <w:top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80" w:type="dxa"/>
            <w:vAlign w:val="bottom"/>
          </w:tcPr>
          <w:p>
            <w:pPr>
              <w:spacing w:after="0"/>
              <w:rPr>
                <w:sz w:val="18"/>
                <w:szCs w:val="18"/>
                <w:color w:val="auto"/>
              </w:rPr>
            </w:pPr>
          </w:p>
        </w:tc>
      </w:tr>
      <w:tr>
        <w:trPr>
          <w:trHeight w:val="189"/>
        </w:trPr>
        <w:tc>
          <w:tcPr>
            <w:tcW w:w="44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6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Certification of the Principal Executive Officer</w:t>
            </w:r>
          </w:p>
        </w:tc>
        <w:tc>
          <w:tcPr>
            <w:tcW w:w="6080" w:type="dxa"/>
            <w:vAlign w:val="bottom"/>
            <w:shd w:val="clear" w:color="auto" w:fill="CCEEFF"/>
          </w:tcPr>
          <w:p>
            <w:pPr>
              <w:ind w:left="460"/>
              <w:spacing w:after="0" w:line="169" w:lineRule="exact"/>
              <w:rPr>
                <w:sz w:val="20"/>
                <w:szCs w:val="20"/>
                <w:color w:val="auto"/>
              </w:rPr>
            </w:pPr>
            <w:r>
              <w:rPr>
                <w:rFonts w:ascii="Times New Roman" w:cs="Times New Roman" w:eastAsia="Times New Roman" w:hAnsi="Times New Roman"/>
                <w:sz w:val="18"/>
                <w:szCs w:val="18"/>
                <w:color w:val="auto"/>
              </w:rPr>
              <w:t>X</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CCEEFF"/>
            </w:tcBorders>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pursuant to Section 302 of the Sarbanes-Oxley</w:t>
            </w:r>
          </w:p>
        </w:tc>
        <w:tc>
          <w:tcPr>
            <w:tcW w:w="6080" w:type="dxa"/>
            <w:vAlign w:val="bottom"/>
            <w:tcBorders>
              <w:top w:val="single" w:sz="8" w:color="CCEEFF"/>
            </w:tcBorders>
            <w:shd w:val="clear" w:color="auto" w:fill="CCEEFF"/>
          </w:tcPr>
          <w:p>
            <w:pPr>
              <w:spacing w:after="0"/>
              <w:rPr>
                <w:sz w:val="17"/>
                <w:szCs w:val="17"/>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 of 2002</w:t>
            </w:r>
          </w:p>
        </w:tc>
        <w:tc>
          <w:tcPr>
            <w:tcW w:w="6080" w:type="dxa"/>
            <w:vAlign w:val="bottom"/>
            <w:tcBorders>
              <w:bottom w:val="single" w:sz="8" w:color="CCEEFF"/>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6080" w:type="dxa"/>
            <w:vAlign w:val="bottom"/>
          </w:tcPr>
          <w:p>
            <w:pPr>
              <w:spacing w:after="0"/>
              <w:rPr>
                <w:sz w:val="18"/>
                <w:szCs w:val="18"/>
                <w:color w:val="auto"/>
              </w:rPr>
            </w:pPr>
          </w:p>
        </w:tc>
      </w:tr>
      <w:tr>
        <w:trPr>
          <w:trHeight w:val="189"/>
        </w:trPr>
        <w:tc>
          <w:tcPr>
            <w:tcW w:w="440" w:type="dxa"/>
            <w:vAlign w:val="bottom"/>
            <w:gridSpan w:val="3"/>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60" w:type="dxa"/>
            <w:vAlign w:val="bottom"/>
            <w:shd w:val="clear" w:color="auto" w:fill="CCEEFF"/>
          </w:tcPr>
          <w:p>
            <w:pPr>
              <w:ind w:left="340"/>
              <w:spacing w:after="0" w:line="169" w:lineRule="exact"/>
              <w:rPr>
                <w:sz w:val="20"/>
                <w:szCs w:val="20"/>
                <w:color w:val="auto"/>
              </w:rPr>
            </w:pPr>
            <w:r>
              <w:rPr>
                <w:rFonts w:ascii="Times New Roman" w:cs="Times New Roman" w:eastAsia="Times New Roman" w:hAnsi="Times New Roman"/>
                <w:sz w:val="18"/>
                <w:szCs w:val="18"/>
                <w:color w:val="auto"/>
              </w:rPr>
              <w:t>Certification of the Principal Financial Officer</w:t>
            </w:r>
          </w:p>
        </w:tc>
        <w:tc>
          <w:tcPr>
            <w:tcW w:w="6080" w:type="dxa"/>
            <w:vAlign w:val="bottom"/>
            <w:shd w:val="clear" w:color="auto" w:fill="CCEEFF"/>
          </w:tcPr>
          <w:p>
            <w:pPr>
              <w:ind w:left="460"/>
              <w:spacing w:after="0" w:line="169" w:lineRule="exact"/>
              <w:rPr>
                <w:sz w:val="20"/>
                <w:szCs w:val="20"/>
                <w:color w:val="auto"/>
              </w:rPr>
            </w:pPr>
            <w:r>
              <w:rPr>
                <w:rFonts w:ascii="Times New Roman" w:cs="Times New Roman" w:eastAsia="Times New Roman" w:hAnsi="Times New Roman"/>
                <w:sz w:val="18"/>
                <w:szCs w:val="18"/>
                <w:color w:val="auto"/>
              </w:rPr>
              <w:t>X</w:t>
            </w:r>
          </w:p>
        </w:tc>
      </w:tr>
      <w:tr>
        <w:trPr>
          <w:trHeight w:val="205"/>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260" w:type="dxa"/>
            <w:vAlign w:val="bottom"/>
            <w:tcBorders>
              <w:top w:val="single" w:sz="8" w:color="CCEEFF"/>
            </w:tcBorders>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pursuant to Section 302 of the Sarbanes-Oxley</w:t>
            </w:r>
          </w:p>
        </w:tc>
        <w:tc>
          <w:tcPr>
            <w:tcW w:w="6080" w:type="dxa"/>
            <w:vAlign w:val="bottom"/>
            <w:tcBorders>
              <w:top w:val="single" w:sz="8" w:color="CCEEFF"/>
            </w:tcBorders>
            <w:shd w:val="clear" w:color="auto" w:fill="CCEEFF"/>
          </w:tcPr>
          <w:p>
            <w:pPr>
              <w:spacing w:after="0"/>
              <w:rPr>
                <w:sz w:val="17"/>
                <w:szCs w:val="17"/>
                <w:color w:val="auto"/>
              </w:rPr>
            </w:pPr>
          </w:p>
        </w:tc>
      </w:tr>
      <w:tr>
        <w:trPr>
          <w:trHeight w:val="234"/>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 of 2002</w:t>
            </w:r>
          </w:p>
        </w:tc>
        <w:tc>
          <w:tcPr>
            <w:tcW w:w="6080" w:type="dxa"/>
            <w:vAlign w:val="bottom"/>
            <w:shd w:val="clear" w:color="auto" w:fill="CCEEFF"/>
          </w:tcPr>
          <w:p>
            <w:pPr>
              <w:spacing w:after="0"/>
              <w:rPr>
                <w:sz w:val="20"/>
                <w:szCs w:val="20"/>
                <w:color w:val="auto"/>
              </w:rPr>
            </w:pPr>
          </w:p>
        </w:tc>
      </w:tr>
      <w:tr>
        <w:trPr>
          <w:trHeight w:val="27"/>
        </w:trPr>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6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67" w:right="339" w:bottom="1440" w:gutter="0" w:footer="0" w:header="0"/>
          <w:type w:val="continuous"/>
        </w:sectPr>
      </w:pP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32.2*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8"/>
          <w:szCs w:val="18"/>
          <w:color w:val="auto"/>
        </w:rPr>
        <w:t>Certification of the Principal Executive Officer</w:t>
      </w:r>
      <w:r>
        <w:rPr>
          <w:sz w:val="20"/>
          <w:szCs w:val="20"/>
          <w:color w:val="auto"/>
        </w:rPr>
        <w:tab/>
      </w:r>
      <w:r>
        <w:rPr>
          <w:rFonts w:ascii="Times New Roman" w:cs="Times New Roman" w:eastAsia="Times New Roman" w:hAnsi="Times New Roman"/>
          <w:sz w:val="16"/>
          <w:szCs w:val="16"/>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-136525</wp:posOffset>
            </wp:positionV>
            <wp:extent cx="7132320" cy="428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w:t>
      </w:r>
    </w:p>
    <w:p>
      <w:pPr>
        <w:spacing w:after="0"/>
        <w:rPr>
          <w:sz w:val="20"/>
          <w:szCs w:val="20"/>
          <w:color w:val="auto"/>
        </w:rPr>
      </w:pPr>
      <w:r>
        <w:rPr>
          <w:rFonts w:ascii="Times New Roman" w:cs="Times New Roman" w:eastAsia="Times New Roman" w:hAnsi="Times New Roman"/>
          <w:sz w:val="18"/>
          <w:szCs w:val="18"/>
          <w:color w:val="auto"/>
        </w:rPr>
        <w:t>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-781685</wp:posOffset>
            </wp:positionH>
            <wp:positionV relativeFrom="paragraph">
              <wp:posOffset>158750</wp:posOffset>
            </wp:positionV>
            <wp:extent cx="7132320" cy="4286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pacing w:after="0" w:line="239"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18"/>
          <w:szCs w:val="18"/>
          <w:color w:val="auto"/>
        </w:rPr>
        <w:t>Certification of the Principal Financial Officer</w:t>
      </w:r>
      <w:r>
        <w:rPr>
          <w:sz w:val="20"/>
          <w:szCs w:val="20"/>
          <w:color w:val="auto"/>
        </w:rPr>
        <w:tab/>
      </w:r>
      <w:r>
        <w:rPr>
          <w:rFonts w:ascii="Times New Roman" w:cs="Times New Roman" w:eastAsia="Times New Roman" w:hAnsi="Times New Roman"/>
          <w:sz w:val="16"/>
          <w:szCs w:val="16"/>
          <w:color w:val="auto"/>
        </w:rPr>
        <w:t>X</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Section 906 of the Sarbanes-Oxley</w:t>
      </w:r>
    </w:p>
    <w:p>
      <w:pPr>
        <w:spacing w:after="0"/>
        <w:rPr>
          <w:sz w:val="20"/>
          <w:szCs w:val="20"/>
          <w:color w:val="auto"/>
        </w:rPr>
      </w:pPr>
      <w:r>
        <w:rPr>
          <w:rFonts w:ascii="Times New Roman" w:cs="Times New Roman" w:eastAsia="Times New Roman" w:hAnsi="Times New Roman"/>
          <w:sz w:val="18"/>
          <w:szCs w:val="18"/>
          <w:color w:val="auto"/>
        </w:rPr>
        <w:t>Act of 2002</w:t>
      </w:r>
    </w:p>
    <w:p>
      <w:pPr>
        <w:spacing w:after="0" w:line="200" w:lineRule="exact"/>
        <w:rPr>
          <w:sz w:val="20"/>
          <w:szCs w:val="20"/>
          <w:color w:val="auto"/>
        </w:rPr>
      </w:pPr>
    </w:p>
    <w:p>
      <w:pPr>
        <w:sectPr>
          <w:pgSz w:w="11900" w:h="16838" w:orient="portrait"/>
          <w:cols w:equalWidth="0" w:num="2">
            <w:col w:w="520" w:space="720"/>
            <w:col w:w="10000"/>
          </w:cols>
          <w:pgMar w:left="320" w:top="167" w:right="339" w:bottom="1440" w:gutter="0" w:footer="0" w:header="0"/>
          <w:type w:val="continuous"/>
        </w:sectPr>
      </w:pP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Instance Document (the instance</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03"/>
        </w:trPr>
        <w:tc>
          <w:tcPr>
            <w:tcW w:w="980" w:type="dxa"/>
            <w:vAlign w:val="bottom"/>
            <w:shd w:val="clear" w:color="auto" w:fill="CCEEFF"/>
          </w:tcPr>
          <w:p>
            <w:pPr>
              <w:spacing w:after="0"/>
              <w:rPr>
                <w:sz w:val="17"/>
                <w:szCs w:val="17"/>
                <w:color w:val="auto"/>
              </w:rPr>
            </w:pPr>
          </w:p>
        </w:tc>
        <w:tc>
          <w:tcPr>
            <w:tcW w:w="4220" w:type="dxa"/>
            <w:vAlign w:val="bottom"/>
            <w:shd w:val="clear" w:color="auto" w:fill="CCEEFF"/>
          </w:tcPr>
          <w:p>
            <w:pPr>
              <w:ind w:left="260"/>
              <w:spacing w:after="0" w:line="202" w:lineRule="exact"/>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6040" w:type="dxa"/>
            <w:vAlign w:val="bottom"/>
            <w:shd w:val="clear" w:color="auto" w:fill="CCEEFF"/>
          </w:tcPr>
          <w:p>
            <w:pPr>
              <w:spacing w:after="0"/>
              <w:rPr>
                <w:sz w:val="17"/>
                <w:szCs w:val="17"/>
                <w:color w:val="auto"/>
              </w:rPr>
            </w:pPr>
          </w:p>
        </w:tc>
      </w:tr>
      <w:tr>
        <w:trPr>
          <w:trHeight w:val="216"/>
        </w:trPr>
        <w:tc>
          <w:tcPr>
            <w:tcW w:w="980" w:type="dxa"/>
            <w:vAlign w:val="bottom"/>
            <w:shd w:val="clear" w:color="auto" w:fill="CCEEFF"/>
          </w:tcPr>
          <w:p>
            <w:pPr>
              <w:spacing w:after="0"/>
              <w:rPr>
                <w:sz w:val="18"/>
                <w:szCs w:val="18"/>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File because its XBRL tags are embedded within</w:t>
            </w:r>
          </w:p>
        </w:tc>
        <w:tc>
          <w:tcPr>
            <w:tcW w:w="6040" w:type="dxa"/>
            <w:vAlign w:val="bottom"/>
            <w:shd w:val="clear" w:color="auto" w:fill="CCEEFF"/>
          </w:tcPr>
          <w:p>
            <w:pPr>
              <w:spacing w:after="0"/>
              <w:rPr>
                <w:sz w:val="18"/>
                <w:szCs w:val="18"/>
                <w:color w:val="auto"/>
              </w:rPr>
            </w:pP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the Inline XBRL 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Linkbase 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Linkbase 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Linkbase 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Linkbase Document</w:t>
            </w:r>
          </w:p>
        </w:tc>
        <w:tc>
          <w:tcPr>
            <w:tcW w:w="6040" w:type="dxa"/>
            <w:vAlign w:val="bottom"/>
            <w:shd w:val="clear" w:color="auto" w:fill="CCEEFF"/>
          </w:tcPr>
          <w:p>
            <w:pPr>
              <w:spacing w:after="0"/>
              <w:rPr>
                <w:sz w:val="21"/>
                <w:szCs w:val="21"/>
                <w:color w:val="auto"/>
              </w:rPr>
            </w:pPr>
          </w:p>
        </w:tc>
      </w:tr>
      <w:tr>
        <w:trPr>
          <w:trHeight w:val="216"/>
        </w:trPr>
        <w:tc>
          <w:tcPr>
            <w:tcW w:w="9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w:t>
            </w:r>
          </w:p>
        </w:tc>
        <w:tc>
          <w:tcPr>
            <w:tcW w:w="60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r>
      <w:tr>
        <w:trPr>
          <w:trHeight w:val="248"/>
        </w:trPr>
        <w:tc>
          <w:tcPr>
            <w:tcW w:w="980" w:type="dxa"/>
            <w:vAlign w:val="bottom"/>
            <w:shd w:val="clear" w:color="auto" w:fill="CCEEFF"/>
          </w:tcPr>
          <w:p>
            <w:pPr>
              <w:spacing w:after="0"/>
              <w:rPr>
                <w:sz w:val="21"/>
                <w:szCs w:val="21"/>
                <w:color w:val="auto"/>
              </w:rPr>
            </w:pPr>
          </w:p>
        </w:tc>
        <w:tc>
          <w:tcPr>
            <w:tcW w:w="42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040" w:type="dxa"/>
            <w:vAlign w:val="bottom"/>
            <w:shd w:val="clear" w:color="auto" w:fill="CCEEFF"/>
          </w:tcPr>
          <w:p>
            <w:pPr>
              <w:spacing w:after="0"/>
              <w:rPr>
                <w:sz w:val="21"/>
                <w:szCs w:val="2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jc w:val="both"/>
        <w:ind w:left="340" w:hanging="332"/>
        <w:spacing w:after="0" w:line="261" w:lineRule="auto"/>
        <w:tabs>
          <w:tab w:leader="none" w:pos="3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not deemed filed with the Securities and Exchange Commission and are not to be incorporated by reference into any filing of Quantum-Si Incorporated under the Securities Act of 1933, as amended, or the Securities Exchange Act of 1934, as amended (whether made before or after the date of such Form 10-Q), irrespective of any general incorporation language contained in such filing.</w:t>
      </w:r>
    </w:p>
    <w:p>
      <w:pPr>
        <w:sectPr>
          <w:pgSz w:w="11900" w:h="16838" w:orient="portrait"/>
          <w:cols w:equalWidth="0" w:num="1">
            <w:col w:w="11240"/>
          </w:cols>
          <w:pgMar w:left="320" w:top="167" w:right="339" w:bottom="1440" w:gutter="0" w:footer="0" w:header="0"/>
          <w:type w:val="continuous"/>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60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QUANTUM-SI INCORPORATED</w:t>
            </w:r>
          </w:p>
        </w:tc>
      </w:tr>
      <w:tr>
        <w:trPr>
          <w:trHeight w:val="682"/>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Jeffrey Hawkins</w:t>
            </w:r>
          </w:p>
        </w:tc>
      </w:tr>
      <w:tr>
        <w:trPr>
          <w:trHeight w:val="243"/>
        </w:trPr>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Hawkins</w:t>
            </w:r>
          </w:p>
        </w:tc>
      </w:tr>
      <w:tr>
        <w:trPr>
          <w:trHeight w:val="256"/>
        </w:trPr>
        <w:tc>
          <w:tcPr>
            <w:tcW w:w="37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80"/>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3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Jeffry Keyes</w:t>
            </w:r>
          </w:p>
        </w:tc>
      </w:tr>
      <w:tr>
        <w:trPr>
          <w:trHeight w:val="243"/>
        </w:trPr>
        <w:tc>
          <w:tcPr>
            <w:tcW w:w="370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Jeffry Keyes</w:t>
            </w:r>
          </w:p>
        </w:tc>
      </w:tr>
      <w:tr>
        <w:trPr>
          <w:trHeight w:val="257"/>
        </w:trPr>
        <w:tc>
          <w:tcPr>
            <w:tcW w:w="370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904"/>
        </w:trPr>
        <w:tc>
          <w:tcPr>
            <w:tcW w:w="3700" w:type="dxa"/>
            <w:vAlign w:val="bottom"/>
          </w:tcPr>
          <w:p>
            <w:pPr>
              <w:spacing w:after="0"/>
              <w:rPr>
                <w:sz w:val="24"/>
                <w:szCs w:val="24"/>
                <w:color w:val="auto"/>
              </w:rPr>
            </w:pPr>
          </w:p>
        </w:tc>
        <w:tc>
          <w:tcPr>
            <w:tcW w:w="23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c>
          <w:tcPr>
            <w:tcW w:w="3760" w:type="dxa"/>
            <w:vAlign w:val="bottom"/>
          </w:tcPr>
          <w:p>
            <w:pPr>
              <w:spacing w:after="0"/>
              <w:rPr>
                <w:sz w:val="24"/>
                <w:szCs w:val="24"/>
                <w:color w:val="auto"/>
              </w:rPr>
            </w:pPr>
          </w:p>
        </w:tc>
      </w:tr>
    </w:tbl>
    <w:p>
      <w:pPr>
        <w:sectPr>
          <w:pgSz w:w="11900" w:h="16838" w:orient="portrait"/>
          <w:cols w:equalWidth="0" w:num="1">
            <w:col w:w="11240"/>
          </w:cols>
          <w:pgMar w:left="320" w:top="29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5349240" cy="420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492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12,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VIECELI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John: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Congratulations. This letter confirms the terms of your employment in connection with your promotion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Product Officer. We are pleased to inform you that your new annual base salary will be $395,000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paid twice per month, less required deductions. This is effective August 12, 2024. In addition,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bonus target will be 50% prorated for the remainder of the year. It will be a condition of your eligibility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receive any bonus that you remain employed with Quantum-Si through the scheduled date of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such bonus.</w:t>
      </w:r>
    </w:p>
    <w:p>
      <w:pPr>
        <w:spacing w:after="0" w:line="234" w:lineRule="exact"/>
        <w:rPr>
          <w:sz w:val="20"/>
          <w:szCs w:val="20"/>
          <w:color w:val="auto"/>
        </w:rPr>
      </w:pPr>
    </w:p>
    <w:p>
      <w:pPr>
        <w:ind w:right="4180"/>
        <w:spacing w:after="0" w:line="282" w:lineRule="auto"/>
        <w:rPr>
          <w:sz w:val="20"/>
          <w:szCs w:val="20"/>
          <w:color w:val="auto"/>
        </w:rPr>
      </w:pPr>
      <w:r>
        <w:rPr>
          <w:rFonts w:ascii="Times New Roman" w:cs="Times New Roman" w:eastAsia="Times New Roman" w:hAnsi="Times New Roman"/>
          <w:sz w:val="18"/>
          <w:szCs w:val="18"/>
          <w:color w:val="auto"/>
        </w:rPr>
        <w:t>As part of this change, you will now be eligible in the Company’s Executive Severance Plan as an Executive Officer for purposes of the Normal Multiplier and CIC Multiplier.</w:t>
      </w:r>
    </w:p>
    <w:p>
      <w:pPr>
        <w:spacing w:after="0" w:line="189" w:lineRule="exact"/>
        <w:rPr>
          <w:sz w:val="20"/>
          <w:szCs w:val="20"/>
          <w:color w:val="auto"/>
        </w:rPr>
      </w:pPr>
    </w:p>
    <w:p>
      <w:pPr>
        <w:ind w:right="3420"/>
        <w:spacing w:after="0" w:line="256" w:lineRule="auto"/>
        <w:rPr>
          <w:sz w:val="20"/>
          <w:szCs w:val="20"/>
          <w:color w:val="auto"/>
        </w:rPr>
      </w:pPr>
      <w:r>
        <w:rPr>
          <w:rFonts w:ascii="Times New Roman" w:cs="Times New Roman" w:eastAsia="Times New Roman" w:hAnsi="Times New Roman"/>
          <w:sz w:val="18"/>
          <w:szCs w:val="18"/>
          <w:color w:val="auto"/>
        </w:rPr>
        <w:t>You will continue to be based out of Quantum-Si's facility in San Diego, CA. You will continue to be eligible for and subject to our Flexible Paid Time Off (FPTO) policy and will be eligible to participate in our medical and other benefit plans in accordance with the rules and eligibility of those plans. Also, as a condition of your employment, you have signed Quantum-Si's Non-solicit, Confidentiality and Intellectual Property Agreement. While we expect you to remain with Quantum-Si for a long time, this letter is not an employment contract, and you will continue to be an at-will employee.</w:t>
      </w:r>
    </w:p>
    <w:p>
      <w:pPr>
        <w:spacing w:after="0" w:line="214" w:lineRule="exact"/>
        <w:rPr>
          <w:sz w:val="20"/>
          <w:szCs w:val="20"/>
          <w:color w:val="auto"/>
        </w:rPr>
      </w:pPr>
    </w:p>
    <w:p>
      <w:pPr>
        <w:ind w:right="3740"/>
        <w:spacing w:after="0" w:line="258" w:lineRule="auto"/>
        <w:rPr>
          <w:sz w:val="20"/>
          <w:szCs w:val="20"/>
          <w:color w:val="auto"/>
        </w:rPr>
      </w:pPr>
      <w:r>
        <w:rPr>
          <w:rFonts w:ascii="Times New Roman" w:cs="Times New Roman" w:eastAsia="Times New Roman" w:hAnsi="Times New Roman"/>
          <w:sz w:val="18"/>
          <w:szCs w:val="18"/>
          <w:color w:val="auto"/>
        </w:rPr>
        <w:t>In connection with your starting employment with us on December 12, 2022 you received a one-time taxable payment of $100,000 in your first payroll check, as a sign-on bonus. On June 30, 2023, you received an additional one-time taxable payment of $100,000 upon completion of stated goals for a path to VP, Software. Such payments will be recoverable in full by the company in the event you voluntarily terminate your employment prior to 24 months from your start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agreement supersedes the terms of your prior offer letter with the company dated October 26, 2022.</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Christian LaPointe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LaPointe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Counsel</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/s/ </w:t>
      </w:r>
      <w:r>
        <w:rPr>
          <w:rFonts w:ascii="Times New Roman" w:cs="Times New Roman" w:eastAsia="Times New Roman" w:hAnsi="Times New Roman"/>
          <w:sz w:val="18"/>
          <w:szCs w:val="18"/>
          <w:i w:val="1"/>
          <w:iCs w:val="1"/>
          <w:color w:val="auto"/>
        </w:rPr>
        <w:t>John S. Vieceli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John Vieceli</w:t>
      </w:r>
    </w:p>
    <w:p>
      <w:pPr>
        <w:sectPr>
          <w:pgSz w:w="11900" w:h="16838" w:orient="portrait"/>
          <w:cols w:equalWidth="0" w:num="1">
            <w:col w:w="11240"/>
          </w:cols>
          <w:pgMar w:left="320" w:top="35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539750</wp:posOffset>
            </wp:positionV>
            <wp:extent cx="5349240" cy="16630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34924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22,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BENNETT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Todd:</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Quantum-Si, I am pleased to offer you a position as Chief Commercial Officer beginning September 17, 2024. You will report to Jeff Hawkins. Your annualized compensation in this position will consist of an annual base salary of $425,000 paid in twice monthly pay periods, less required deductions.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calendar year 2024, you will be eligible for a prorated discretionary bonus with a target of 50% of base salary based on goals, objectives, and performance metrics to be determined by Quantum-Si’s management. Such bonus will be paid in March, 2025. It will be a condition of your eligibility to receive any bonus that you remain employed with Quantum-Si through the scheduled date of payment of such bonus.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You will receive $500,000 of stock options and $500,000 restricted stock units (RSUs) (calculated based on the grant date fair value of the awards on the grant date) in Quantum-Si as an inducement to joining the company (the “Equity Awards”) that (i) will be subject to the approval of Quantum-Si’s Board of Directors,(ii) will be subject to the terms of the grant documents therefore, (iii) subject to continued service and the specific terms of your grant, will vest over a four year period with the following schedule: 25% on a scheduled date following the one year anniversary of your start date with the remainder vesting quarterly thereafter. The Equity Awards are intended as an inducement grant under Nasdaq Rule 5635(c)(4).</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will receive a one-time taxable payment of $100,000 in your first payroll check, as a sign-on bonus.Such payment will be recoverable in full by the company in the event you voluntarily terminate your employment (or are terminated for cause) prior to 12 months from your start date (whether such voluntary termination occurs on, before, or after your start date).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will be eligible for participation in the Quantum-Si Incorporated Executive Severance Plan, and you will become a participant in such Executive Severance Plan commencing on your start date.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will be based out of your home office in Scottsdale, AZ with travel as required. Quantum-Si recognizes the need for employees to take time away from the office to creatively recharge.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believe in taking personal responsibility for managing our own time, workload and results. For these reasons our Flexible Paid Time Off (FPTO) policy affords eligible employees the flexibility to be given an indeterminate amount of paid time off from work for vacation, personal or family obligations and other personal requirements, subject to the requirements of the policy, including advance notice</w:t>
      </w:r>
    </w:p>
    <w:p>
      <w:pPr>
        <w:sectPr>
          <w:pgSz w:w="11900" w:h="16838" w:orient="portrait"/>
          <w:cols w:equalWidth="0" w:num="1">
            <w:col w:w="10260"/>
          </w:cols>
          <w:pgMar w:left="1300" w:top="356" w:right="339" w:bottom="1440" w:gutter="0" w:footer="0" w:header="0"/>
        </w:sectPr>
      </w:pPr>
    </w:p>
    <w:bookmarkStart w:id="42" w:name="page43"/>
    <w:bookmarkEnd w:id="42"/>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and prior approval in Quantum-Si’s discretion. In no event will any employee be compensated for unused vacation time. You will also be eligible to participate in medical and other benefit plans in accordance with the rules and eligibility of those plans currently in effect. Health insurance shall commence on your start date.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while we expect you to remain with Quantum-Si for a long time, this letter is not an employment contract, and you will be an at-will employee. This letter is subject to successful completion of a background check and reference check. By signing this letter, you authorize Quantum-Si to conduct such background check.</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Quantum-Si considers the protection of its confidential information, proprietary materials and goodwill to be extremely important. As a condition of this offer of employment, you are required to sign Quantum-Si’s Non-competition/Non-solicit, Confidentiality and Intellectual Property Agreement.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appreciate your exceptional talent and are very excited about you joining our growing and dynamic team at Quantum-Si. We firmly believe that Quantum-Si offers a unique combination of emotional, intellectual, and interpersonal stimulation that will be truly enjoyable. As a member of our growing team you will be in the rare position of helping to shape the culture and direction of our organization. We have tremendous opportunities ahead of us, and I am confident you have the expertise required to help us achieve our objectives. If you have any questions regarding this offer, the position, or the company’s benefits programs, please do not hesitate to reach out.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note that this offer will expire on August 25, 2024, unless accepted by you in writing prior to such 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Quantum-Si, Incorporated</w:t>
      </w:r>
    </w:p>
    <w:p>
      <w:pPr>
        <w:spacing w:after="0" w:line="2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Jeff Hawkins</w:t>
      </w:r>
    </w:p>
    <w:p>
      <w:pPr>
        <w:spacing w:after="0" w:line="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Jeff Hawkins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Title: President and CEO</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/s/ </w:t>
      </w:r>
      <w:r>
        <w:rPr>
          <w:rFonts w:ascii="Times New Roman" w:cs="Times New Roman" w:eastAsia="Times New Roman" w:hAnsi="Times New Roman"/>
          <w:sz w:val="18"/>
          <w:szCs w:val="18"/>
          <w:i w:val="1"/>
          <w:iCs w:val="1"/>
          <w:color w:val="auto"/>
        </w:rPr>
        <w:t>Todd Bennett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Todd Bennett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[Redacted]</w:t>
      </w:r>
    </w:p>
    <w:p>
      <w:pPr>
        <w:sectPr>
          <w:pgSz w:w="11900" w:h="16838" w:orient="portrait"/>
          <w:cols w:equalWidth="0" w:num="1">
            <w:col w:w="10260"/>
          </w:cols>
          <w:pgMar w:left="1300" w:top="14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QUANTUM-SI INCORPORATED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2023 INDUCEMENT EQUITY INCENTIVE PLAN</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(As Amended on August 23, 2024)</w:t>
      </w:r>
    </w:p>
    <w:p>
      <w:pPr>
        <w:spacing w:after="0" w:line="23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Unless otherwise specified or unless the context otherwise requires, the following terms, as used in this Quantum-Si Incorporated 2023 Inducement Equity Incentive Plan, have the following meanings:</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xml:space="preserve"> means the Board of Directors, unless it has delegated power to act on its behalf to the Committee, in which case the term “Administrator” means the Committee.</w:t>
      </w:r>
    </w:p>
    <w:p>
      <w:pPr>
        <w:spacing w:after="0" w:line="171"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xml:space="preserve"> means a corporation or other entity, which, for purposes of Section 424 of the Code, is a parent or subsidiary of the Company, direct or indirect.</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means a written or electronic document setting forth the terms of a Stock Right delivered pursuant to the Plan, in such form as the Administrator shall approve.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xml:space="preserve"> means the Board of Directors of the Company.</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xml:space="preserve"> means, with respect to a Participant (a) dishonesty with respect to the Company or any Affiliate, (b) insubordination, substantial malfeasance or non-feasance of duty, (c) unauthorized disclosure of confidential information, (d) breach by a Participant of any provision of any employment, consulting, advisory, nondisclosure, non-competition or similar agreement between the Participant and the Company or any Affiliate or any material written policy of the Company or any Affiliate, and (e) conduct substantially prejudicial to the business of the Company or any Affiliate; provided, however, that any provision in an agreement between a Participant and the Company or an Affiliate, which contains a conflicting definition of Cause for termination and which is in effect at the time of such termination, shall supersede this definition with respect to that Participant. The determination of the Administrator as to the existence of Cause will be conclusive on the Participant and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Class A Common Stock</w:t>
      </w:r>
      <w:r>
        <w:rPr>
          <w:rFonts w:ascii="Times New Roman" w:cs="Times New Roman" w:eastAsia="Times New Roman" w:hAnsi="Times New Roman"/>
          <w:sz w:val="22"/>
          <w:szCs w:val="22"/>
          <w:color w:val="auto"/>
        </w:rPr>
        <w:t xml:space="preserve"> means shares of the Company’s Class A common stock, $0.0001 par value per share.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Class B Common Stock</w:t>
      </w:r>
      <w:r>
        <w:rPr>
          <w:rFonts w:ascii="Times New Roman" w:cs="Times New Roman" w:eastAsia="Times New Roman" w:hAnsi="Times New Roman"/>
          <w:sz w:val="22"/>
          <w:szCs w:val="22"/>
          <w:color w:val="auto"/>
        </w:rPr>
        <w:t xml:space="preserve"> means shares of the Company’s Class B common stock, $0.0001 par value per share.</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means the United States Internal Revenue Code of 1986, as amended including any successor statute, regulation and guidance thereto.</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xml:space="preserve"> means the Company’s compensation committee (as constituted in compliance with Rule 5605(d)(2) of the Nasdaq Listing Rules) in order to comply with the exemption from</w:t>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22"/>
          <w:szCs w:val="22"/>
          <w:color w:val="auto"/>
        </w:rPr>
        <w:t>the stockholder approval requirement for “inducement grants” provided under Rule 5635(c)(4) of the Nasdaq Listing Rules.</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xml:space="preserve"> means the Class A Common Stock and the Class B Common Stock, individually or collectively, as the context requires.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means Quantum-Si Incorporated, a Delaware corporation.</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xml:space="preserve"> 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Corporate Transaction</w:t>
      </w:r>
      <w:r>
        <w:rPr>
          <w:rFonts w:ascii="Times New Roman" w:cs="Times New Roman" w:eastAsia="Times New Roman" w:hAnsi="Times New Roman"/>
          <w:sz w:val="22"/>
          <w:szCs w:val="22"/>
          <w:color w:val="auto"/>
        </w:rPr>
        <w:t xml:space="preserve"> 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to merely change the state of incorporation or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Disabled</w:t>
      </w:r>
      <w:r>
        <w:rPr>
          <w:rFonts w:ascii="Times New Roman" w:cs="Times New Roman" w:eastAsia="Times New Roman" w:hAnsi="Times New Roman"/>
          <w:sz w:val="22"/>
          <w:szCs w:val="22"/>
          <w:color w:val="auto"/>
        </w:rPr>
        <w:t xml:space="preserve"> means permanent and total disability as defined in Section 22(e)(3) of the Code.</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xml:space="preserve"> means any employee of the Company or of an Affiliate, designated by the Administrator to be eligible to be granted one or more Stock Rights under the Plan.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xml:space="preserve"> means the United States Securities Exchange Act of 1934, as amended.</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xml:space="preserve"> of a Share of Class A Common Stock means:</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If the Class A Common Stock is listed on a national securities exchange or traded in the over-the-counter market and sales prices are regularly reported for the Class A Common Stock, the closing or, if not applicable, the last price of the Class A Common Stock on the composite tape or other comparable reporting system for the trading day on the applicable date and if such applicable date is not a trading day, the last market trading day prior to such date;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If the Class A Common Stock is not traded on a national securities exchange but is traded on the over-the-counter market, if sales prices are not regularly reported for the Class A Common Stock for the trading day referred to in clause (1), and if bid and asked prices for the Class A Common Stock are regularly reported, the mean between the bid and the asked price for the Class A Common Stock at the close of trading in the over-the-counter market for the most recent trading day on which Class A Common Stock was traded on the applicable date and if such applicable date is not a trading day, the last market trading day prior to such date;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45" w:name="page46"/>
    <w:bookmarkEnd w:id="45"/>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If the Class A Common Stock is neither listed on a national securities exchange nor traded in the over-the-counter market, such value as the Administrator, in good faith, shall determine in compliance with applicable laws.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ISO</w:t>
      </w:r>
      <w:r>
        <w:rPr>
          <w:rFonts w:ascii="Times New Roman" w:cs="Times New Roman" w:eastAsia="Times New Roman" w:hAnsi="Times New Roman"/>
          <w:sz w:val="22"/>
          <w:szCs w:val="22"/>
          <w:color w:val="auto"/>
        </w:rPr>
        <w:t xml:space="preserve"> means a stock option intended to qualify as an incentive stock option under Section 422.</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Non-Qualified Option</w:t>
      </w:r>
      <w:r>
        <w:rPr>
          <w:rFonts w:ascii="Times New Roman" w:cs="Times New Roman" w:eastAsia="Times New Roman" w:hAnsi="Times New Roman"/>
          <w:sz w:val="22"/>
          <w:szCs w:val="22"/>
          <w:color w:val="auto"/>
        </w:rPr>
        <w:t xml:space="preserve"> means a stock option which is not intended to qualify as an ISO.</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xml:space="preserve"> means a Non-Qualified Option granted under the Plan.</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xml:space="preserve"> means an Employee of the Company or an Affiliate to whom one or more Stock Rights are granted under the Plan. As used herein, “Participant” shall include “Participant’s Survivors” where the context requires.</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Performance-Based Award</w:t>
      </w:r>
      <w:r>
        <w:rPr>
          <w:rFonts w:ascii="Times New Roman" w:cs="Times New Roman" w:eastAsia="Times New Roman" w:hAnsi="Times New Roman"/>
          <w:sz w:val="22"/>
          <w:szCs w:val="22"/>
          <w:color w:val="auto"/>
        </w:rPr>
        <w:t xml:space="preserve"> means a Stock Grant or Stock-Based Award which vests based on the attainment of written Performance Goals as set forth in Paragraph 9 hereof.</w:t>
      </w:r>
    </w:p>
    <w:p>
      <w:pPr>
        <w:spacing w:after="0" w:line="14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Performance Goals</w:t>
      </w:r>
      <w:r>
        <w:rPr>
          <w:rFonts w:ascii="Times New Roman" w:cs="Times New Roman" w:eastAsia="Times New Roman" w:hAnsi="Times New Roman"/>
          <w:sz w:val="22"/>
          <w:szCs w:val="22"/>
          <w:color w:val="auto"/>
        </w:rPr>
        <w:t xml:space="preserve"> means performance goals determined by the Committee in its sole discretion and set forth in an Agreement.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xml:space="preserve"> means this Quantum-Si Incorporated 2023 Inducement Equity Incentive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SAR</w:t>
      </w:r>
      <w:r>
        <w:rPr>
          <w:rFonts w:ascii="Times New Roman" w:cs="Times New Roman" w:eastAsia="Times New Roman" w:hAnsi="Times New Roman"/>
          <w:sz w:val="22"/>
          <w:szCs w:val="22"/>
          <w:color w:val="auto"/>
        </w:rPr>
        <w:t xml:space="preserve"> means a stock appreciation right.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xml:space="preserve"> means Section 409A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422</w:t>
      </w:r>
      <w:r>
        <w:rPr>
          <w:rFonts w:ascii="Times New Roman" w:cs="Times New Roman" w:eastAsia="Times New Roman" w:hAnsi="Times New Roman"/>
          <w:sz w:val="22"/>
          <w:szCs w:val="22"/>
          <w:color w:val="auto"/>
        </w:rPr>
        <w:t xml:space="preserve"> means Section 422 of the Code.</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Securities Act</w:t>
      </w:r>
      <w:r>
        <w:rPr>
          <w:rFonts w:ascii="Times New Roman" w:cs="Times New Roman" w:eastAsia="Times New Roman" w:hAnsi="Times New Roman"/>
          <w:sz w:val="22"/>
          <w:szCs w:val="22"/>
          <w:color w:val="auto"/>
        </w:rPr>
        <w:t xml:space="preserve"> means the United States Securities Act of 1933, as amended.</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xml:space="preserve"> means shares of the Class A Common Stock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79"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Stock-Based Award</w:t>
      </w:r>
      <w:r>
        <w:rPr>
          <w:rFonts w:ascii="Times New Roman" w:cs="Times New Roman" w:eastAsia="Times New Roman" w:hAnsi="Times New Roman"/>
          <w:sz w:val="22"/>
          <w:szCs w:val="22"/>
          <w:color w:val="auto"/>
        </w:rPr>
        <w:t xml:space="preserve"> means a grant by the Company under the Plan of an equity award or an equity based award, which is not an Option, or a Stock Grant.</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Stock Grant</w:t>
      </w:r>
      <w:r>
        <w:rPr>
          <w:rFonts w:ascii="Times New Roman" w:cs="Times New Roman" w:eastAsia="Times New Roman" w:hAnsi="Times New Roman"/>
          <w:sz w:val="22"/>
          <w:szCs w:val="22"/>
          <w:color w:val="auto"/>
        </w:rPr>
        <w:t xml:space="preserve"> means a grant by the Company of Shares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46" w:name="page47"/>
    <w:bookmarkEnd w:id="46"/>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Stock Right</w:t>
      </w:r>
      <w:r>
        <w:rPr>
          <w:rFonts w:ascii="Times New Roman" w:cs="Times New Roman" w:eastAsia="Times New Roman" w:hAnsi="Times New Roman"/>
          <w:sz w:val="22"/>
          <w:szCs w:val="22"/>
          <w:color w:val="auto"/>
        </w:rPr>
        <w:t xml:space="preserve"> means a Non-Qualified Option, a Stock Grant or a Stock-Based Award or a right to Shares or the value of Shares of the Company granted pursuant to the Plan.</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Survivor</w:t>
      </w:r>
      <w:r>
        <w:rPr>
          <w:rFonts w:ascii="Times New Roman" w:cs="Times New Roman" w:eastAsia="Times New Roman" w:hAnsi="Times New Roman"/>
          <w:sz w:val="22"/>
          <w:szCs w:val="22"/>
          <w:color w:val="auto"/>
        </w:rPr>
        <w:t xml:space="preserve"> means a deceased Participant’s legal representatives and/or any person or persons who acquired the Participant’s rights to a Stock Right by will or by the laws of descent and distribution.</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4Catalyzer Corporation</w:t>
      </w:r>
      <w:r>
        <w:rPr>
          <w:rFonts w:ascii="Times New Roman" w:cs="Times New Roman" w:eastAsia="Times New Roman" w:hAnsi="Times New Roman"/>
          <w:sz w:val="22"/>
          <w:szCs w:val="22"/>
          <w:color w:val="auto"/>
        </w:rPr>
        <w:t xml:space="preserve"> means 4Catalyzer Corporation and any other corporation for so long as more than 50% of the total voting power of such corporation is beneficially owned (as defined in Rule 13d-3 under the Exchange Act), directly or indirectly, by Jonathan Rothberg or his family as determined in the sole discretion of the Administrator.</w:t>
      </w:r>
    </w:p>
    <w:p>
      <w:pPr>
        <w:spacing w:after="0" w:line="173"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Plan is intended to advance the interests of the Company’s stockholders by enhancing the Company’s ability to attract new Employees who are expected to make important contributions to the Company and by providing such persons with equity ownership opportunities that are intended to better align the interests of such persons with those of the Company’s stockholders. The Company intends that the Plan be reserved for persons to whom the Company may issue securities without stockholder approval as an inducement pursuant to Listing Rule 5635(c)(4) of the corporate governance rules of the Nasdaq Stock Market.</w:t>
      </w:r>
    </w:p>
    <w:p>
      <w:pPr>
        <w:spacing w:after="0" w:line="165"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 SUBJECT TO THE PLAN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3"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which may be issued from time to time pursuant to this Plan shall be 6,000,000 shares of Class A Common Stock (of which 3,325,250 shares are available for future granting), or the equivalent of such number of Shares after the Administrator, in its sole discretion, has interpreted the effect of any stock split, stock dividend, combination, recapitalization or similar transaction in accordance with Paragraph 24 of the Plan.</w:t>
      </w:r>
    </w:p>
    <w:p>
      <w:pPr>
        <w:spacing w:after="0" w:line="179" w:lineRule="exact"/>
        <w:rPr>
          <w:rFonts w:ascii="Times New Roman" w:cs="Times New Roman" w:eastAsia="Times New Roman" w:hAnsi="Times New Roman"/>
          <w:sz w:val="22"/>
          <w:szCs w:val="22"/>
          <w:color w:val="auto"/>
        </w:rPr>
      </w:pPr>
    </w:p>
    <w:p>
      <w:pPr>
        <w:jc w:val="both"/>
        <w:ind w:firstLine="656"/>
        <w:spacing w:after="0" w:line="264" w:lineRule="auto"/>
        <w:tabs>
          <w:tab w:leader="none" w:pos="1291"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In addition, any Shares repurchased using exercise price proceeds will not be available for issuance under the Plan.</w:t>
      </w:r>
    </w:p>
    <w:p>
      <w:pPr>
        <w:spacing w:after="0" w:line="169"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47" w:name="page48"/>
    <w:bookmarkEnd w:id="47"/>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186" w:lineRule="exact"/>
        <w:rPr>
          <w:sz w:val="20"/>
          <w:szCs w:val="20"/>
          <w:color w:val="auto"/>
        </w:rPr>
      </w:pPr>
    </w:p>
    <w:p>
      <w:pPr>
        <w:ind w:right="20" w:firstLine="656"/>
        <w:spacing w:after="0" w:line="271"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Interpret the provisions of the Plan and all Stock Rights and to make all rules and determinations which it deems necessary or advisable for the administration of the Plan;</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which Employees shall be granted Stock Rights;</w:t>
      </w:r>
    </w:p>
    <w:p>
      <w:pPr>
        <w:spacing w:after="0" w:line="219"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number of Shares for which a Stock Right or Stock Rights shall be granted and specify the terms and conditions upon which Stock Rights may be granted;</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Specify the terms and conditions upon which a Stock Right or Stock Rights may be granted provided that no dividends or dividend equivalents shall be paid on any Stock Right prior to the vesting of the underlying Shares;</w:t>
      </w:r>
    </w:p>
    <w:p>
      <w:pPr>
        <w:spacing w:after="0" w:line="157" w:lineRule="exact"/>
        <w:rPr>
          <w:rFonts w:ascii="Times New Roman" w:cs="Times New Roman" w:eastAsia="Times New Roman" w:hAnsi="Times New Roman"/>
          <w:sz w:val="22"/>
          <w:szCs w:val="22"/>
          <w:color w:val="auto"/>
        </w:rPr>
      </w:pPr>
    </w:p>
    <w:p>
      <w:pPr>
        <w:jc w:val="both"/>
        <w:ind w:firstLine="656"/>
        <w:spacing w:after="0" w:line="275" w:lineRule="auto"/>
        <w:tabs>
          <w:tab w:leader="none" w:pos="1293"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Amend any term or condition of any outstanding Stock Right, provided that (i) such term or condition as amended is not prohibited by the Plan and (ii) any such amendment shall not impair the rights of a Participant under any Stock Right previously granted without such Participant’s consent or in the event of death of the Participant the Participant’s Survivors;</w:t>
      </w:r>
    </w:p>
    <w:p>
      <w:pPr>
        <w:spacing w:after="0" w:line="155"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and make any adjustments in the Performance Goals included in any Performance-Based Awards; and</w:t>
      </w:r>
    </w:p>
    <w:p>
      <w:pPr>
        <w:spacing w:after="0" w:line="244" w:lineRule="exact"/>
        <w:rPr>
          <w:rFonts w:ascii="Times New Roman" w:cs="Times New Roman" w:eastAsia="Times New Roman" w:hAnsi="Times New Roman"/>
          <w:sz w:val="21"/>
          <w:szCs w:val="21"/>
          <w:color w:val="auto"/>
        </w:rPr>
      </w:pPr>
    </w:p>
    <w:p>
      <w:pPr>
        <w:jc w:val="both"/>
        <w:ind w:firstLine="656"/>
        <w:spacing w:after="0" w:line="248"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 provided, however, that all such interpretations, rules, determinations, terms and conditions shall be made and prescribed in the context of not causing any adverse tax consequences under Section 409A of the Code. 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Notwithstanding the foregoing, any grants of Stock Rights under the Plan made by the Board of Directors must be approved by the majority of the Company’s independent directors (as defined in Rule 5605(a)(2) of the Nasdaq Listing Rules) in order to comply with Nasdaq Listing Rule 5635(c)</w:t>
      </w:r>
    </w:p>
    <w:p>
      <w:pPr>
        <w:spacing w:after="0" w:line="16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 FOR PARTICIPATION</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The Administrator will, in its sole discretion, name the Participants in the Plan; provided, however, that each Participant must be an Employee of the Company or of an Affiliate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50" w:lineRule="auto"/>
        <w:rPr>
          <w:sz w:val="20"/>
          <w:szCs w:val="20"/>
          <w:color w:val="auto"/>
        </w:rPr>
      </w:pPr>
      <w:r>
        <w:rPr>
          <w:rFonts w:ascii="Times New Roman" w:cs="Times New Roman" w:eastAsia="Times New Roman" w:hAnsi="Times New Roman"/>
          <w:sz w:val="22"/>
          <w:szCs w:val="22"/>
          <w:color w:val="auto"/>
        </w:rPr>
        <w:t>time a Stock Right is granted. Notwithstanding the foregoing, the Administrator may authorize the grant of a Stock Right to a person in anticipation of such person becoming an Employee of the Company or of an Affiliate, provided, that the actual grant of such Stock Right shall be conditioned upon such person becoming eligible to become a Participant at or prior to the time of the execution of the Agreement evidencing such Stock Right. Non-Qualified Options, Stock Grants and Stock-Based Awards may be granted to any Employee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w:t>
      </w:r>
    </w:p>
    <w:p>
      <w:pPr>
        <w:spacing w:after="0" w:line="18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 OF OPTIONS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The Option Agreements shall be subject to at least the following terms and conditions:</w:t>
      </w:r>
    </w:p>
    <w:p>
      <w:pPr>
        <w:spacing w:after="0" w:line="179" w:lineRule="exact"/>
        <w:rPr>
          <w:sz w:val="20"/>
          <w:szCs w:val="20"/>
          <w:color w:val="auto"/>
        </w:rPr>
      </w:pPr>
    </w:p>
    <w:p>
      <w:pPr>
        <w:jc w:val="both"/>
        <w:ind w:right="20" w:firstLine="656"/>
        <w:spacing w:after="0" w:line="263" w:lineRule="auto"/>
        <w:tabs>
          <w:tab w:leader="none" w:pos="129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Non-Qualified Options</w:t>
      </w:r>
      <w:r>
        <w:rPr>
          <w:rFonts w:ascii="Times New Roman" w:cs="Times New Roman" w:eastAsia="Times New Roman" w:hAnsi="Times New Roman"/>
          <w:sz w:val="22"/>
          <w:szCs w:val="22"/>
          <w:color w:val="auto"/>
        </w:rPr>
        <w:t>: Each Option shall be a Non-Qualified Option and shall be subject to the terms and conditions which the Administrator determines to be appropriate and in the best interest of the Company, subject to the following minimum standards for any such Non-Qualified Option:</w:t>
      </w:r>
    </w:p>
    <w:p>
      <w:pPr>
        <w:spacing w:after="0" w:line="16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Each Option Agreement shall state the exercise price (per share) of the Shares covered by each Option which exercise price shall be determined by the Administrator and shall be at least equal to the Fair Market Value per share of the Class A Common Stock on the date of grant of the Option.</w:t>
      </w:r>
    </w:p>
    <w:p>
      <w:pPr>
        <w:spacing w:after="0" w:line="17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Number of Shares</w:t>
      </w:r>
      <w:r>
        <w:rPr>
          <w:rFonts w:ascii="Times New Roman" w:cs="Times New Roman" w:eastAsia="Times New Roman" w:hAnsi="Times New Roman"/>
          <w:sz w:val="22"/>
          <w:szCs w:val="22"/>
          <w:color w:val="auto"/>
        </w:rPr>
        <w:t>: Each Option Agreement shall state the number of Shares to which it pertains.</w:t>
      </w:r>
    </w:p>
    <w:p>
      <w:pPr>
        <w:spacing w:after="0" w:line="23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79" w:lineRule="exact"/>
        <w:rPr>
          <w:rFonts w:ascii="Times New Roman" w:cs="Times New Roman" w:eastAsia="Times New Roman" w:hAnsi="Times New Roman"/>
          <w:sz w:val="22"/>
          <w:szCs w:val="22"/>
          <w:color w:val="auto"/>
        </w:rPr>
      </w:pPr>
    </w:p>
    <w:p>
      <w:pPr>
        <w:ind w:firstLine="1304"/>
        <w:spacing w:after="0" w:line="284" w:lineRule="auto"/>
        <w:tabs>
          <w:tab w:leader="none" w:pos="1932"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Each Option shall terminate not more than ten years from the date of the grant or at such earlier time as the Option Agreement may provide.</w:t>
      </w:r>
    </w:p>
    <w:p>
      <w:pPr>
        <w:spacing w:after="0" w:line="14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24 below, the Company may not, without obtaining stockholder approval, (i) amend the terms of outstanding Options to reduce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49" w:name="page50"/>
    <w:bookmarkEnd w:id="49"/>
    <w:p>
      <w:pPr>
        <w:jc w:val="both"/>
        <w:spacing w:after="0" w:line="257" w:lineRule="auto"/>
        <w:rPr>
          <w:sz w:val="20"/>
          <w:szCs w:val="20"/>
          <w:color w:val="auto"/>
        </w:rPr>
      </w:pPr>
      <w:r>
        <w:rPr>
          <w:rFonts w:ascii="Times New Roman" w:cs="Times New Roman" w:eastAsia="Times New Roman" w:hAnsi="Times New Roman"/>
          <w:sz w:val="22"/>
          <w:szCs w:val="22"/>
          <w:color w:val="auto"/>
        </w:rPr>
        <w:t>exercise price of such Options, (ii) cancel outstanding Options in exchange for Options that have an exercise price that is less than the exercise price value of the original Options, or (iii) cancel outstanding Options that have an exercise price greater than the Fair Market Value of a Share on the date of such cancellation in exchange for cash or other consideration.</w:t>
      </w:r>
    </w:p>
    <w:p>
      <w:pPr>
        <w:spacing w:after="0" w:line="186"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 OF STOCK GRANTS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93" w:lineRule="exact"/>
        <w:rPr>
          <w:sz w:val="20"/>
          <w:szCs w:val="20"/>
          <w:color w:val="auto"/>
        </w:rPr>
      </w:pPr>
    </w:p>
    <w:p>
      <w:pPr>
        <w:ind w:firstLine="656"/>
        <w:spacing w:after="0" w:line="271" w:lineRule="auto"/>
        <w:tabs>
          <w:tab w:leader="none" w:pos="129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Agreement shall state the purchase price per Share, if any, of the Shares covered by each Stock Grant, which purchase price shall be determined by the Administrator on the date of the grant of the Stock Grant;</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Agreement shall state the number of Shares to which the Stock Grant pertains;</w:t>
      </w:r>
    </w:p>
    <w:p>
      <w:pPr>
        <w:spacing w:after="0" w:line="219"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spacing w:after="0" w:line="186"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(other than stock dividends to be issued pursuant to Paragraph 24 of the Plan) may accrue but shall not be paid prior to the time, and may be paid only to the extent that, the restrictions or rights to reacquire the Shares subject to the Stock Grant lapse. Any entitlement to dividend equivalents or similar entitlements will be established and administered either consistent with an exemption from, or in compliance with the applicable requirements of Section 409A.</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TERMS AND CONDITIONS OF OTHER STOCK-BASED AWARDS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The Administrator shall have the right to grant other Stock-Based Awards based upon the Class A Common Stock having such terms and conditions as the Administrator may determine, including, without limitation, the grant of Shares based upon certain conditions, the grant of securities convertible into Shares and the grant of SARs,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Paragraph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22"/>
          <w:szCs w:val="22"/>
          <w:color w:val="auto"/>
        </w:rPr>
        <w:t>of the Plan) or dividend equivalents may accrue but shall not be paid prior to and may be paid only to the extent that the Shares subject to the Stock-Based Award vest. Under no circumstances may the Agreement covering SARs (a) have an exercise or base price (per share) that is less than the Fair Market Value per share of Class A Common Stock on the date of grant or (b) expire more than ten years following the date of grant.</w:t>
      </w:r>
    </w:p>
    <w:p>
      <w:pPr>
        <w:spacing w:after="0" w:line="17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PERFORMANCE-BASED AWARDS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Paragraph 24 of the Plan) or dividend equivalents that accrue shall only be paid in respect of the number of Shares earned in respect of such Performance-Based Award.</w:t>
      </w:r>
    </w:p>
    <w:p>
      <w:pPr>
        <w:spacing w:after="0" w:line="178"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OPTIONS AND ISSUE OF SHARES</w:t>
      </w:r>
      <w:r>
        <w:rPr>
          <w:rFonts w:ascii="Times New Roman" w:cs="Times New Roman" w:eastAsia="Times New Roman" w:hAnsi="Times New Roman"/>
          <w:sz w:val="22"/>
          <w:szCs w:val="22"/>
          <w:i w:val="1"/>
          <w:iCs w:val="1"/>
          <w:color w:val="auto"/>
        </w:rPr>
        <w:t>.</w:t>
      </w:r>
    </w:p>
    <w:p>
      <w:pPr>
        <w:spacing w:after="0" w:line="23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shares of Class A Common Stock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or (d) at the discretion of the Administrator, in accordance with a cashless exercise program established with a securities brokerage firm, and approved by the Administrator; or (e) at the discretion of the Administrator, by any combination of (a), (b), (c) and (d) above or (f) at the discretion of the Administrator, by payment of such other lawful consideration as the Administrator may determine.</w:t>
      </w:r>
    </w:p>
    <w:p>
      <w:pPr>
        <w:spacing w:after="0" w:line="212"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The Company shall then reasonably promptly deliver the Shares as to which such Option was exercised to the Participant (or to the Participant’s Survivors, as the case may be).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51" w:name="page52"/>
    <w:bookmarkEnd w:id="51"/>
    <w:p>
      <w:pPr>
        <w:jc w:val="both"/>
        <w:spacing w:after="0" w:line="256" w:lineRule="auto"/>
        <w:rPr>
          <w:sz w:val="20"/>
          <w:szCs w:val="20"/>
          <w:color w:val="auto"/>
        </w:rPr>
      </w:pPr>
      <w:r>
        <w:rPr>
          <w:rFonts w:ascii="Times New Roman" w:cs="Times New Roman" w:eastAsia="Times New Roman" w:hAnsi="Times New Roman"/>
          <w:sz w:val="22"/>
          <w:szCs w:val="22"/>
          <w:color w:val="auto"/>
        </w:rPr>
        <w:t>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spacing w:after="0" w:line="176" w:lineRule="exact"/>
        <w:rPr>
          <w:sz w:val="20"/>
          <w:szCs w:val="20"/>
          <w:color w:val="auto"/>
        </w:rPr>
      </w:pPr>
    </w:p>
    <w:p>
      <w:pPr>
        <w:ind w:left="660" w:right="100" w:hanging="652"/>
        <w:spacing w:after="0" w:line="271" w:lineRule="auto"/>
        <w:tabs>
          <w:tab w:leader="none" w:pos="65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IN CONNECTION WITH THE ISSUANCE OF STOCK GRANTS AND STOCK-BASED AWARDS AND ISSUE OF SHARES</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shares of Class A Common Stock held for at least six months (if required to avoid negative accounting treatment) and having a Fair Market Value equal as of the date of payment to the purchase price of the Stock Grant or Stock-Based Award; or (c) by delivery of a promissory note, if the Board of Directors has expressly authorized the loan of funds to the Participant for the purpose of enabling or assisting the Participant to effect such purchase; (d) at the discretion of the Administrator, by any combination of (a) through (c) above; or (e) at the discretion of the Administrator, by payment of such other lawful consideration as the Administrator may determine.</w:t>
      </w:r>
    </w:p>
    <w:p>
      <w:pPr>
        <w:spacing w:after="0" w:line="19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which requires the Company to take any action with respect to the Shares prior to their issuance.</w:t>
      </w:r>
    </w:p>
    <w:p>
      <w:pPr>
        <w:spacing w:after="0" w:line="181"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w:t>
      </w:r>
    </w:p>
    <w:p>
      <w:pPr>
        <w:spacing w:after="0" w:line="17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ASSIGNABILITY AND TRANSFERABILITY OF STOCK RIGHTS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 The designation of a beneficiary of a Stock Right by a Participant, with the prior approval of the Administrator and in such form as the Administrator shall prescribe, shall not be deemed a transfer prohibited by this Paragraph.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53" w:lineRule="auto"/>
        <w:rPr>
          <w:sz w:val="20"/>
          <w:szCs w:val="20"/>
          <w:color w:val="auto"/>
        </w:rPr>
      </w:pPr>
      <w:r>
        <w:rPr>
          <w:rFonts w:ascii="Times New Roman" w:cs="Times New Roman" w:eastAsia="Times New Roman" w:hAnsi="Times New Roman"/>
          <w:sz w:val="22"/>
          <w:szCs w:val="22"/>
          <w:color w:val="auto"/>
        </w:rPr>
        <w:t>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pacing w:after="0" w:line="179" w:lineRule="exact"/>
        <w:rPr>
          <w:sz w:val="20"/>
          <w:szCs w:val="20"/>
          <w:color w:val="auto"/>
        </w:rPr>
      </w:pPr>
    </w:p>
    <w:p>
      <w:pPr>
        <w:ind w:left="660" w:right="1220" w:hanging="652"/>
        <w:spacing w:after="0" w:line="271" w:lineRule="auto"/>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OPTIONS OF TERMINATION OF SERVICE OTHER THAN FOR CAUSE OR DEATH OR DISABILITY</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Except as otherwise provided in a Participant’s Option Agreement in the event of a termination of service with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or an Affiliate before the Participant has exercised an Option, the following rules apply:</w:t>
      </w:r>
    </w:p>
    <w:p>
      <w:pPr>
        <w:spacing w:after="0" w:line="207" w:lineRule="exact"/>
        <w:rPr>
          <w:sz w:val="20"/>
          <w:szCs w:val="20"/>
          <w:color w:val="auto"/>
        </w:rPr>
      </w:pPr>
    </w:p>
    <w:p>
      <w:pPr>
        <w:jc w:val="both"/>
        <w:ind w:firstLine="656"/>
        <w:spacing w:after="0" w:line="252" w:lineRule="auto"/>
        <w:tabs>
          <w:tab w:leader="none" w:pos="129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ceases to provide services to the Company or an Affiliate (for any reason other than termination for Cause, Disability, or death for which events there are special rules in Paragraphs 15, 16, and 17, respectively), may exercise any Option granted to such Participant to the extent that the Option is exercisable on the date of such termination of service, but only within such term as the Administrator has designated in a Participant’s Option Agreement.</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Paragraph, and not the provisions of Paragraph 16 or 17, shall apply to a Participant who subsequently becomes Disabled or dies after the termination of service; provided, however, in the case of a Participant’s Disability or death within three months after the termination of service, the Participant or the Participant’s Survivors may exercise the Option within one year after the date of the Participant’s termination of service, but in no event after the date of expiration of the term of the Option.</w:t>
      </w:r>
    </w:p>
    <w:p>
      <w:pPr>
        <w:spacing w:after="0" w:line="17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herein to the contrary, if subsequent to a Participant’s service, but prior to the exercise of an Option, the Administrator determines that, either prior or subsequent to the Participant’s termination, the Participant engaged in conduct which would constitute Cause, then such Participant shall forthwith cease to have any right to exercise any Option.</w:t>
      </w:r>
    </w:p>
    <w:p>
      <w:pPr>
        <w:spacing w:after="0" w:line="176"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service with the Company or with an Affiliate, except as the Administrator may otherwise expressly provide.</w:t>
      </w:r>
    </w:p>
    <w:p>
      <w:pPr>
        <w:spacing w:after="0" w:line="178"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3"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of the Company or any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53" w:name="page54"/>
    <w:bookmarkEnd w:id="53"/>
    <w:p>
      <w:pPr>
        <w:jc w:val="both"/>
        <w:ind w:firstLine="656"/>
        <w:spacing w:after="0" w:line="263" w:lineRule="auto"/>
        <w:tabs>
          <w:tab w:leader="none" w:pos="1296"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otherwise set forth in a Participant’s Option Agreement, if a Participant ceases to be an Employee of the Company or any Affiliate but upon cessation of such services immediately becomes an Employee of a 4Catalyzer Corporation, Options granted under the Plan shall cease vesting in accordance with the Participant’s Option Agreement but shall remain exercisable until the earliest of: (i) three months from the date when the Participant is no longer providing services as an Employee to any 4Catalyzer Corporation for any reason other than for Cause, death, or Disability; (ii) three months from the date when the company to which the Participant is providing services as an Employee is no longer a 4Catalyzer Corporation; (ii) one year from the date of the Participant’s death or Disability; (iii) immediately upon notification by a 4Catalyzer Corporation that the Participant is being terminated by a 4Catalyzer Corporation for Cause; (iv) the expiration date of the Option as set forth in the Participant’s Option Agreement; or (v) the termination of the Option in accordance with Paragraph 23 or 24 of the Plan.</w:t>
      </w:r>
    </w:p>
    <w:p>
      <w:pPr>
        <w:spacing w:after="0" w:line="169" w:lineRule="exact"/>
        <w:rPr>
          <w:rFonts w:ascii="Times New Roman" w:cs="Times New Roman" w:eastAsia="Times New Roman" w:hAnsi="Times New Roman"/>
          <w:sz w:val="21"/>
          <w:szCs w:val="21"/>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OPTIONS OF TERMINATION OF SERVICE FOR CAUSE</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a Participant’s Option Agreement, the following rules apply if the Participant’s service</w:t>
      </w:r>
    </w:p>
    <w:p>
      <w:pPr>
        <w:spacing w:after="0" w:line="2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2"/>
          <w:szCs w:val="22"/>
          <w:color w:val="auto"/>
        </w:rPr>
        <w:t>with the Company or an Affiliate is terminated for Cause prior to the time that all his or her outstanding Options have been exercised:</w:t>
      </w:r>
    </w:p>
    <w:p>
      <w:pPr>
        <w:spacing w:after="0" w:line="182" w:lineRule="exact"/>
        <w:rPr>
          <w:sz w:val="20"/>
          <w:szCs w:val="20"/>
          <w:color w:val="auto"/>
        </w:rPr>
      </w:pPr>
    </w:p>
    <w:p>
      <w:pPr>
        <w:ind w:firstLine="656"/>
        <w:spacing w:after="0" w:line="284" w:lineRule="auto"/>
        <w:tabs>
          <w:tab w:leader="none" w:pos="1293"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outstanding and unexercised Options as of the time the Participant is notified his or her service is terminated for Cause will immediately be forfeited.</w:t>
      </w:r>
    </w:p>
    <w:p>
      <w:pPr>
        <w:spacing w:after="0" w:line="14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but prior to the exercise of an Option, that either prior or subsequent to the Participant’s termination the Participant engaged in conduct which would constitute Cause, then the right to exercise any Option is forfeited.</w:t>
      </w:r>
    </w:p>
    <w:p>
      <w:pPr>
        <w:spacing w:after="0" w:line="192" w:lineRule="exact"/>
        <w:rPr>
          <w:rFonts w:ascii="Times New Roman" w:cs="Times New Roman" w:eastAsia="Times New Roman" w:hAnsi="Times New Roman"/>
          <w:sz w:val="22"/>
          <w:szCs w:val="22"/>
          <w:color w:val="auto"/>
        </w:rPr>
      </w:pPr>
    </w:p>
    <w:p>
      <w:pPr>
        <w:ind w:left="660" w:right="3560" w:hanging="652"/>
        <w:spacing w:after="0" w:line="469" w:lineRule="auto"/>
        <w:tabs>
          <w:tab w:leader="none" w:pos="66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ON OPTIONS OF TERMINATION OF SERVICE FOR DISABILITY</w:t>
      </w:r>
      <w:r>
        <w:rPr>
          <w:rFonts w:ascii="Times New Roman" w:cs="Times New Roman" w:eastAsia="Times New Roman" w:hAnsi="Times New Roman"/>
          <w:sz w:val="21"/>
          <w:szCs w:val="21"/>
          <w:color w:val="auto"/>
        </w:rPr>
        <w:t>. Except as otherwise provided in a Participant’s Option Agreement:</w:t>
      </w:r>
    </w:p>
    <w:p>
      <w:pPr>
        <w:spacing w:after="0" w:line="1" w:lineRule="exact"/>
        <w:rPr>
          <w:rFonts w:ascii="Times New Roman" w:cs="Times New Roman" w:eastAsia="Times New Roman" w:hAnsi="Times New Roman"/>
          <w:sz w:val="21"/>
          <w:szCs w:val="21"/>
          <w:color w:val="auto"/>
        </w:rPr>
      </w:pPr>
    </w:p>
    <w:p>
      <w:pPr>
        <w:jc w:val="both"/>
        <w:ind w:firstLine="656"/>
        <w:spacing w:after="0" w:line="250" w:lineRule="auto"/>
        <w:tabs>
          <w:tab w:leader="none" w:pos="1293"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ceases to be an Employee of the Company or of an Affiliate by reason of Disability may exercise any Option granted to such Participant to the extent that the Option has become exercisable but has not been exercised on the date of the Participant’s termination of service due to Disability; and in the event rights to exercise the Option accrue periodically, to the extent of a pro rata portion through the date of the Participant’s termination of service due to Disability of any additional vesting rights that would have accrued on the next vesting date had the Participant not become Disabled. The proration shall be based upon the number of days accrued in the current vesting period prior to the date of the Participant’s termination of service due to Disability.</w:t>
      </w:r>
    </w:p>
    <w:p>
      <w:pPr>
        <w:spacing w:after="0" w:line="180"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Disabled Participant may exercise the Option only within the period ending one year after the date of the Participant’s termination of service due to Disability, notwithstanding that the Participant might have been able to exercise the Option as to some or all of the Shares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54" w:name="page55"/>
    <w:bookmarkEnd w:id="54"/>
    <w:p>
      <w:pPr>
        <w:spacing w:after="0" w:line="271" w:lineRule="auto"/>
        <w:rPr>
          <w:sz w:val="20"/>
          <w:szCs w:val="20"/>
          <w:color w:val="auto"/>
        </w:rPr>
      </w:pPr>
      <w:r>
        <w:rPr>
          <w:rFonts w:ascii="Times New Roman" w:cs="Times New Roman" w:eastAsia="Times New Roman" w:hAnsi="Times New Roman"/>
          <w:sz w:val="22"/>
          <w:szCs w:val="22"/>
          <w:color w:val="auto"/>
        </w:rPr>
        <w:t>a later date if the Participant had not been terminated due to Disability and had continued to be an Employee or, if earlier, within the originally prescribed term of the Option.</w:t>
      </w:r>
    </w:p>
    <w:p>
      <w:pPr>
        <w:spacing w:after="0" w:line="158" w:lineRule="exact"/>
        <w:rPr>
          <w:sz w:val="20"/>
          <w:szCs w:val="20"/>
          <w:color w:val="auto"/>
        </w:rPr>
      </w:pPr>
    </w:p>
    <w:p>
      <w:pPr>
        <w:jc w:val="both"/>
        <w:ind w:firstLine="656"/>
        <w:spacing w:after="0" w:line="256" w:lineRule="auto"/>
        <w:tabs>
          <w:tab w:leader="none" w:pos="129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shall make the determination both of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76" w:lineRule="exact"/>
        <w:rPr>
          <w:rFonts w:ascii="Times New Roman" w:cs="Times New Roman" w:eastAsia="Times New Roman" w:hAnsi="Times New Roman"/>
          <w:sz w:val="22"/>
          <w:szCs w:val="22"/>
          <w:color w:val="auto"/>
        </w:rPr>
      </w:pPr>
    </w:p>
    <w:p>
      <w:pPr>
        <w:ind w:left="660" w:right="4800" w:hanging="652"/>
        <w:spacing w:after="0" w:line="476" w:lineRule="auto"/>
        <w:tabs>
          <w:tab w:leader="none" w:pos="66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ON OPTIONS OF DEATH WHILE AN EMPLOYEE</w:t>
      </w:r>
      <w:r>
        <w:rPr>
          <w:rFonts w:ascii="Times New Roman" w:cs="Times New Roman" w:eastAsia="Times New Roman" w:hAnsi="Times New Roman"/>
          <w:sz w:val="21"/>
          <w:szCs w:val="21"/>
          <w:color w:val="auto"/>
        </w:rPr>
        <w:t>. Except as otherwise provided in a Participant’s Option Agreement:</w:t>
      </w:r>
    </w:p>
    <w:p>
      <w:pPr>
        <w:jc w:val="both"/>
        <w:ind w:firstLine="656"/>
        <w:spacing w:after="0" w:line="248" w:lineRule="auto"/>
        <w:tabs>
          <w:tab w:leader="none" w:pos="1293"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death of a Participant while the Participant is an Employee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200"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or, if earlier, within the originally prescribed term of the Option.</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EFFECT OF TERMINATION OF SERVICE ON UNACCEPTED STOCK GRANTS AND STOCK-BASED AWARDS.</w:t>
      </w:r>
    </w:p>
    <w:p>
      <w:pPr>
        <w:spacing w:after="0" w:line="24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of a termination of service (as an Employee) with the Company or an Affiliate for any reason before the Participant has accepted a Stock Grant or a Stock-Based Award and paid the purchase price, if required, such grant shall terminate.</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terminated such Participant’s employment with the Company or with an Affiliate, except as the Administrator may otherwise expressly provide.</w:t>
      </w:r>
    </w:p>
    <w:p>
      <w:pPr>
        <w:spacing w:after="0" w:line="16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In addition, for purposes of this Paragraph 18 and Paragraph 19 below, any change of employment or other service within or among the Company and any Affiliates shall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1"/>
          <w:szCs w:val="21"/>
          <w:color w:val="auto"/>
        </w:rPr>
        <w:t>treated as a termination of employment so long as the Participant continues to be an Employee of the Company or any Affiliate.</w:t>
      </w:r>
    </w:p>
    <w:p>
      <w:pPr>
        <w:spacing w:after="0" w:line="231" w:lineRule="exact"/>
        <w:rPr>
          <w:sz w:val="20"/>
          <w:szCs w:val="20"/>
          <w:color w:val="auto"/>
        </w:rPr>
      </w:pPr>
    </w:p>
    <w:p>
      <w:pPr>
        <w:ind w:left="660" w:right="200" w:hanging="652"/>
        <w:spacing w:after="0" w:line="271" w:lineRule="auto"/>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STOCK GRANTS AND STOCK-BASED AWARDS OF TERMINATION OF SERVICE OTHER THAN FOR CAUSE, DEATH OR DISABILITY</w:t>
      </w:r>
      <w:r>
        <w:rPr>
          <w:rFonts w:ascii="Times New Roman" w:cs="Times New Roman" w:eastAsia="Times New Roman" w:hAnsi="Times New Roman"/>
          <w:sz w:val="22"/>
          <w:szCs w:val="22"/>
          <w:color w:val="auto"/>
        </w:rPr>
        <w:t>.</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Except as otherwise provided in a Participant’s Agreement, in the event of a termination of service for any reason, other than termination for Cause, death or Disability for which there are special rules in Paragraphs 20, 21, and 22 below, before all forfeiture provisions or Company rights of repurchase shall have lapsed, then the Company shall have the right to cancel or repurchase that number of Shares subject to a Stock Grant or Stock-Based Award as to which the Company’s forfeiture or repurchase rights have not lapsed.</w:t>
      </w:r>
    </w:p>
    <w:p>
      <w:pPr>
        <w:spacing w:after="0" w:line="194" w:lineRule="exact"/>
        <w:rPr>
          <w:sz w:val="20"/>
          <w:szCs w:val="20"/>
          <w:color w:val="auto"/>
        </w:rPr>
      </w:pPr>
    </w:p>
    <w:p>
      <w:pPr>
        <w:ind w:left="660" w:hanging="652"/>
        <w:spacing w:after="0"/>
        <w:tabs>
          <w:tab w:leader="none" w:pos="66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STOCK GRANTS AND STOCK-BASED AWARDS OF TERMINATION OF SERVICE FOR CAUSE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Except as otherwise provided in a Participant’s Agreement, the following rules apply if the Participant’s service with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or an Affiliate is terminated for Cause:</w:t>
      </w:r>
    </w:p>
    <w:p>
      <w:pPr>
        <w:spacing w:after="0" w:line="196" w:lineRule="exact"/>
        <w:rPr>
          <w:sz w:val="20"/>
          <w:szCs w:val="20"/>
          <w:color w:val="auto"/>
        </w:rPr>
      </w:pPr>
    </w:p>
    <w:p>
      <w:pPr>
        <w:jc w:val="both"/>
        <w:ind w:firstLine="656"/>
        <w:spacing w:after="0" w:line="257" w:lineRule="auto"/>
        <w:tabs>
          <w:tab w:leader="none" w:pos="1293"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Shares subject to any Stock Grant or Stock-Based Award that remain subject to forfeiture provisions or as to which the Company shall have a repurchase right shall be immediately forfeited to the Company as of the time the Participant is notified his or her service is terminated for Cause.</w:t>
      </w:r>
    </w:p>
    <w:p>
      <w:pPr>
        <w:spacing w:after="0" w:line="186"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is not limited to events which have occurred prior to a Participant’s termination of service, nor is it necessary that the Administrator’s finding of Cause occur prior to termination. If the Administrator determines, subsequent to a Participant’s termination of service, that either prior or subsequent to the Participant’s termination the Participant engaged in conduct which would constitute Cause, then all Shares subject to any Stock Grant or Stock-Based Award that remained subject to forfeiture provisions or as to which the Company had a repurchase right on the date of termination shall be immediately forfeited to the Company.</w:t>
      </w:r>
    </w:p>
    <w:p>
      <w:pPr>
        <w:spacing w:after="0" w:line="181" w:lineRule="exact"/>
        <w:rPr>
          <w:rFonts w:ascii="Times New Roman" w:cs="Times New Roman" w:eastAsia="Times New Roman" w:hAnsi="Times New Roman"/>
          <w:sz w:val="22"/>
          <w:szCs w:val="22"/>
          <w:color w:val="auto"/>
        </w:rPr>
      </w:pPr>
    </w:p>
    <w:p>
      <w:pPr>
        <w:ind w:left="660" w:right="1160" w:hanging="652"/>
        <w:spacing w:after="0" w:line="271" w:lineRule="auto"/>
        <w:tabs>
          <w:tab w:leader="none" w:pos="6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STOCK GRANTS AND STOCK-BASED AWARDS OF TERMINATION OF SERVICE FOR DISABILITY</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Except as otherwise provided in a Participant’s Agreement, the following rules apply if a Participant ceases to be an Employee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Disability as would have lapsed had the Participant not become Disabled. The proration shall be based upon the number of days accrued prior to the date of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56" w:name="page57"/>
    <w:bookmarkEnd w:id="56"/>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Administrator shall make the determination both as to whether Disability has occurred and the date of its occurrence (unless a procedure for such determination is set forth in another agreement between the Company and such Participant, in which case such procedure shall be used for such determination). If requested, the Participant shall be examined by a physician selected or approved by the Administrator, the cost of which examination shall be paid for by the Company.</w:t>
      </w:r>
    </w:p>
    <w:p>
      <w:pPr>
        <w:spacing w:after="0" w:line="176"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ON STOCK GRANTS AND STOCK-BASED AWARDS OF DEATH WHILE AN EMPLOYEE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Except as otherwise provided in a Participant’s Agreement, the following rules apply in the event of the death of a Participant while the Participant is an Employee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death as would have lapsed had the Participant not died. The proration shall be based upon the number of days accrued prior to the Participant’s date of death.</w:t>
      </w:r>
    </w:p>
    <w:p>
      <w:pPr>
        <w:spacing w:after="0" w:line="169" w:lineRule="exact"/>
        <w:rPr>
          <w:sz w:val="20"/>
          <w:szCs w:val="20"/>
          <w:color w:val="auto"/>
        </w:rPr>
      </w:pPr>
    </w:p>
    <w:p>
      <w:pPr>
        <w:ind w:firstLine="656"/>
        <w:spacing w:after="0" w:line="271" w:lineRule="auto"/>
        <w:tabs>
          <w:tab w:leader="none" w:pos="129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discretion of the Administrator, the Company shall have received an opinion of its counsel that the Shares may be issued in compliance with the Securities Act without registration thereunder.</w:t>
      </w:r>
    </w:p>
    <w:p>
      <w:pPr>
        <w:spacing w:after="0" w:line="157"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 OR LIQUIDATION OF THE COMPANY</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dissolution or liquidation of the Company, all Options granted under this Plan which as of such date shall not</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 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86"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Upon the occurrence of any of the following events, a Participant’s rights with respect to any Stock Right granted to such Participant hereunder shall be adjusted as hereinafter provided, unless otherwise specifically provided in a Participant’s Agreement.</w:t>
      </w:r>
    </w:p>
    <w:p>
      <w:pPr>
        <w:spacing w:after="0" w:line="167"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with respect to Shares of Common Stock.</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59"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57" w:name="page58"/>
    <w:bookmarkEnd w:id="57"/>
    <w:p>
      <w:pPr>
        <w:jc w:val="both"/>
        <w:ind w:firstLine="656"/>
        <w:spacing w:after="0" w:line="249"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(1) the shares of Common Stock shall be subdivided or combined into a greater or smaller number of shares or if the Company shall issue any shares of Common Stock as a stock dividend on its outstanding Common Stock, or (2) additional shares or new or different shares or other securities of the Company or other non-cash assets are distributed with respect to such shares of Common Stock, each Stock Right and the number of shares of Common Stock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Paragraphs 3(a), 3(b), 3(d) and 4(c) shall also be proportionately adjusted upon the occurrence of such events.</w:t>
      </w:r>
    </w:p>
    <w:p>
      <w:pPr>
        <w:spacing w:after="0" w:line="195"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Administrator may also make adjustments of the type described in Paragraph 24(a) above to take into account distributions to stockholders other than those provided for in Paragraphs 24(b) below, or any other event, if the Administrator determines that adjustments are appropriate to avoid distortion in the operation of the Plan or any Award, having due regard for the requirements of Section 409A, to the extent applicable.</w:t>
      </w:r>
    </w:p>
    <w:p>
      <w:pPr>
        <w:spacing w:after="0" w:line="179" w:lineRule="exact"/>
        <w:rPr>
          <w:rFonts w:ascii="Times New Roman" w:cs="Times New Roman" w:eastAsia="Times New Roman" w:hAnsi="Times New Roman"/>
          <w:sz w:val="22"/>
          <w:szCs w:val="22"/>
          <w:color w:val="auto"/>
        </w:rPr>
      </w:pPr>
    </w:p>
    <w:p>
      <w:pPr>
        <w:ind w:right="20" w:firstLine="656"/>
        <w:spacing w:after="0" w:line="271"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in the Plan to Shares will be construed to include any stock or securities resulting from an adjustment pursuant to this Paragraph 24(a).</w:t>
      </w:r>
    </w:p>
    <w:p>
      <w:pPr>
        <w:spacing w:after="0" w:line="171"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Transactions</w:t>
      </w:r>
      <w:r>
        <w:rPr>
          <w:rFonts w:ascii="Times New Roman" w:cs="Times New Roman" w:eastAsia="Times New Roman" w:hAnsi="Times New Roman"/>
          <w:sz w:val="22"/>
          <w:szCs w:val="22"/>
          <w:color w:val="auto"/>
        </w:rPr>
        <w:t xml:space="preserve">. If the Company is to be consolidated with or acquired by another entity in a Corporate Transaction, the Administrator or the board of directors of any entity assuming the obligations of the Company hereunder (the “Successor Board”), may, as to outstanding Options, take any of the following actions: (i) make appropriate provision for the continuation of such Options by substituting on an equitable basis for the Shares then subject to such Options either the consideration payable with respect to the outstanding shares of Common Stock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Stock into which such Option would have been exercisable (either (A) to the extent then exercisable or, (B) at the discretion of the Administrator, any such Options being made partially or fully exercisable for purposes of this Subparagraph) </w:t>
      </w:r>
      <w:r>
        <w:rPr>
          <w:rFonts w:ascii="Times New Roman" w:cs="Times New Roman" w:eastAsia="Times New Roman" w:hAnsi="Times New Roman"/>
          <w:sz w:val="22"/>
          <w:szCs w:val="22"/>
          <w:u w:val="single" w:color="auto"/>
          <w:color w:val="auto"/>
        </w:rPr>
        <w:t>less the aggregate</w:t>
      </w:r>
      <w:r>
        <w:rPr>
          <w:rFonts w:ascii="Times New Roman" w:cs="Times New Roman" w:eastAsia="Times New Roman" w:hAnsi="Times New Roman"/>
          <w:sz w:val="22"/>
          <w:szCs w:val="22"/>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Stock, such Option may be cancelled with no payment due hereunder or otherwise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58" w:name="page59"/>
    <w:bookmarkEnd w:id="58"/>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With respect to outstanding Stock Grants or Stock-Based Awards, the Administrator or the Successor Board, shall make appropriate provision for the continuation of such Stock Grants or Stock-Based Awards on the same terms and conditions by substituting on an equitable basis for the Shares then subject to such Stock Grants or Stock-Based Awards either the consideration payable with respect to the outstanding Shares of Common Stock in connection with the Corporate Transaction or securities of any successor or acquiring entity. In lieu of the foregoing, in connection with any Corporate Transaction, the Administrator may provide that each outstanding Stock Grant or Stock-Based Award shall be terminated in exchange for payment of an amount equal to the consideration payable upon consummation of such Corporate Transaction to a holder of the number of shares of Common Stock comprising such Stock Grant or Stock-Based Award (to the extent such Stock Grant or Stock-Based Award is no longer subject to any forfeiture or repurchase rights then in effect or, at the discretion of the Administrator, all forfeiture and repurchase rights being waived). For the avoidance of doubt, if the purchase or base price of a Stock Grant or Stock-Based Award or portion thereof is equal to or greater than the Fair Market Value of one Share of Common Stock, such Stock Grant or Stock-Based Award, as applicable, may be cancelled with no payment due hereunder or otherwise in respect thereof.</w:t>
      </w:r>
    </w:p>
    <w:p>
      <w:pPr>
        <w:spacing w:after="0" w:line="17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In taking any of the actions permitted under this Paragraph 24(b), the Administrator shall not be obligated by the Plan to treat all Stock Rights, all Stock Rights held by a Participant, or all Stock Rights of the same type, identically.</w:t>
      </w:r>
    </w:p>
    <w:p>
      <w:pPr>
        <w:spacing w:after="0" w:line="171" w:lineRule="exact"/>
        <w:rPr>
          <w:sz w:val="20"/>
          <w:szCs w:val="20"/>
          <w:color w:val="auto"/>
        </w:rPr>
      </w:pPr>
    </w:p>
    <w:p>
      <w:pPr>
        <w:jc w:val="both"/>
        <w:ind w:firstLine="656"/>
        <w:spacing w:after="0" w:line="251" w:lineRule="auto"/>
        <w:tabs>
          <w:tab w:leader="none" w:pos="129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Recapitalization or Reorganization</w:t>
      </w:r>
      <w:r>
        <w:rPr>
          <w:rFonts w:ascii="Times New Roman" w:cs="Times New Roman" w:eastAsia="Times New Roman" w:hAnsi="Times New Roman"/>
          <w:sz w:val="22"/>
          <w:szCs w:val="22"/>
          <w:color w:val="auto"/>
        </w:rPr>
        <w:t>. In the event of a recapitalization or reorganization of the Company other than a Corporate Transaction pursuant to which securities of the Company or of another corporation are issued with respect to the outstanding shares of Common Stock,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to Stock-Based Awards</w:t>
      </w:r>
      <w:r>
        <w:rPr>
          <w:rFonts w:ascii="Times New Roman" w:cs="Times New Roman" w:eastAsia="Times New Roman" w:hAnsi="Times New Roman"/>
          <w:sz w:val="22"/>
          <w:szCs w:val="22"/>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24, including, but not limited to the effect of any, Corporate Transaction and, subject to Paragraph 4, its determination shall be conclusive.</w:t>
      </w:r>
    </w:p>
    <w:p>
      <w:pPr>
        <w:spacing w:after="0" w:line="178"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Awards upon Consummation of a Corporate Transaction</w:t>
      </w:r>
      <w:r>
        <w:rPr>
          <w:rFonts w:ascii="Times New Roman" w:cs="Times New Roman" w:eastAsia="Times New Roman" w:hAnsi="Times New Roman"/>
          <w:sz w:val="22"/>
          <w:szCs w:val="22"/>
          <w:color w:val="auto"/>
        </w:rPr>
        <w:t>. Except as the Administrator may otherwise determine, each Stock Right will automatically terminate (and in the case of outstanding Shares of restricted Common Stock, will automatically be forfeited) immediately upon the consummation of a Corporate Transaction, other than (i) any award that is assumed, continued or substituted pursuant to Paragraph 24(b) above, and (ii) any cash award that by its terms, or as a result of action taken by the Administrator, continues following the consummation of the Corporate Transaction.</w:t>
      </w:r>
    </w:p>
    <w:p>
      <w:pPr>
        <w:spacing w:after="0" w:line="19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ISSUANCES OF SECURITIES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59" w:name="page60"/>
    <w:bookmarkEnd w:id="59"/>
    <w:p>
      <w:pPr>
        <w:jc w:val="both"/>
        <w:ind w:firstLine="656"/>
        <w:spacing w:after="0" w:line="253" w:lineRule="auto"/>
        <w:tabs>
          <w:tab w:leader="none" w:pos="1293"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78"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of 1933, as amended, or any applicable 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18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FRACTIONAL SHARES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No fractional shares shall be issued under the Plan and the person exercising a Stock Right shall receive from the Company cash in lieu of such fractional shares equal to the Fair Market Value thereof.</w:t>
      </w:r>
    </w:p>
    <w:p>
      <w:pPr>
        <w:spacing w:after="0" w:line="144"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In the event that any federal, state, or local income taxes, employment taxes, Federal Insurance Contributions Act withholdings or other amounts are required by applicable law or governmental regulation to be withheld from the Participant’s salary, wages or other remuneration in connection with the issuance of a Stock Right or Shares under the Plan or for any other reason required by law, the Company may withhold from the Participant’s compensation, if any,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Stock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If the Fair Market Value of the shares withheld is less than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60" w:name="page61"/>
    <w:bookmarkEnd w:id="60"/>
    <w:p>
      <w:pPr>
        <w:spacing w:after="0" w:line="271" w:lineRule="auto"/>
        <w:rPr>
          <w:sz w:val="20"/>
          <w:szCs w:val="20"/>
          <w:color w:val="auto"/>
        </w:rPr>
      </w:pPr>
      <w:r>
        <w:rPr>
          <w:rFonts w:ascii="Times New Roman" w:cs="Times New Roman" w:eastAsia="Times New Roman" w:hAnsi="Times New Roman"/>
          <w:sz w:val="22"/>
          <w:szCs w:val="22"/>
          <w:color w:val="auto"/>
        </w:rPr>
        <w:t>payroll withholdings required, the Participant may be required to advance the difference in cash to the Company or the Affiliate employer.</w:t>
      </w:r>
    </w:p>
    <w:p>
      <w:pPr>
        <w:spacing w:after="0" w:line="158" w:lineRule="exact"/>
        <w:rPr>
          <w:sz w:val="20"/>
          <w:szCs w:val="20"/>
          <w:color w:val="auto"/>
        </w:rPr>
      </w:pPr>
    </w:p>
    <w:p>
      <w:pPr>
        <w:ind w:left="660" w:hanging="652"/>
        <w:spacing w:after="0"/>
        <w:tabs>
          <w:tab w:leader="none" w:pos="6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THE PLAN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Plan will terminate on May 8, 2033, the date which is ten years from the date of its adoption by the Board of Directors. The Plan may be terminated at an earlier date by vote of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79"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OF THE PLAN AND AGREEMENTS</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Plan may be amended by the Board of Directors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the Shares issuable under the Plan for listing on any national securities exchange or quotation in any national automated quotation system of securities dealers. Any modification or amendment of the Plan shall not, 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 Nothing in this Paragraph 29 shall limit the Administrator’s authority to take any action permitted pursuant to Paragraph 24.</w:t>
      </w:r>
    </w:p>
    <w:p>
      <w:pPr>
        <w:spacing w:after="0" w:line="201" w:lineRule="exact"/>
        <w:rPr>
          <w:sz w:val="20"/>
          <w:szCs w:val="20"/>
          <w:color w:val="auto"/>
        </w:rPr>
      </w:pPr>
    </w:p>
    <w:p>
      <w:pPr>
        <w:ind w:left="660" w:hanging="652"/>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OR OTHER RELATIONSHIP</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Nothing in this Plan or any Agreement shall be deemed to prevent the Company or an Affiliate from terminating the employment, status of a Participant, nor to prevent a Participant from terminating his or her own employment status or to give any Participant a right to be retained in employment or other service by the Company or any Affiliate for any period of time.</w:t>
      </w:r>
    </w:p>
    <w:p>
      <w:pPr>
        <w:spacing w:after="0" w:line="173" w:lineRule="exact"/>
        <w:rPr>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Company intends that the Plan and any Awards granted hereunder be exempt from or comply with Section 409A, to the extent applicable. Any ambiguities in the Plan or any Award shall be construed to effect the intent as described in this Paragraph 31.</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If a Participant is a “specified employee” as defined in Section 409A (and as applied according to procedures of the Company and its Affiliates) as of his or her separation from service, to the extent any payment under this Plan or pursuant to an Award constitutes non-exempt deferred compensation under Section 409A that is being paid by reason of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22"/>
          <w:szCs w:val="22"/>
          <w:color w:val="auto"/>
        </w:rPr>
        <w:t>from service, no payments due under this Plan or pursuant to an Award may be made until the earlier of: (i) the first day of the seventh month following the Participant’s separation from service, or (ii) the Participant’s date of death; provided, however, that any payments delayed during this six-month period shall be paid in the aggregate in a lump sum, without interest, on the first day of the seventh month following the Participant’s separation from service.</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Administrator shall administer the Plan with a view toward ensuring that Awards under the Plan that are subject to Section 409A comply with the requirements thereof and that Options under the Plan be exempt from the requirements of Section 409A, but neither the Administrator nor any member of the Board of Directors, nor the Company nor any of its Affiliates, nor any other person acting hereunder on behalf of the Company, the Administrator or the Board of Directors shall be liable to a Participant or any Survivor by reason of the acceleration of any income, or the imposition of any additional tax or penalty, with respect to any Award, whether by reason of a failure to satisfy the requirements of Section 409A or otherwise.</w:t>
      </w:r>
    </w:p>
    <w:p>
      <w:pPr>
        <w:spacing w:after="0" w:line="181"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INDEMNITY</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or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181" w:lineRule="exact"/>
        <w:rPr>
          <w:sz w:val="20"/>
          <w:szCs w:val="20"/>
          <w:color w:val="auto"/>
        </w:rPr>
      </w:pPr>
    </w:p>
    <w:p>
      <w:pPr>
        <w:ind w:left="660" w:hanging="652"/>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167"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right="80" w:firstLine="648"/>
        <w:spacing w:after="0" w:line="250" w:lineRule="auto"/>
        <w:rPr>
          <w:sz w:val="20"/>
          <w:szCs w:val="20"/>
          <w:color w:val="auto"/>
        </w:rPr>
      </w:pPr>
      <w:r>
        <w:rPr>
          <w:rFonts w:ascii="Times New Roman" w:cs="Times New Roman" w:eastAsia="Times New Roman" w:hAnsi="Times New Roman"/>
          <w:sz w:val="22"/>
          <w:szCs w:val="22"/>
          <w:color w:val="auto"/>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62" w:name="page63"/>
    <w:bookmarkEnd w:id="62"/>
    <w:p>
      <w:pPr>
        <w:ind w:right="180"/>
        <w:spacing w:after="0" w:line="257" w:lineRule="auto"/>
        <w:rPr>
          <w:sz w:val="20"/>
          <w:szCs w:val="20"/>
          <w:color w:val="auto"/>
        </w:rPr>
      </w:pPr>
      <w:r>
        <w:rPr>
          <w:rFonts w:ascii="Times New Roman" w:cs="Times New Roman" w:eastAsia="Times New Roman" w:hAnsi="Times New Roman"/>
          <w:sz w:val="22"/>
          <w:szCs w:val="22"/>
          <w:color w:val="auto"/>
        </w:rPr>
        <w:t>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186"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UNFUNDED OBLIGATIONS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pacing w:after="0" w:line="173" w:lineRule="exact"/>
        <w:rPr>
          <w:sz w:val="20"/>
          <w:szCs w:val="20"/>
          <w:color w:val="auto"/>
        </w:rPr>
      </w:pPr>
    </w:p>
    <w:p>
      <w:pPr>
        <w:ind w:left="660" w:hanging="652"/>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shall be construed and enforced in accordance with the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00"/>
          </w:cols>
          <w:pgMar w:left="320" w:top="1422" w:right="37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b w:val="1"/>
          <w:bCs w:val="1"/>
          <w:color w:val="auto"/>
        </w:rPr>
        <w:t>Exhibit 10.3.1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QUANTUM-SI INCORPORATED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Restricted Stock Unit Award Grant Notice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Restricted Stock Unit Grant under the Company’s</w:t>
      </w:r>
    </w:p>
    <w:p>
      <w:pPr>
        <w:jc w:val="center"/>
        <w:spacing w:after="0"/>
        <w:rPr>
          <w:sz w:val="20"/>
          <w:szCs w:val="20"/>
          <w:color w:val="auto"/>
        </w:rPr>
      </w:pPr>
      <w:r>
        <w:rPr>
          <w:rFonts w:ascii="Times New Roman" w:cs="Times New Roman" w:eastAsia="Times New Roman" w:hAnsi="Times New Roman"/>
          <w:sz w:val="22"/>
          <w:szCs w:val="22"/>
          <w:color w:val="auto"/>
        </w:rPr>
        <w:t>2023 Inducement Equity Incentive Plan</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Name:</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Grant Number:</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Grant Date:</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Grant Type:</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Grant Shares:</w:t>
      </w:r>
    </w:p>
    <w:p>
      <w:pPr>
        <w:sectPr>
          <w:pgSz w:w="11900" w:h="16838" w:orient="portrait"/>
          <w:cols w:equalWidth="0" w:num="1">
            <w:col w:w="11240"/>
          </w:cols>
          <w:pgMar w:left="320" w:top="356" w:right="339" w:bottom="1440" w:gutter="0" w:footer="0" w:header="0"/>
        </w:sectPr>
      </w:pP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Vesting of Award:</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Restricted Stock Unit Award shall vest as follows provided the Participant is an Employee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 or of an Affiliate on the applicable vesting date:</w:t>
      </w:r>
    </w:p>
    <w:p>
      <w:pPr>
        <w:spacing w:after="0" w:line="200" w:lineRule="exact"/>
        <w:rPr>
          <w:sz w:val="20"/>
          <w:szCs w:val="20"/>
          <w:color w:val="auto"/>
        </w:rPr>
      </w:pPr>
    </w:p>
    <w:p>
      <w:pPr>
        <w:sectPr>
          <w:pgSz w:w="11900" w:h="16838" w:orient="portrait"/>
          <w:cols w:equalWidth="0" w:num="2">
            <w:col w:w="1580" w:space="400"/>
            <w:col w:w="9260"/>
          </w:cols>
          <w:pgMar w:left="320" w:top="356" w:right="339" w:bottom="1440" w:gutter="0" w:footer="0" w:header="0"/>
          <w:type w:val="continuous"/>
        </w:sectPr>
      </w:pPr>
    </w:p>
    <w:p>
      <w:pPr>
        <w:spacing w:after="0" w:line="360"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21"/>
          <w:szCs w:val="21"/>
          <w:color w:val="auto"/>
        </w:rPr>
        <w:t>[Vesting Schedule Description]</w:t>
      </w:r>
    </w:p>
    <w:p>
      <w:pPr>
        <w:sectPr>
          <w:pgSz w:w="11900" w:h="16838" w:orient="portrait"/>
          <w:cols w:equalWidth="0" w:num="1">
            <w:col w:w="11240"/>
          </w:cols>
          <w:pgMar w:left="320" w:top="356"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22"/>
          <w:szCs w:val="22"/>
          <w:color w:val="auto"/>
        </w:rPr>
        <w:t>The Company and the Participant acknowledge receipt of this Restricted Stock Unit Award Grant Notice and agree to the terms of the Restricted Stock Unit Agreement attached hereto and incorporated by reference herein, the Company’s 2023 Inducement Equity Incentive Plan and the terms of this Restricted Stock Unit Award as set forth above.</w:t>
      </w:r>
    </w:p>
    <w:p>
      <w:pPr>
        <w:spacing w:after="0" w:line="1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QUANTUM-SI INCORPORATED</w:t>
      </w: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6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4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Participant</w:t>
      </w:r>
    </w:p>
    <w:p>
      <w:pPr>
        <w:sectPr>
          <w:pgSz w:w="11900" w:h="16838" w:orient="portrait"/>
          <w:cols w:equalWidth="0" w:num="1">
            <w:col w:w="11240"/>
          </w:cols>
          <w:pgMar w:left="320" w:top="356" w:right="339" w:bottom="1440" w:gutter="0" w:footer="0" w:header="0"/>
          <w:type w:val="continuous"/>
        </w:sectPr>
      </w:pPr>
    </w:p>
    <w:bookmarkStart w:id="64" w:name="page65"/>
    <w:bookmarkEnd w:id="64"/>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QUANTUM-SI INCORPORATED</w:t>
      </w:r>
    </w:p>
    <w:p>
      <w:pPr>
        <w:spacing w:after="0" w:line="23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u w:val="single" w:color="auto"/>
          <w:color w:val="auto"/>
        </w:rPr>
        <w:t>RESTRICTED STOCK UNIT AGREEMENT</w:t>
      </w:r>
      <w:r>
        <w:rPr>
          <w:rFonts w:ascii="Times New Roman" w:cs="Times New Roman" w:eastAsia="Times New Roman" w:hAnsi="Times New Roman"/>
          <w:sz w:val="22"/>
          <w:szCs w:val="22"/>
          <w:b w:val="1"/>
          <w:bCs w:val="1"/>
          <w:color w:val="auto"/>
        </w:rPr>
        <w:t xml:space="preserve"> –</w:t>
      </w:r>
    </w:p>
    <w:p>
      <w:pPr>
        <w:spacing w:after="0" w:line="1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u w:val="single" w:color="auto"/>
          <w:color w:val="auto"/>
        </w:rPr>
        <w:t>INCORPORATED TERMS AND CONDITIONS</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AGREEMENT made as of the date of grant set forth in the Restricted Stock Unit Award Grant Notice between Quantum-Si Incorporated (the “Company”), a Delaware corporation, and the individual whose name appears on the Restricted Stock Unit Award Grant Notice (the “Participant”).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has adopted the 2023 Inducement Equity Incentive Plan (the “Plan”), to promote the interests of the Company by providing an incentive for Employees of the Company and its Affiliates;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pursuant to the provisions of the Plan, the Company desires to grant to the Participant restricted stock units (“RSUs”) related to the Company’s Class A common stock, $0.0001 par value per share (“Common Stock”), in accordance with the provisions of the Plan, all on the terms and conditions hereinafter set forth;</w:t>
      </w:r>
    </w:p>
    <w:p>
      <w:pPr>
        <w:spacing w:after="0" w:line="2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and the Participant understand and agree that the RSUs shall be granted in compliance with Nasdaq Listing Rule 5635(c)(4) as a material inducement to the Participant entering into employment with the Company; and</w:t>
      </w:r>
    </w:p>
    <w:p>
      <w:pPr>
        <w:spacing w:after="0" w:line="185"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22"/>
          <w:szCs w:val="22"/>
          <w:color w:val="auto"/>
        </w:rPr>
        <w:t>WHEREAS, the Company and the Participant understand and agree that any terms used and not defined herein have the meanings ascribed to such terms in the Plan.</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1"/>
          <w:szCs w:val="21"/>
          <w:color w:val="auto"/>
        </w:rPr>
        <w:t>NOW, THEREFORE, in consideration of the promises and the mutual covenants contained herein and for other good and valuable consideration, the receipt and sufficiency of which are hereby acknowledged, the parties hereto hereby agree as follows:</w:t>
      </w:r>
    </w:p>
    <w:p>
      <w:pPr>
        <w:spacing w:after="0" w:line="148" w:lineRule="exact"/>
        <w:rPr>
          <w:sz w:val="20"/>
          <w:szCs w:val="20"/>
          <w:color w:val="auto"/>
        </w:rPr>
      </w:pPr>
    </w:p>
    <w:p>
      <w:pPr>
        <w:jc w:val="both"/>
        <w:ind w:left="660" w:hanging="328"/>
        <w:spacing w:after="0" w:line="255" w:lineRule="auto"/>
        <w:tabs>
          <w:tab w:leader="none" w:pos="660"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Grant of Award</w:t>
      </w:r>
      <w:r>
        <w:rPr>
          <w:rFonts w:ascii="Times New Roman" w:cs="Times New Roman" w:eastAsia="Times New Roman" w:hAnsi="Times New Roman"/>
          <w:sz w:val="21"/>
          <w:szCs w:val="21"/>
          <w:color w:val="auto"/>
        </w:rPr>
        <w:t>. The Company hereby grants to the Participant an award for the number of RSUs set forth in the Restricted Stock Unit Award Grant Notice (the “Award”). Each RSU represents a contingent entitlement of the Participant to receive one share of Common Stock, on the terms and conditions and subject to all the limitations set forth herein and in the Plan, which is incorporated herein by reference. The Participant acknowledges receipt of a copy of the Plan.</w:t>
      </w:r>
    </w:p>
    <w:p>
      <w:pPr>
        <w:spacing w:after="0" w:line="188"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of Award</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300" w:hanging="320"/>
        <w:spacing w:after="0" w:line="251" w:lineRule="auto"/>
        <w:tabs>
          <w:tab w:leader="none" w:pos="129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terms and conditions set forth in this Agreement and the Plan, the Award granted hereby shall vest as set forth in the Restricted Stock Unit Award Grant Notice and is subject to the other terms and conditions of this Agreement and the Plan. On each vesting date set forth in the Restricted Stock Unit Award Grant Notice, the Participant shall be entitled to receive such number of shares of Common Stock equivalent to the number of RSUs as set forth in the Restricted Stock Unit Award Grant Notice provided that the Participant is providing service</w:t>
      </w:r>
    </w:p>
    <w:p>
      <w:pPr>
        <w:sectPr>
          <w:pgSz w:w="11900" w:h="16838" w:orient="portrait"/>
          <w:cols w:equalWidth="0" w:num="1">
            <w:col w:w="11240"/>
          </w:cols>
          <w:pgMar w:left="320" w:top="1440" w:right="339" w:bottom="1440" w:gutter="0" w:footer="0" w:header="0"/>
        </w:sectPr>
      </w:pPr>
    </w:p>
    <w:bookmarkStart w:id="65" w:name="page66"/>
    <w:bookmarkEnd w:id="65"/>
    <w:p>
      <w:pPr>
        <w:jc w:val="both"/>
        <w:ind w:left="968"/>
        <w:spacing w:after="0" w:line="244" w:lineRule="auto"/>
        <w:rPr>
          <w:sz w:val="20"/>
          <w:szCs w:val="20"/>
          <w:color w:val="auto"/>
        </w:rPr>
      </w:pPr>
      <w:r>
        <w:rPr>
          <w:rFonts w:ascii="Times New Roman" w:cs="Times New Roman" w:eastAsia="Times New Roman" w:hAnsi="Times New Roman"/>
          <w:sz w:val="22"/>
          <w:szCs w:val="22"/>
          <w:color w:val="auto"/>
        </w:rPr>
        <w:t>to the Company or an Affiliate on such vesting date. Such shares of Common Stock shall thereafter be delivered by the Company to the Participant within five business days of the applicable vesting date and in accordance with this Agreement and the Plan.</w:t>
      </w:r>
    </w:p>
    <w:p>
      <w:pPr>
        <w:spacing w:after="0" w:line="200" w:lineRule="exact"/>
        <w:rPr>
          <w:sz w:val="20"/>
          <w:szCs w:val="20"/>
          <w:color w:val="auto"/>
        </w:rPr>
      </w:pPr>
    </w:p>
    <w:p>
      <w:pPr>
        <w:ind w:left="968" w:hanging="320"/>
        <w:spacing w:after="0" w:line="235" w:lineRule="auto"/>
        <w:tabs>
          <w:tab w:leader="none" w:pos="963"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in this Agreement, if the Participant ceases to be providing services for any reason to the Company or an Affiliate (the “Termination”) prior to a vesting date set forth in the Restricted Stock Unit Award Grant Notice, then as of the date on which the Participant’s employment or service terminates, all unvested RSUs shall immediately be forfeited to the Company and this Agreement shall terminate and be of no further force or effect.</w:t>
      </w:r>
    </w:p>
    <w:p>
      <w:pPr>
        <w:spacing w:after="0" w:line="205" w:lineRule="exact"/>
        <w:rPr>
          <w:rFonts w:ascii="Times New Roman" w:cs="Times New Roman" w:eastAsia="Times New Roman" w:hAnsi="Times New Roman"/>
          <w:sz w:val="22"/>
          <w:szCs w:val="22"/>
          <w:color w:val="auto"/>
        </w:rPr>
      </w:pPr>
    </w:p>
    <w:p>
      <w:pPr>
        <w:jc w:val="both"/>
        <w:ind w:left="328" w:hanging="328"/>
        <w:spacing w:after="0" w:line="232" w:lineRule="auto"/>
        <w:tabs>
          <w:tab w:leader="none" w:pos="3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Prohibitions on Transfer and Sale</w:t>
      </w:r>
      <w:r>
        <w:rPr>
          <w:rFonts w:ascii="Times New Roman" w:cs="Times New Roman" w:eastAsia="Times New Roman" w:hAnsi="Times New Roman"/>
          <w:sz w:val="22"/>
          <w:szCs w:val="22"/>
          <w:color w:val="auto"/>
        </w:rPr>
        <w:t>. This Award (including any additional RSUs received by the Participant as a result of stock dividends, stock splits or any other similar transaction affecting the Company’s securities without receipt of consideration) shall not be transferable by the Participant otherwise than (i) by will or by the laws of descent and distribution, or (ii) pursuant to a qualified domestic relations order as defined by the Internal Revenue Code or Title I of the Employee Retirement Income Security Act or the rules thereunder. Except as provided in the previous sentence, the shares of Common Stock to be issued pursuant to this Agreement shall be issued, during the Participant’s lifetime, only to the Participant (or, in the event of legal incapacity or incompetence, to the Participant’s guardian or representative). This Award shall not be assigned, pledged or hypothecated in any way (whether by operation of law or otherwise) and shall not be subject to execution, attachment or similar process. Any attempted transfer, assignment, pledge, hypothecation or other disposition of this Award or of any rights granted hereunder contrary to the provisions of this Section 3, or the levy of any attachment or similar process upon this Award shall be null and void.</w:t>
      </w:r>
    </w:p>
    <w:p>
      <w:pPr>
        <w:spacing w:after="0" w:line="212" w:lineRule="exact"/>
        <w:rPr>
          <w:rFonts w:ascii="Times New Roman" w:cs="Times New Roman" w:eastAsia="Times New Roman" w:hAnsi="Times New Roman"/>
          <w:sz w:val="22"/>
          <w:szCs w:val="22"/>
          <w:color w:val="auto"/>
        </w:rPr>
      </w:pPr>
    </w:p>
    <w:p>
      <w:pPr>
        <w:jc w:val="both"/>
        <w:ind w:left="328" w:hanging="328"/>
        <w:spacing w:after="0" w:line="239" w:lineRule="auto"/>
        <w:tabs>
          <w:tab w:leader="none" w:pos="3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w:t>
      </w:r>
      <w:r>
        <w:rPr>
          <w:rFonts w:ascii="Times New Roman" w:cs="Times New Roman" w:eastAsia="Times New Roman" w:hAnsi="Times New Roman"/>
          <w:sz w:val="22"/>
          <w:szCs w:val="22"/>
          <w:color w:val="auto"/>
        </w:rPr>
        <w:t>. The Plan contains provisions covering the treatment of RSUs and shares of Common Stock in a number of contingencies such as stock splits. Provisions in the Plan for adjustment with respect to this Award and the related provisions with respect to successors to the business of the Company are hereby made applicable hereunder and are incorporated herein by reference.</w:t>
      </w:r>
    </w:p>
    <w:p>
      <w:pPr>
        <w:spacing w:after="0" w:line="207" w:lineRule="exact"/>
        <w:rPr>
          <w:rFonts w:ascii="Times New Roman" w:cs="Times New Roman" w:eastAsia="Times New Roman" w:hAnsi="Times New Roman"/>
          <w:sz w:val="22"/>
          <w:szCs w:val="22"/>
          <w:color w:val="auto"/>
        </w:rPr>
      </w:pPr>
    </w:p>
    <w:p>
      <w:pPr>
        <w:jc w:val="both"/>
        <w:ind w:left="328" w:hanging="328"/>
        <w:spacing w:after="0" w:line="232" w:lineRule="auto"/>
        <w:tabs>
          <w:tab w:leader="none" w:pos="32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Securities Law Compliance</w:t>
      </w:r>
      <w:r>
        <w:rPr>
          <w:rFonts w:ascii="Times New Roman" w:cs="Times New Roman" w:eastAsia="Times New Roman" w:hAnsi="Times New Roman"/>
          <w:sz w:val="22"/>
          <w:szCs w:val="22"/>
          <w:color w:val="auto"/>
        </w:rPr>
        <w:t>. The Participant specifically acknowledges and agrees that any sales of shares of Common Stock shall be made in accordance with the requirements of the Securities Act of 1933, as amended. The Company currently has an effective registration statement on file with the Securities and Exchange Commission with respect to the Common Stock to be granted hereunder. The Company intends to maintain this registration statement but has no obligation to do so. If the registration statement ceases to be effective for any reason, Participant will not be able to transfer or sell any of the shares of Common Stock issued to the Participant pursuant to this Agreement unless exemptions from registration or filings under applicable securities laws are available. Furthermore, despite registration, applicable securities laws may restrict the ability of the Participant to sell his or her Common Stock, including due to the Participant’s affiliation with the Company. The Company shall not be obligated to either issue the Common Stock or permit the resale of any shares of Common Stock if such issuance or resale would violate any applicable securities law, rule or regulation.</w:t>
      </w:r>
    </w:p>
    <w:p>
      <w:pPr>
        <w:sectPr>
          <w:pgSz w:w="11900" w:h="16838" w:orient="portrait"/>
          <w:cols w:equalWidth="0" w:num="1">
            <w:col w:w="10908"/>
          </w:cols>
          <w:pgMar w:left="652" w:top="1408" w:right="339" w:bottom="1440" w:gutter="0" w:footer="0" w:header="0"/>
        </w:sectPr>
      </w:pPr>
    </w:p>
    <w:bookmarkStart w:id="66" w:name="page67"/>
    <w:bookmarkEnd w:id="66"/>
    <w:p>
      <w:pPr>
        <w:ind w:left="328" w:right="20" w:hanging="328"/>
        <w:spacing w:after="0" w:line="258" w:lineRule="auto"/>
        <w:tabs>
          <w:tab w:leader="none" w:pos="32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The Participant shall have no right as a stockholder, including voting and dividend rights, with respect to the RSUs subject to this Agreement.</w:t>
      </w:r>
    </w:p>
    <w:p>
      <w:pPr>
        <w:spacing w:after="0" w:line="185" w:lineRule="exact"/>
        <w:rPr>
          <w:rFonts w:ascii="Times New Roman" w:cs="Times New Roman" w:eastAsia="Times New Roman" w:hAnsi="Times New Roman"/>
          <w:sz w:val="22"/>
          <w:szCs w:val="22"/>
          <w:color w:val="auto"/>
        </w:rPr>
      </w:pPr>
    </w:p>
    <w:p>
      <w:pPr>
        <w:jc w:val="both"/>
        <w:ind w:left="328" w:hanging="328"/>
        <w:spacing w:after="0" w:line="239" w:lineRule="auto"/>
        <w:tabs>
          <w:tab w:leader="none" w:pos="32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the Plan</w:t>
      </w:r>
      <w:r>
        <w:rPr>
          <w:rFonts w:ascii="Times New Roman" w:cs="Times New Roman" w:eastAsia="Times New Roman" w:hAnsi="Times New Roman"/>
          <w:sz w:val="22"/>
          <w:szCs w:val="22"/>
          <w:color w:val="auto"/>
        </w:rPr>
        <w:t>. The Participant specifically understands and agrees that the RSUs and the shares of Common Stock to be issued under the Plan will be issued to the Participant pursuant to the Plan, a copy of which Plan the Participant acknowledges he or she has read and understands and by which Plan he or she agrees to be bound. The provisions of the Plan are incorporated herein by reference.</w:t>
      </w:r>
    </w:p>
    <w:p>
      <w:pPr>
        <w:spacing w:after="0" w:line="193" w:lineRule="exact"/>
        <w:rPr>
          <w:rFonts w:ascii="Times New Roman" w:cs="Times New Roman" w:eastAsia="Times New Roman" w:hAnsi="Times New Roman"/>
          <w:sz w:val="22"/>
          <w:szCs w:val="22"/>
          <w:color w:val="auto"/>
        </w:rPr>
      </w:pPr>
    </w:p>
    <w:p>
      <w:pPr>
        <w:jc w:val="both"/>
        <w:ind w:left="328" w:hanging="328"/>
        <w:spacing w:after="0" w:line="235" w:lineRule="auto"/>
        <w:tabs>
          <w:tab w:leader="none" w:pos="32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Liability of the Participant and Payment of Taxes</w:t>
      </w:r>
      <w:r>
        <w:rPr>
          <w:rFonts w:ascii="Times New Roman" w:cs="Times New Roman" w:eastAsia="Times New Roman" w:hAnsi="Times New Roman"/>
          <w:sz w:val="22"/>
          <w:szCs w:val="22"/>
          <w:color w:val="auto"/>
        </w:rPr>
        <w:t>. The Participant acknowledges and agrees that any income or other taxes due from the Participant with respect to this Award or the shares of Common Stock to be issued pursuant to this Agreement or otherwise sold shall be the Participant’s responsibility. Without limiting the foregoing, the Participant agrees that if under applicable law the Participant will owe taxes at each vesting date on the portion of the Award then vested the Company shall be entitled to immediate payment from the Participant of the amount of any tax or other amounts required to be withheld by the Company by applicable law or regulation. Any taxes or other amounts due shall be paid, at the option of the Administrator as follows:</w:t>
      </w:r>
    </w:p>
    <w:p>
      <w:pPr>
        <w:spacing w:after="0" w:line="210" w:lineRule="exact"/>
        <w:rPr>
          <w:rFonts w:ascii="Times New Roman" w:cs="Times New Roman" w:eastAsia="Times New Roman" w:hAnsi="Times New Roman"/>
          <w:sz w:val="22"/>
          <w:szCs w:val="22"/>
          <w:color w:val="auto"/>
        </w:rPr>
      </w:pPr>
    </w:p>
    <w:p>
      <w:pPr>
        <w:jc w:val="both"/>
        <w:ind w:left="968" w:hanging="320"/>
        <w:spacing w:after="0" w:line="234" w:lineRule="auto"/>
        <w:tabs>
          <w:tab w:leader="none" w:pos="965"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reducing the number of shares of Common Stock entitled to be issued to the Participant on the applicable vesting date in an amount equal to the statutory minimum of the Participant’s total tax and other withholding obligations due and payable by the Company. Fractional shares will not be retained to satisfy any portion of the Company’s withholding obligation. Accordingly, the Participant agrees that in the event that the amount of withholding required would result in a fraction of a share being owed, that amount will be satisfied by withholding the fractional amount from the Participant’s paycheck;</w:t>
      </w:r>
    </w:p>
    <w:p>
      <w:pPr>
        <w:spacing w:after="0" w:line="207" w:lineRule="exact"/>
        <w:rPr>
          <w:rFonts w:ascii="Times New Roman" w:cs="Times New Roman" w:eastAsia="Times New Roman" w:hAnsi="Times New Roman"/>
          <w:sz w:val="22"/>
          <w:szCs w:val="22"/>
          <w:color w:val="auto"/>
        </w:rPr>
      </w:pPr>
    </w:p>
    <w:p>
      <w:pPr>
        <w:jc w:val="both"/>
        <w:ind w:left="968" w:hanging="320"/>
        <w:spacing w:after="0" w:line="239" w:lineRule="auto"/>
        <w:tabs>
          <w:tab w:leader="none" w:pos="96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requiring the Participant to deposit with the Company an amount of cash equal to the amount determined by the Company to be required to be withheld with respect to the statutory minimum amount of the Participant’s total tax and other withholding obligations due and payable by the Company or otherwise withholding from the Participant’s paycheck an amount equal to such amounts due and payable by the Company; or</w:t>
      </w:r>
    </w:p>
    <w:p>
      <w:pPr>
        <w:spacing w:after="0" w:line="207" w:lineRule="exact"/>
        <w:rPr>
          <w:rFonts w:ascii="Times New Roman" w:cs="Times New Roman" w:eastAsia="Times New Roman" w:hAnsi="Times New Roman"/>
          <w:sz w:val="22"/>
          <w:szCs w:val="22"/>
          <w:color w:val="auto"/>
        </w:rPr>
      </w:pPr>
    </w:p>
    <w:p>
      <w:pPr>
        <w:jc w:val="both"/>
        <w:ind w:left="968" w:hanging="320"/>
        <w:spacing w:after="0" w:line="232" w:lineRule="auto"/>
        <w:tabs>
          <w:tab w:leader="none" w:pos="965"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requiring the sale by the Participant on the applicable vesting date of such number of shares of Common Stock as the Company instructs a registered broker to sell to satisfy the Company’s withholding obligation, after deduction of the broker’s commission, and the broker shall be required to remit to the Company the cash necessary in order for the Company to satisfy its withholding obligation. Such sales shall be made pursuant to a mandatory “sell-to-cover” program instituted by the Company with no discretion by the Participant with respect to any sale under the “sell-to-cover” program. To the extent the proceeds of such sale exceed the Company’s withholding obligation the Company agrees to pay such excess cash to the Participant as soon as practicable. In addition, if such sale is not sufficient to pay the Company’s withholding obligation the Participant agrees to pay to the Company as soon as practicable, including through additional payroll withholding, the amount of any withholding obligation that is not satisfied</w:t>
      </w:r>
    </w:p>
    <w:p>
      <w:pPr>
        <w:sectPr>
          <w:pgSz w:w="11900" w:h="16838" w:orient="portrait"/>
          <w:cols w:equalWidth="0" w:num="1">
            <w:col w:w="10908"/>
          </w:cols>
          <w:pgMar w:left="652" w:top="1408" w:right="339" w:bottom="1440" w:gutter="0" w:footer="0" w:header="0"/>
        </w:sectPr>
      </w:pPr>
    </w:p>
    <w:bookmarkStart w:id="67" w:name="page68"/>
    <w:bookmarkEnd w:id="67"/>
    <w:p>
      <w:pPr>
        <w:jc w:val="both"/>
        <w:ind w:left="1300"/>
        <w:spacing w:after="0" w:line="251" w:lineRule="auto"/>
        <w:rPr>
          <w:sz w:val="20"/>
          <w:szCs w:val="20"/>
          <w:color w:val="auto"/>
        </w:rPr>
      </w:pPr>
      <w:r>
        <w:rPr>
          <w:rFonts w:ascii="Times New Roman" w:cs="Times New Roman" w:eastAsia="Times New Roman" w:hAnsi="Times New Roman"/>
          <w:sz w:val="21"/>
          <w:szCs w:val="21"/>
          <w:color w:val="auto"/>
        </w:rPr>
        <w:t>by the sale of shares of Common Stock. The Participant agrees to hold the Company and the broker harmless from all costs, damages or expenses relating to any such sale. The Participant acknowledges that the Company and the broker are under no obligation to arrange for such sale at any particular price. In connection with such sale of shares of Common Stock, the Participant shall execute any such documents requested by the broker in order to effectuate the sale of shares of Common Stock and payment of the withholding obligation to the Company.</w:t>
      </w:r>
    </w:p>
    <w:p>
      <w:pPr>
        <w:spacing w:after="0" w:line="19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It is the Company’s intention that the Participant’s tax obligations under this Section 8 shall be satisfied through the procedure of Subsection (c) above, unless the Company provides notice of an alternate procedure under this Section, in its discretion. The Company shall not deliver any shares of Common Stock to the Participant until it is satisfied that all required withholdings have been made.</w:t>
      </w:r>
    </w:p>
    <w:p>
      <w:pPr>
        <w:spacing w:after="0" w:line="206"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Acknowledgements and Authorizations</w:t>
      </w:r>
      <w:r>
        <w:rPr>
          <w:rFonts w:ascii="Times New Roman" w:cs="Times New Roman" w:eastAsia="Times New Roman" w:hAnsi="Times New Roman"/>
          <w:sz w:val="22"/>
          <w:szCs w:val="22"/>
          <w:color w:val="auto"/>
        </w:rPr>
        <w:t>. The Participant acknowledges the following:</w:t>
      </w:r>
    </w:p>
    <w:p>
      <w:pPr>
        <w:spacing w:after="0" w:line="233" w:lineRule="exact"/>
        <w:rPr>
          <w:rFonts w:ascii="Times New Roman" w:cs="Times New Roman" w:eastAsia="Times New Roman" w:hAnsi="Times New Roman"/>
          <w:sz w:val="22"/>
          <w:szCs w:val="22"/>
          <w:color w:val="auto"/>
        </w:rPr>
      </w:pPr>
    </w:p>
    <w:p>
      <w:pPr>
        <w:ind w:left="1300" w:hanging="320"/>
        <w:spacing w:after="0" w:line="258" w:lineRule="auto"/>
        <w:tabs>
          <w:tab w:leader="none" w:pos="1297"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by the Plan or this Award obligated to continue the Participant as an employee of the Company or an Affiliate.</w:t>
      </w:r>
    </w:p>
    <w:p>
      <w:pPr>
        <w:spacing w:after="0" w:line="185"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discretionary in nature and may be suspended or terminated by the Company at any time.</w:t>
      </w:r>
    </w:p>
    <w:p>
      <w:pPr>
        <w:spacing w:after="0" w:line="233" w:lineRule="exact"/>
        <w:rPr>
          <w:rFonts w:ascii="Times New Roman" w:cs="Times New Roman" w:eastAsia="Times New Roman" w:hAnsi="Times New Roman"/>
          <w:sz w:val="22"/>
          <w:szCs w:val="22"/>
          <w:color w:val="auto"/>
        </w:rPr>
      </w:pPr>
    </w:p>
    <w:p>
      <w:pPr>
        <w:ind w:left="1300" w:hanging="320"/>
        <w:spacing w:after="0" w:line="258" w:lineRule="auto"/>
        <w:tabs>
          <w:tab w:leader="none" w:pos="1297"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this Award is considered a one-time benefit and does not create a contractual or other right to receive any other award under the Plan, benefits in lieu of awards or any other benefits in the future.</w:t>
      </w:r>
    </w:p>
    <w:p>
      <w:pPr>
        <w:spacing w:after="0" w:line="185"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29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a voluntary program of the Company and future awards, if any, will be at the sole discretion of the Company, including, but not limited to, the timing of any grant, the amount of any award, vesting provisions and the purchase price, if any.</w:t>
      </w:r>
    </w:p>
    <w:p>
      <w:pPr>
        <w:spacing w:after="0" w:line="205" w:lineRule="exact"/>
        <w:rPr>
          <w:rFonts w:ascii="Times New Roman" w:cs="Times New Roman" w:eastAsia="Times New Roman" w:hAnsi="Times New Roman"/>
          <w:sz w:val="22"/>
          <w:szCs w:val="22"/>
          <w:color w:val="auto"/>
        </w:rPr>
      </w:pPr>
    </w:p>
    <w:p>
      <w:pPr>
        <w:jc w:val="both"/>
        <w:ind w:left="1300" w:hanging="320"/>
        <w:spacing w:after="0" w:line="238" w:lineRule="auto"/>
        <w:tabs>
          <w:tab w:leader="none" w:pos="1297"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value of this Award is an extraordinary item of compensation outside of the scope of the Participant’s employment or contract, if any. As such the Award is not part of normal or expected compensation for purposes of calculating any severance, resignation, redundancy, end of service payments, bonuses, long-service awards, pension or retirement benefits or similar payments. The future value of the shares of Common Stock is unknown and cannot be predicted with certainty.</w:t>
      </w:r>
    </w:p>
    <w:p>
      <w:pPr>
        <w:spacing w:after="0" w:line="203" w:lineRule="exact"/>
        <w:rPr>
          <w:rFonts w:ascii="Times New Roman" w:cs="Times New Roman" w:eastAsia="Times New Roman" w:hAnsi="Times New Roman"/>
          <w:sz w:val="22"/>
          <w:szCs w:val="22"/>
          <w:color w:val="auto"/>
        </w:rPr>
      </w:pPr>
    </w:p>
    <w:p>
      <w:pPr>
        <w:jc w:val="both"/>
        <w:ind w:left="1300" w:hanging="320"/>
        <w:spacing w:after="0" w:line="235" w:lineRule="auto"/>
        <w:tabs>
          <w:tab w:leader="none" w:pos="130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the Award and the administration of the Plan; and (ii) authorizes the Company and each Affiliate to store and transmit such information in electronic form for the purposes set forth in this Agreement.</w:t>
      </w:r>
    </w:p>
    <w:p>
      <w:pPr>
        <w:sectPr>
          <w:pgSz w:w="11900" w:h="16838" w:orient="portrait"/>
          <w:cols w:equalWidth="0" w:num="1">
            <w:col w:w="11240"/>
          </w:cols>
          <w:pgMar w:left="320" w:top="1408" w:right="339" w:bottom="1440" w:gutter="0" w:footer="0" w:header="0"/>
        </w:sectPr>
      </w:pPr>
    </w:p>
    <w:bookmarkStart w:id="68" w:name="page69"/>
    <w:bookmarkEnd w:id="68"/>
    <w:p>
      <w:pPr>
        <w:ind w:left="660" w:hanging="328"/>
        <w:spacing w:after="0" w:line="258" w:lineRule="auto"/>
        <w:tabs>
          <w:tab w:leader="none" w:pos="6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notices required or permitted by the terms of this Agreement or the Plan shall be given by recognized courier service, facsimile, registered or certified mail, return receipt requested, addressed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Quantum-Si Incorporated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 Business Park Drive</w:t>
      </w:r>
    </w:p>
    <w:p>
      <w:pPr>
        <w:spacing w:after="0" w:line="217" w:lineRule="auto"/>
        <w:rPr>
          <w:sz w:val="20"/>
          <w:szCs w:val="20"/>
          <w:color w:val="auto"/>
        </w:rPr>
      </w:pPr>
      <w:r>
        <w:rPr>
          <w:rFonts w:ascii="Times New Roman" w:cs="Times New Roman" w:eastAsia="Times New Roman" w:hAnsi="Times New Roman"/>
          <w:sz w:val="22"/>
          <w:szCs w:val="22"/>
          <w:color w:val="auto"/>
        </w:rPr>
        <w:t>Branford, CT 06405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If to the Participant at the Participant’s most recent address as shown in the employment or stock records of the Company. Any such notice shall be deemed to have been given on the earliest of receipt, one business day following delivery by the sender to a recognized courier service, or three business days following mailing by registered or certified mail.</w:t>
      </w:r>
    </w:p>
    <w:p>
      <w:pPr>
        <w:spacing w:after="0" w:line="200" w:lineRule="exact"/>
        <w:rPr>
          <w:sz w:val="20"/>
          <w:szCs w:val="20"/>
          <w:color w:val="auto"/>
        </w:rPr>
      </w:pPr>
    </w:p>
    <w:p>
      <w:pPr>
        <w:ind w:left="640" w:hanging="308"/>
        <w:spacing w:after="0"/>
        <w:tabs>
          <w:tab w:leader="none" w:pos="64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Assignment and Successors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jc w:val="both"/>
        <w:ind w:left="1300" w:hanging="320"/>
        <w:spacing w:after="0" w:line="244" w:lineRule="auto"/>
        <w:tabs>
          <w:tab w:leader="none" w:pos="1297"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is personal to the Participant and without the prior written consent of the Company shall not be assignable by the Participant otherwise than by will or the laws of descent and distribution. This Agreement shall inure to the benefit of and be enforceable by the Participant’s legal representatives.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shall inure to the benefit of and be binding upon the Company and its successors and assigns.</w:t>
      </w:r>
    </w:p>
    <w:p>
      <w:pPr>
        <w:spacing w:after="0" w:line="233" w:lineRule="exact"/>
        <w:rPr>
          <w:sz w:val="20"/>
          <w:szCs w:val="20"/>
          <w:color w:val="auto"/>
        </w:rPr>
      </w:pPr>
    </w:p>
    <w:p>
      <w:pPr>
        <w:jc w:val="both"/>
        <w:ind w:left="660" w:hanging="328"/>
        <w:spacing w:after="0" w:line="235" w:lineRule="auto"/>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and enforced in accordance with the laws of the State of Delaware, without giving effect to the conflict of law principles thereof. For the purpose of litigating any dispute that arises under this Agreement, whether at law or in equity, the parties hereby consent to exclusive jurisdiction in Connecticut and agree that such litigation will be conducted in the state courts of Connecticut or the federal courts of the United States for the District of Connecticut.</w:t>
      </w:r>
    </w:p>
    <w:p>
      <w:pPr>
        <w:spacing w:after="0" w:line="205" w:lineRule="exact"/>
        <w:rPr>
          <w:rFonts w:ascii="Times New Roman" w:cs="Times New Roman" w:eastAsia="Times New Roman" w:hAnsi="Times New Roman"/>
          <w:sz w:val="22"/>
          <w:szCs w:val="22"/>
          <w:color w:val="auto"/>
        </w:rPr>
      </w:pPr>
    </w:p>
    <w:p>
      <w:pPr>
        <w:jc w:val="both"/>
        <w:ind w:left="660" w:hanging="328"/>
        <w:spacing w:after="0" w:line="239" w:lineRule="auto"/>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Agreement is held to be invalid or unenforceable by a court of competent jurisdiction, then such provision or provisions shall be modified to the extent necessary to make such provision valid and enforceable, and to the extent that this is impossible, then such provision shall be deemed to be excised from this Agreement, and the validity, legality and enforceability of the rest of this Agreement shall not be affected thereby.</w:t>
      </w:r>
    </w:p>
    <w:p>
      <w:pPr>
        <w:spacing w:after="0" w:line="207" w:lineRule="exact"/>
        <w:rPr>
          <w:rFonts w:ascii="Times New Roman" w:cs="Times New Roman" w:eastAsia="Times New Roman" w:hAnsi="Times New Roman"/>
          <w:sz w:val="22"/>
          <w:szCs w:val="22"/>
          <w:color w:val="auto"/>
        </w:rPr>
      </w:pPr>
    </w:p>
    <w:p>
      <w:pPr>
        <w:jc w:val="both"/>
        <w:ind w:left="660" w:hanging="328"/>
        <w:spacing w:after="0" w:line="234" w:lineRule="auto"/>
        <w:tabs>
          <w:tab w:leader="none" w:pos="66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Plan, constitutes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Agreement shall affect or be used to interpret, change or restrict the express terms and provisions of this Agreement provided, however, in any event, this Agreement shall be subject to and governed by the Plan.</w:t>
      </w:r>
    </w:p>
    <w:p>
      <w:pPr>
        <w:sectPr>
          <w:pgSz w:w="11900" w:h="16838" w:orient="portrait"/>
          <w:cols w:equalWidth="0" w:num="1">
            <w:col w:w="11240"/>
          </w:cols>
          <w:pgMar w:left="320" w:top="1408" w:right="339" w:bottom="1440" w:gutter="0" w:footer="0" w:header="0"/>
        </w:sectPr>
      </w:pPr>
    </w:p>
    <w:bookmarkStart w:id="69" w:name="page70"/>
    <w:bookmarkEnd w:id="69"/>
    <w:p>
      <w:pPr>
        <w:jc w:val="both"/>
        <w:ind w:left="328" w:hanging="328"/>
        <w:spacing w:after="0" w:line="234" w:lineRule="auto"/>
        <w:tabs>
          <w:tab w:leader="none" w:pos="3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Modifications and Amendments; Waivers and Consents</w:t>
      </w:r>
      <w:r>
        <w:rPr>
          <w:rFonts w:ascii="Times New Roman" w:cs="Times New Roman" w:eastAsia="Times New Roman" w:hAnsi="Times New Roman"/>
          <w:sz w:val="22"/>
          <w:szCs w:val="22"/>
          <w:color w:val="auto"/>
        </w:rPr>
        <w:t>. The terms and provisions of this Agreement may be modified or amended as provided in the Plan. Except as provided in the Plan,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203" w:lineRule="exact"/>
        <w:rPr>
          <w:rFonts w:ascii="Times New Roman" w:cs="Times New Roman" w:eastAsia="Times New Roman" w:hAnsi="Times New Roman"/>
          <w:sz w:val="22"/>
          <w:szCs w:val="22"/>
          <w:color w:val="auto"/>
        </w:rPr>
      </w:pPr>
    </w:p>
    <w:p>
      <w:pPr>
        <w:jc w:val="both"/>
        <w:ind w:left="328" w:hanging="328"/>
        <w:spacing w:after="0" w:line="239" w:lineRule="auto"/>
        <w:tabs>
          <w:tab w:leader="none" w:pos="3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Award of RSUs evidenced by this Agreement is intended to be exempt from the nonqualified deferred compensation rules of Section 409A of the Code as a “short term deferral” (as that term is used in the final regulations and other guidance issued under Section 409A of the Code, including Treasury Regulation Section 1.409A-1(b)(4)(i)), and shall be construed accordingly.</w:t>
      </w:r>
    </w:p>
    <w:p>
      <w:pPr>
        <w:spacing w:after="0" w:line="207" w:lineRule="exact"/>
        <w:rPr>
          <w:rFonts w:ascii="Times New Roman" w:cs="Times New Roman" w:eastAsia="Times New Roman" w:hAnsi="Times New Roman"/>
          <w:sz w:val="22"/>
          <w:szCs w:val="22"/>
          <w:color w:val="auto"/>
        </w:rPr>
      </w:pPr>
    </w:p>
    <w:p>
      <w:pPr>
        <w:jc w:val="both"/>
        <w:ind w:left="328" w:hanging="328"/>
        <w:spacing w:after="0" w:line="236" w:lineRule="auto"/>
        <w:tabs>
          <w:tab w:leader="none" w:pos="32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Data Privacy</w:t>
      </w:r>
      <w:r>
        <w:rPr>
          <w:rFonts w:ascii="Times New Roman" w:cs="Times New Roman" w:eastAsia="Times New Roman" w:hAnsi="Times New Roman"/>
          <w:sz w:val="22"/>
          <w:szCs w:val="22"/>
          <w:color w:val="auto"/>
        </w:rPr>
        <w:t>. By entering into this Agreement, the Participant: (i) authorizes the Company and each Affiliate, and any agent of the Company or any Affiliate administering the Plan or providing Plan recordkeeping services, to disclose to the Company or any of its Affiliates such information and data as the Company or any such Affiliate shall request in order to facilitate the grant of options and the administration of the Plan; (ii) to the extent permitted by applicable law waives any data privacy rights he or she may have with respect to such information, and (iii) authorizes the Company and each Affiliate to store and transmit such information in electronic form for the purposes set forth in this Agreement.</w:t>
      </w:r>
    </w:p>
    <w:p>
      <w:pPr>
        <w:spacing w:after="0" w:line="195" w:lineRule="exact"/>
        <w:rPr>
          <w:sz w:val="20"/>
          <w:szCs w:val="20"/>
          <w:color w:val="auto"/>
        </w:rPr>
      </w:pPr>
    </w:p>
    <w:p>
      <w:pPr>
        <w:ind w:left="2548"/>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ectPr>
          <w:pgSz w:w="11900" w:h="16838" w:orient="portrait"/>
          <w:cols w:equalWidth="0" w:num="1">
            <w:col w:w="10908"/>
          </w:cols>
          <w:pgMar w:left="652" w:top="1408"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Hawkins, certify that:</w:t>
      </w:r>
    </w:p>
    <w:p>
      <w:pPr>
        <w:spacing w:after="0" w:line="225"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Quantum-Si Incorporated;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42570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Jeffrey Hawkins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Jeffry Keyes, certify that:</w:t>
      </w:r>
    </w:p>
    <w:p>
      <w:pPr>
        <w:spacing w:after="0" w:line="225" w:lineRule="exact"/>
        <w:rPr>
          <w:sz w:val="20"/>
          <w:szCs w:val="20"/>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Quantum-Si Incorporated;</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right="420" w:hanging="328"/>
        <w:spacing w:after="0" w:line="266" w:lineRule="auto"/>
        <w:tabs>
          <w:tab w:leader="none" w:pos="65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651"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48"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70891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Jeffry Keyes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43"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September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7"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November 12, 2024</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Jeffrey Hawkins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27305</wp:posOffset>
            </wp:positionV>
            <wp:extent cx="228028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Jeffrey Hawkins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 UNDER SECTION 906</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Quantum-Si Incorporated, a Delaware corporation (the “Company”), does hereby certify, to such officer’s knowledge, that: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Quarterly Report for the quarter ended September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28"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Dated: November 12, 2024</w:t>
      </w:r>
      <w:r>
        <w:rPr>
          <w:sz w:val="20"/>
          <w:szCs w:val="20"/>
          <w:color w:val="auto"/>
        </w:rPr>
        <w:tab/>
      </w: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Jeffry Keyes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27305</wp:posOffset>
            </wp:positionV>
            <wp:extent cx="260604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6040" cy="17145"/>
                    </a:xfrm>
                    <a:prstGeom prst="rect">
                      <a:avLst/>
                    </a:prstGeom>
                    <a:noFill/>
                  </pic:spPr>
                </pic:pic>
              </a:graphicData>
            </a:graphic>
          </wp:anchor>
        </w:drawing>
      </w:r>
    </w:p>
    <w:p>
      <w:pPr>
        <w:spacing w:after="0" w:line="5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Jeffry Keyes</w:t>
      </w:r>
    </w:p>
    <w:p>
      <w:pPr>
        <w:spacing w:after="0" w:line="5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o"/>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2"/>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1)"/>
      <w:numFmt w:val="lowerLetter"/>
      <w:start w:val="25"/>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2"/>
    </w:lvl>
  </w:abstractNum>
  <w:abstractNum w:abstractNumId="15">
    <w:nsid w:val="1D4ED43B"/>
    <w:multiLevelType w:val="hybridMultilevel"/>
    <w:lvl w:ilvl="0">
      <w:lvlJc w:val="left"/>
      <w:lvlText w:val="%1."/>
      <w:numFmt w:val="decimal"/>
      <w:start w:val="3"/>
    </w:lvl>
    <w:lvl w:ilvl="1">
      <w:lvlJc w:val="left"/>
      <w:lvlText w:val="(%2)"/>
      <w:numFmt w:val="lowerLetter"/>
      <w:start w:val="1"/>
    </w:lvl>
  </w:abstractNum>
  <w:abstractNum w:abstractNumId="16">
    <w:nsid w:val="725A06FB"/>
    <w:multiLevelType w:val="hybridMultilevel"/>
    <w:lvl w:ilvl="0">
      <w:lvlJc w:val="left"/>
      <w:lvlText w:val="(%1)"/>
      <w:numFmt w:val="lowerLetter"/>
      <w:start w:val="1"/>
    </w:lvl>
  </w:abstractNum>
  <w:abstractNum w:abstractNumId="17">
    <w:nsid w:val="2CD89A32"/>
    <w:multiLevelType w:val="hybridMultilevel"/>
    <w:lvl w:ilvl="0">
      <w:lvlJc w:val="left"/>
      <w:lvlText w:val="%1."/>
      <w:numFmt w:val="decimal"/>
      <w:start w:val="5"/>
    </w:lvl>
  </w:abstractNum>
  <w:abstractNum w:abstractNumId="18">
    <w:nsid w:val="57E4CCAF"/>
    <w:multiLevelType w:val="hybridMultilevel"/>
    <w:lvl w:ilvl="0">
      <w:lvlJc w:val="left"/>
      <w:lvlText w:val="%1."/>
      <w:numFmt w:val="decimal"/>
      <w:start w:val="6"/>
    </w:lvl>
  </w:abstractNum>
  <w:abstractNum w:abstractNumId="19">
    <w:nsid w:val="7A6D8D3C"/>
    <w:multiLevelType w:val="hybridMultilevel"/>
    <w:lvl w:ilvl="0">
      <w:lvlJc w:val="left"/>
      <w:lvlText w:val="(%1)"/>
      <w:numFmt w:val="lowerLetter"/>
      <w:start w:val="1"/>
    </w:lvl>
    <w:lvl w:ilvl="1">
      <w:lvlJc w:val="left"/>
      <w:lvlText w:val="(%2)"/>
      <w:numFmt w:val="lowerRoman"/>
      <w:start w:val="1"/>
    </w:lvl>
  </w:abstractNum>
  <w:abstractNum w:abstractNumId="20">
    <w:nsid w:val="4B588F54"/>
    <w:multiLevelType w:val="hybridMultilevel"/>
    <w:lvl w:ilvl="0">
      <w:lvlJc w:val="left"/>
      <w:lvlText w:val="%1."/>
      <w:numFmt w:val="decimal"/>
      <w:start w:val="7"/>
    </w:lvl>
  </w:abstractNum>
  <w:abstractNum w:abstractNumId="21">
    <w:nsid w:val="542289EC"/>
    <w:multiLevelType w:val="hybridMultilevel"/>
    <w:lvl w:ilvl="0">
      <w:lvlJc w:val="left"/>
      <w:lvlText w:val="%1"/>
      <w:numFmt w:val="decimal"/>
      <w:start w:val="1"/>
    </w:lvl>
    <w:lvl w:ilvl="1">
      <w:lvlJc w:val="left"/>
      <w:lvlText w:val="(%2)"/>
      <w:numFmt w:val="lowerLetter"/>
      <w:start w:val="1"/>
    </w:lvl>
  </w:abstractNum>
  <w:abstractNum w:abstractNumId="22">
    <w:nsid w:val="6DE91B18"/>
    <w:multiLevelType w:val="hybridMultilevel"/>
    <w:lvl w:ilvl="0">
      <w:lvlJc w:val="left"/>
      <w:lvlText w:val="%1."/>
      <w:numFmt w:val="decimal"/>
      <w:start w:val="8"/>
    </w:lvl>
    <w:lvl w:ilvl="1">
      <w:lvlJc w:val="left"/>
      <w:lvlText w:val="%2"/>
      <w:numFmt w:val="lowerLetter"/>
      <w:start w:val="1"/>
    </w:lvl>
  </w:abstractNum>
  <w:abstractNum w:abstractNumId="23">
    <w:nsid w:val="38437FDB"/>
    <w:multiLevelType w:val="hybridMultilevel"/>
    <w:lvl w:ilvl="0">
      <w:lvlJc w:val="left"/>
      <w:lvlText w:val="%1."/>
      <w:numFmt w:val="decimal"/>
      <w:start w:val="9"/>
    </w:lvl>
  </w:abstractNum>
  <w:abstractNum w:abstractNumId="24">
    <w:nsid w:val="7644A45C"/>
    <w:multiLevelType w:val="hybridMultilevel"/>
    <w:lvl w:ilvl="0">
      <w:lvlJc w:val="left"/>
      <w:lvlText w:val="%1."/>
      <w:numFmt w:val="decimal"/>
      <w:start w:val="10"/>
    </w:lvl>
  </w:abstractNum>
  <w:abstractNum w:abstractNumId="25">
    <w:nsid w:val="32FFF902"/>
    <w:multiLevelType w:val="hybridMultilevel"/>
    <w:lvl w:ilvl="0">
      <w:lvlJc w:val="left"/>
      <w:lvlText w:val="%1."/>
      <w:numFmt w:val="decimal"/>
      <w:start w:val="11"/>
    </w:lvl>
  </w:abstractNum>
  <w:abstractNum w:abstractNumId="26">
    <w:nsid w:val="684A481A"/>
    <w:multiLevelType w:val="hybridMultilevel"/>
    <w:lvl w:ilvl="0">
      <w:lvlJc w:val="left"/>
      <w:lvlText w:val="%1."/>
      <w:numFmt w:val="decimal"/>
      <w:start w:val="12"/>
    </w:lvl>
  </w:abstractNum>
  <w:abstractNum w:abstractNumId="27">
    <w:nsid w:val="579478FE"/>
    <w:multiLevelType w:val="hybridMultilevel"/>
    <w:lvl w:ilvl="0">
      <w:lvlJc w:val="left"/>
      <w:lvlText w:val="%1."/>
      <w:numFmt w:val="decimal"/>
      <w:start w:val="13"/>
    </w:lvl>
  </w:abstractNum>
  <w:abstractNum w:abstractNumId="28">
    <w:nsid w:val="749ABB43"/>
    <w:multiLevelType w:val="hybridMultilevel"/>
    <w:lvl w:ilvl="0">
      <w:lvlJc w:val="left"/>
      <w:lvlText w:val="%1."/>
      <w:numFmt w:val="decimal"/>
      <w:start w:val="14"/>
    </w:lvl>
  </w:abstractNum>
  <w:abstractNum w:abstractNumId="29">
    <w:nsid w:val="3DC240FB"/>
    <w:multiLevelType w:val="hybridMultilevel"/>
    <w:lvl w:ilvl="0">
      <w:lvlJc w:val="left"/>
      <w:lvlText w:val="(%1)"/>
      <w:numFmt w:val="lowerLetter"/>
      <w:start w:val="1"/>
    </w:lvl>
  </w:abstractNum>
  <w:abstractNum w:abstractNumId="30">
    <w:nsid w:val="1BA026FA"/>
    <w:multiLevelType w:val="hybridMultilevel"/>
    <w:lvl w:ilvl="0">
      <w:lvlJc w:val="left"/>
      <w:lvlText w:val="%1"/>
      <w:numFmt w:val="decimal"/>
      <w:start w:val="1"/>
    </w:lvl>
    <w:lvl w:ilvl="1">
      <w:lvlJc w:val="left"/>
      <w:lvlText w:val="(%2)"/>
      <w:numFmt w:val="lowerLetter"/>
      <w:start w:val="6"/>
    </w:lvl>
  </w:abstractNum>
  <w:abstractNum w:abstractNumId="31">
    <w:nsid w:val="79A1DEAA"/>
    <w:multiLevelType w:val="hybridMultilevel"/>
    <w:lvl w:ilvl="0">
      <w:lvlJc w:val="left"/>
      <w:lvlText w:val="%1."/>
      <w:numFmt w:val="decimal"/>
      <w:start w:val="15"/>
    </w:lvl>
    <w:lvl w:ilvl="1">
      <w:lvlJc w:val="left"/>
      <w:lvlText w:val="%2"/>
      <w:numFmt w:val="lowerLetter"/>
      <w:start w:val="1"/>
    </w:lvl>
  </w:abstractNum>
  <w:abstractNum w:abstractNumId="32">
    <w:nsid w:val="75C6C33A"/>
    <w:multiLevelType w:val="hybridMultilevel"/>
    <w:lvl w:ilvl="0">
      <w:lvlJc w:val="left"/>
      <w:lvlText w:val="%1"/>
      <w:numFmt w:val="decimal"/>
      <w:start w:val="1"/>
    </w:lvl>
    <w:lvl w:ilvl="1">
      <w:lvlJc w:val="left"/>
      <w:lvlText w:val="(%2)"/>
      <w:numFmt w:val="lowerLetter"/>
      <w:start w:val="1"/>
    </w:lvl>
  </w:abstractNum>
  <w:abstractNum w:abstractNumId="33">
    <w:nsid w:val="12E685FB"/>
    <w:multiLevelType w:val="hybridMultilevel"/>
    <w:lvl w:ilvl="0">
      <w:lvlJc w:val="left"/>
      <w:lvlText w:val="%1."/>
      <w:numFmt w:val="decimal"/>
      <w:start w:val="16"/>
    </w:lvl>
    <w:lvl w:ilvl="1">
      <w:lvlJc w:val="left"/>
      <w:lvlText w:val="(%2)"/>
      <w:numFmt w:val="lowerLetter"/>
      <w:start w:val="1"/>
    </w:lvl>
  </w:abstractNum>
  <w:abstractNum w:abstractNumId="34">
    <w:nsid w:val="70C6A529"/>
    <w:multiLevelType w:val="hybridMultilevel"/>
    <w:lvl w:ilvl="0">
      <w:lvlJc w:val="left"/>
      <w:lvlText w:val="%1"/>
      <w:numFmt w:val="decimal"/>
      <w:start w:val="1"/>
    </w:lvl>
    <w:lvl w:ilvl="1">
      <w:lvlJc w:val="left"/>
      <w:lvlText w:val="(%2)"/>
      <w:numFmt w:val="lowerLetter"/>
      <w:start w:val="3"/>
    </w:lvl>
  </w:abstractNum>
  <w:abstractNum w:abstractNumId="35">
    <w:nsid w:val="520EEDD1"/>
    <w:multiLevelType w:val="hybridMultilevel"/>
    <w:lvl w:ilvl="0">
      <w:lvlJc w:val="left"/>
      <w:lvlText w:val="%1."/>
      <w:numFmt w:val="decimal"/>
      <w:start w:val="17"/>
    </w:lvl>
    <w:lvl w:ilvl="1">
      <w:lvlJc w:val="left"/>
      <w:lvlText w:val="(%2)"/>
      <w:numFmt w:val="lowerLetter"/>
      <w:start w:val="1"/>
    </w:lvl>
  </w:abstractNum>
  <w:abstractNum w:abstractNumId="36">
    <w:nsid w:val="374A3FE6"/>
    <w:multiLevelType w:val="hybridMultilevel"/>
    <w:lvl w:ilvl="0">
      <w:lvlJc w:val="left"/>
      <w:lvlText w:val="%1."/>
      <w:numFmt w:val="decimal"/>
      <w:start w:val="19"/>
    </w:lvl>
  </w:abstractNum>
  <w:abstractNum w:abstractNumId="37">
    <w:nsid w:val="4F4EF005"/>
    <w:multiLevelType w:val="hybridMultilevel"/>
    <w:lvl w:ilvl="0">
      <w:lvlJc w:val="left"/>
      <w:lvlText w:val="%1."/>
      <w:numFmt w:val="decimal"/>
      <w:start w:val="20"/>
    </w:lvl>
  </w:abstractNum>
  <w:abstractNum w:abstractNumId="38">
    <w:nsid w:val="23F9C13C"/>
    <w:multiLevelType w:val="hybridMultilevel"/>
    <w:lvl w:ilvl="0">
      <w:lvlJc w:val="left"/>
      <w:lvlText w:val="%1"/>
      <w:numFmt w:val="decimal"/>
      <w:start w:val="1"/>
    </w:lvl>
    <w:lvl w:ilvl="1">
      <w:lvlJc w:val="left"/>
      <w:lvlText w:val="(%2)"/>
      <w:numFmt w:val="lowerLetter"/>
      <w:start w:val="1"/>
    </w:lvl>
  </w:abstractNum>
  <w:abstractNum w:abstractNumId="39">
    <w:nsid w:val="649BB77C"/>
    <w:multiLevelType w:val="hybridMultilevel"/>
    <w:lvl w:ilvl="0">
      <w:lvlJc w:val="left"/>
      <w:lvlText w:val="%1."/>
      <w:numFmt w:val="decimal"/>
      <w:start w:val="21"/>
    </w:lvl>
    <w:lvl w:ilvl="1">
      <w:lvlJc w:val="left"/>
      <w:lvlText w:val="%2"/>
      <w:numFmt w:val="lowerLetter"/>
      <w:start w:val="1"/>
    </w:lvl>
  </w:abstractNum>
  <w:abstractNum w:abstractNumId="40">
    <w:nsid w:val="275AC794"/>
    <w:multiLevelType w:val="hybridMultilevel"/>
    <w:lvl w:ilvl="0">
      <w:lvlJc w:val="left"/>
      <w:lvlText w:val="%1."/>
      <w:numFmt w:val="decimal"/>
      <w:start w:val="22"/>
    </w:lvl>
  </w:abstractNum>
  <w:abstractNum w:abstractNumId="41">
    <w:nsid w:val="39386575"/>
    <w:multiLevelType w:val="hybridMultilevel"/>
    <w:lvl w:ilvl="0">
      <w:lvlJc w:val="left"/>
      <w:lvlText w:val="%1"/>
      <w:numFmt w:val="decimal"/>
      <w:start w:val="1"/>
    </w:lvl>
    <w:lvl w:ilvl="1">
      <w:lvlJc w:val="left"/>
      <w:lvlText w:val="(%2)"/>
      <w:numFmt w:val="lowerLetter"/>
      <w:start w:val="1"/>
    </w:lvl>
  </w:abstractNum>
  <w:abstractNum w:abstractNumId="42">
    <w:nsid w:val="1CF10FD8"/>
    <w:multiLevelType w:val="hybridMultilevel"/>
    <w:lvl w:ilvl="0">
      <w:lvlJc w:val="left"/>
      <w:lvlText w:val="%1."/>
      <w:numFmt w:val="decimal"/>
      <w:start w:val="23"/>
    </w:lvl>
    <w:lvl w:ilvl="1">
      <w:lvlJc w:val="left"/>
      <w:lvlText w:val="%2"/>
      <w:numFmt w:val="lowerLetter"/>
      <w:start w:val="1"/>
    </w:lvl>
  </w:abstractNum>
  <w:abstractNum w:abstractNumId="43">
    <w:nsid w:val="180115BE"/>
    <w:multiLevelType w:val="hybridMultilevel"/>
    <w:lvl w:ilvl="0">
      <w:lvlJc w:val="left"/>
      <w:lvlText w:val="%1."/>
      <w:numFmt w:val="decimal"/>
      <w:start w:val="24"/>
    </w:lvl>
  </w:abstractNum>
  <w:abstractNum w:abstractNumId="44">
    <w:nsid w:val="235BA861"/>
    <w:multiLevelType w:val="hybridMultilevel"/>
    <w:lvl w:ilvl="0">
      <w:lvlJc w:val="left"/>
      <w:lvlText w:val="(%1)"/>
      <w:numFmt w:val="lowerLetter"/>
      <w:start w:val="1"/>
    </w:lvl>
  </w:abstractNum>
  <w:abstractNum w:abstractNumId="45">
    <w:nsid w:val="47398C89"/>
    <w:multiLevelType w:val="hybridMultilevel"/>
    <w:lvl w:ilvl="0">
      <w:lvlJc w:val="left"/>
      <w:lvlText w:val="(%1)"/>
      <w:numFmt w:val="lowerLetter"/>
      <w:start w:val="2"/>
    </w:lvl>
  </w:abstractNum>
  <w:abstractNum w:abstractNumId="46">
    <w:nsid w:val="354FE9F9"/>
    <w:multiLevelType w:val="hybridMultilevel"/>
    <w:lvl w:ilvl="0">
      <w:lvlJc w:val="left"/>
      <w:lvlText w:val="%1"/>
      <w:numFmt w:val="decimal"/>
      <w:start w:val="1"/>
    </w:lvl>
    <w:lvl w:ilvl="1">
      <w:lvlJc w:val="left"/>
      <w:lvlText w:val="(%2)"/>
      <w:numFmt w:val="lowerLetter"/>
      <w:start w:val="6"/>
    </w:lvl>
  </w:abstractNum>
  <w:abstractNum w:abstractNumId="47">
    <w:nsid w:val="15B5AF5C"/>
    <w:multiLevelType w:val="hybridMultilevel"/>
    <w:lvl w:ilvl="0">
      <w:lvlJc w:val="left"/>
      <w:lvlText w:val="%1."/>
      <w:numFmt w:val="decimal"/>
      <w:start w:val="25"/>
    </w:lvl>
    <w:lvl w:ilvl="1">
      <w:lvlJc w:val="left"/>
      <w:lvlText w:val="%2"/>
      <w:numFmt w:val="lowerLetter"/>
      <w:start w:val="1"/>
    </w:lvl>
  </w:abstractNum>
  <w:abstractNum w:abstractNumId="48">
    <w:nsid w:val="741226BB"/>
    <w:multiLevelType w:val="hybridMultilevel"/>
    <w:lvl w:ilvl="0">
      <w:lvlJc w:val="left"/>
      <w:lvlText w:val="%1"/>
      <w:numFmt w:val="decimal"/>
      <w:start w:val="1"/>
    </w:lvl>
    <w:lvl w:ilvl="1">
      <w:lvlJc w:val="left"/>
      <w:lvlText w:val="(%2)"/>
      <w:numFmt w:val="lowerLetter"/>
      <w:start w:val="1"/>
    </w:lvl>
  </w:abstractNum>
  <w:abstractNum w:abstractNumId="49">
    <w:nsid w:val="D34B6A8"/>
    <w:multiLevelType w:val="hybridMultilevel"/>
    <w:lvl w:ilvl="0">
      <w:lvlJc w:val="left"/>
      <w:lvlText w:val="%1."/>
      <w:numFmt w:val="decimal"/>
      <w:start w:val="26"/>
    </w:lvl>
    <w:lvl w:ilvl="1">
      <w:lvlJc w:val="left"/>
      <w:lvlText w:val="%2"/>
      <w:numFmt w:val="lowerLetter"/>
      <w:start w:val="1"/>
    </w:lvl>
  </w:abstractNum>
  <w:abstractNum w:abstractNumId="50">
    <w:nsid w:val="10233C99"/>
    <w:multiLevelType w:val="hybridMultilevel"/>
    <w:lvl w:ilvl="0">
      <w:lvlJc w:val="left"/>
      <w:lvlText w:val="%1."/>
      <w:numFmt w:val="decimal"/>
      <w:start w:val="27"/>
    </w:lvl>
  </w:abstractNum>
  <w:abstractNum w:abstractNumId="51">
    <w:nsid w:val="3F6AB60F"/>
    <w:multiLevelType w:val="hybridMultilevel"/>
    <w:lvl w:ilvl="0">
      <w:lvlJc w:val="left"/>
      <w:lvlText w:val="%1."/>
      <w:numFmt w:val="decimal"/>
      <w:start w:val="28"/>
    </w:lvl>
  </w:abstractNum>
  <w:abstractNum w:abstractNumId="52">
    <w:nsid w:val="61574095"/>
    <w:multiLevelType w:val="hybridMultilevel"/>
    <w:lvl w:ilvl="0">
      <w:lvlJc w:val="left"/>
      <w:lvlText w:val="%1."/>
      <w:numFmt w:val="decimal"/>
      <w:start w:val="29"/>
    </w:lvl>
  </w:abstractNum>
  <w:abstractNum w:abstractNumId="53">
    <w:nsid w:val="7E0C57B1"/>
    <w:multiLevelType w:val="hybridMultilevel"/>
    <w:lvl w:ilvl="0">
      <w:lvlJc w:val="left"/>
      <w:lvlText w:val="%1."/>
      <w:numFmt w:val="decimal"/>
      <w:start w:val="30"/>
    </w:lvl>
  </w:abstractNum>
  <w:abstractNum w:abstractNumId="54">
    <w:nsid w:val="77AE35EB"/>
    <w:multiLevelType w:val="hybridMultilevel"/>
    <w:lvl w:ilvl="0">
      <w:lvlJc w:val="left"/>
      <w:lvlText w:val="%1."/>
      <w:numFmt w:val="decimal"/>
      <w:start w:val="31"/>
    </w:lvl>
  </w:abstractNum>
  <w:abstractNum w:abstractNumId="55">
    <w:nsid w:val="579BE4F1"/>
    <w:multiLevelType w:val="hybridMultilevel"/>
    <w:lvl w:ilvl="0">
      <w:lvlJc w:val="left"/>
      <w:lvlText w:val="%1."/>
      <w:numFmt w:val="decimal"/>
      <w:start w:val="32"/>
    </w:lvl>
  </w:abstractNum>
  <w:abstractNum w:abstractNumId="56">
    <w:nsid w:val="310C50B3"/>
    <w:multiLevelType w:val="hybridMultilevel"/>
    <w:lvl w:ilvl="0">
      <w:lvlJc w:val="left"/>
      <w:lvlText w:val="%1."/>
      <w:numFmt w:val="decimal"/>
      <w:start w:val="33"/>
    </w:lvl>
  </w:abstractNum>
  <w:abstractNum w:abstractNumId="57">
    <w:nsid w:val="5FF87E05"/>
    <w:multiLevelType w:val="hybridMultilevel"/>
    <w:lvl w:ilvl="0">
      <w:lvlJc w:val="left"/>
      <w:lvlText w:val="%1."/>
      <w:numFmt w:val="decimal"/>
      <w:start w:val="34"/>
    </w:lvl>
  </w:abstractNum>
  <w:abstractNum w:abstractNumId="58">
    <w:nsid w:val="2F305DEF"/>
    <w:multiLevelType w:val="hybridMultilevel"/>
    <w:lvl w:ilvl="0">
      <w:lvlJc w:val="left"/>
      <w:lvlText w:val="%1."/>
      <w:numFmt w:val="decimal"/>
      <w:start w:val="35"/>
    </w:lvl>
  </w:abstractNum>
  <w:abstractNum w:abstractNumId="59">
    <w:nsid w:val="25A70BF7"/>
    <w:multiLevelType w:val="hybridMultilevel"/>
    <w:lvl w:ilvl="0">
      <w:lvlJc w:val="left"/>
      <w:lvlText w:val="%1."/>
      <w:numFmt w:val="decimal"/>
      <w:start w:val="36"/>
    </w:lvl>
  </w:abstractNum>
  <w:abstractNum w:abstractNumId="60">
    <w:nsid w:val="1DBABF00"/>
    <w:multiLevelType w:val="hybridMultilevel"/>
    <w:lvl w:ilvl="0">
      <w:lvlJc w:val="left"/>
      <w:lvlText w:val="%1."/>
      <w:numFmt w:val="decimal"/>
      <w:start w:val="1"/>
    </w:lvl>
    <w:lvl w:ilvl="1">
      <w:lvlJc w:val="left"/>
      <w:lvlText w:val="(%2)"/>
      <w:numFmt w:val="lowerLetter"/>
      <w:start w:val="1"/>
    </w:lvl>
  </w:abstractNum>
  <w:abstractNum w:abstractNumId="61">
    <w:nsid w:val="4AD084E9"/>
    <w:multiLevelType w:val="hybridMultilevel"/>
    <w:lvl w:ilvl="0">
      <w:lvlJc w:val="left"/>
      <w:lvlText w:val="%1"/>
      <w:numFmt w:val="decimal"/>
      <w:start w:val="1"/>
    </w:lvl>
    <w:lvl w:ilvl="1">
      <w:lvlJc w:val="left"/>
      <w:lvlText w:val="(%2)"/>
      <w:numFmt w:val="lowerLetter"/>
      <w:start w:val="2"/>
    </w:lvl>
  </w:abstractNum>
  <w:abstractNum w:abstractNumId="62">
    <w:nsid w:val="1F48EAA1"/>
    <w:multiLevelType w:val="hybridMultilevel"/>
    <w:lvl w:ilvl="0">
      <w:lvlJc w:val="left"/>
      <w:lvlText w:val="%1."/>
      <w:numFmt w:val="decimal"/>
      <w:start w:val="3"/>
    </w:lvl>
    <w:lvl w:ilvl="1">
      <w:lvlJc w:val="left"/>
      <w:lvlText w:val="%2"/>
      <w:numFmt w:val="lowerLetter"/>
      <w:start w:val="1"/>
    </w:lvl>
  </w:abstractNum>
  <w:abstractNum w:abstractNumId="63">
    <w:nsid w:val="1381823A"/>
    <w:multiLevelType w:val="hybridMultilevel"/>
    <w:lvl w:ilvl="0">
      <w:lvlJc w:val="left"/>
      <w:lvlText w:val="%1."/>
      <w:numFmt w:val="decimal"/>
      <w:start w:val="6"/>
    </w:lvl>
    <w:lvl w:ilvl="1">
      <w:lvlJc w:val="left"/>
      <w:lvlText w:val="(%2)"/>
      <w:numFmt w:val="lowerLetter"/>
      <w:start w:val="1"/>
    </w:lvl>
  </w:abstractNum>
  <w:abstractNum w:abstractNumId="64">
    <w:nsid w:val="5DB70AE5"/>
    <w:multiLevelType w:val="hybridMultilevel"/>
    <w:lvl w:ilvl="0">
      <w:lvlJc w:val="left"/>
      <w:lvlText w:val="%1."/>
      <w:numFmt w:val="decimal"/>
      <w:start w:val="9"/>
    </w:lvl>
    <w:lvl w:ilvl="1">
      <w:lvlJc w:val="left"/>
      <w:lvlText w:val="(%2)"/>
      <w:numFmt w:val="lowerLetter"/>
      <w:start w:val="1"/>
    </w:lvl>
  </w:abstractNum>
  <w:abstractNum w:abstractNumId="65">
    <w:nsid w:val="100F8FCA"/>
    <w:multiLevelType w:val="hybridMultilevel"/>
    <w:lvl w:ilvl="0">
      <w:lvlJc w:val="left"/>
      <w:lvlText w:val="%1."/>
      <w:numFmt w:val="decimal"/>
      <w:start w:val="10"/>
    </w:lvl>
  </w:abstractNum>
  <w:abstractNum w:abstractNumId="66">
    <w:nsid w:val="6590700B"/>
    <w:multiLevelType w:val="hybridMultilevel"/>
    <w:lvl w:ilvl="0">
      <w:lvlJc w:val="left"/>
      <w:lvlText w:val="%1."/>
      <w:numFmt w:val="decimal"/>
      <w:start w:val="11"/>
    </w:lvl>
    <w:lvl w:ilvl="1">
      <w:lvlJc w:val="left"/>
      <w:lvlText w:val="(%2)"/>
      <w:numFmt w:val="lowerLetter"/>
      <w:start w:val="1"/>
    </w:lvl>
  </w:abstractNum>
  <w:abstractNum w:abstractNumId="67">
    <w:nsid w:val="15014ACB"/>
    <w:multiLevelType w:val="hybridMultilevel"/>
    <w:lvl w:ilvl="0">
      <w:lvlJc w:val="left"/>
      <w:lvlText w:val="%1."/>
      <w:numFmt w:val="decimal"/>
      <w:start w:val="12"/>
    </w:lvl>
  </w:abstractNum>
  <w:abstractNum w:abstractNumId="68">
    <w:nsid w:val="5F5E7FD0"/>
    <w:multiLevelType w:val="hybridMultilevel"/>
    <w:lvl w:ilvl="0">
      <w:lvlJc w:val="left"/>
      <w:lvlText w:val="%1."/>
      <w:numFmt w:val="decimal"/>
      <w:start w:val="15"/>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2024-11-12T16:30:33Z</dcterms:created>
  <dcterms:modified xsi:type="dcterms:W3CDTF">2024-11-12T16:30:33Z</dcterms:modified>
</cp:coreProperties>
</file>