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-224155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20" w:right="1760" w:hanging="3812"/>
        <w:spacing w:after="0" w:line="493"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40"/>
        <w:spacing w:after="0"/>
        <w:tabs>
          <w:tab w:leader="none" w:pos="6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4104640</wp:posOffset>
            </wp:positionH>
            <wp:positionV relativeFrom="paragraph">
              <wp:posOffset>-7620</wp:posOffset>
            </wp:positionV>
            <wp:extent cx="314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001-39486</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141605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730"/>
              <w:spacing w:after="0"/>
              <w:rPr>
                <w:sz w:val="20"/>
                <w:szCs w:val="20"/>
                <w:color w:val="auto"/>
              </w:rPr>
            </w:pPr>
            <w:r>
              <w:rPr>
                <w:rFonts w:ascii="Arial" w:cs="Arial" w:eastAsia="Arial" w:hAnsi="Arial"/>
                <w:sz w:val="18"/>
                <w:szCs w:val="18"/>
                <w:b w:val="1"/>
                <w:bCs w:val="1"/>
                <w:color w:val="auto"/>
              </w:rPr>
              <w:t>85-1388175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530 Old Whitfield Street</w:t>
            </w:r>
          </w:p>
        </w:tc>
        <w:tc>
          <w:tcPr>
            <w:tcW w:w="3660" w:type="dxa"/>
            <w:vAlign w:val="bottom"/>
          </w:tcPr>
          <w:p>
            <w:pPr>
              <w:spacing w:after="0"/>
              <w:rPr>
                <w:sz w:val="24"/>
                <w:szCs w:val="24"/>
                <w:color w:val="auto"/>
              </w:rPr>
            </w:pPr>
          </w:p>
        </w:tc>
      </w:t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Guilford, Connecticut</w:t>
            </w: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06437</w:t>
            </w:r>
          </w:p>
        </w:tc>
      </w:tr>
      <w:tr>
        <w:trPr>
          <w:trHeight w:val="230"/>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458-7100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740" w:type="dxa"/>
            <w:vAlign w:val="bottom"/>
          </w:tcPr>
          <w:p>
            <w:pPr>
              <w:jc w:val="center"/>
              <w:spacing w:after="0" w:line="201" w:lineRule="exact"/>
              <w:rPr>
                <w:sz w:val="20"/>
                <w:szCs w:val="20"/>
                <w:color w:val="auto"/>
              </w:rPr>
            </w:pPr>
            <w:r>
              <w:rPr>
                <w:rFonts w:ascii="Arial" w:cs="Arial" w:eastAsia="Arial" w:hAnsi="Arial"/>
                <w:sz w:val="18"/>
                <w:szCs w:val="18"/>
                <w:color w:val="auto"/>
                <w:w w:val="89"/>
              </w:rPr>
              <w:t>Class A common stock, $0.0001 per share</w:t>
            </w: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QSI</w:t>
            </w:r>
          </w:p>
        </w:tc>
        <w:tc>
          <w:tcPr>
            <w:tcW w:w="100" w:type="dxa"/>
            <w:vAlign w:val="bottom"/>
          </w:tcPr>
          <w:p>
            <w:pPr>
              <w:spacing w:after="0"/>
              <w:rPr>
                <w:sz w:val="17"/>
                <w:szCs w:val="17"/>
                <w:color w:val="auto"/>
              </w:rPr>
            </w:pPr>
          </w:p>
        </w:tc>
        <w:tc>
          <w:tcPr>
            <w:tcW w:w="472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QSIAW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share of Class A common stock, each at an exercise price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0"/>
        </w:trPr>
        <w:tc>
          <w:tcPr>
            <w:tcW w:w="4740" w:type="dxa"/>
            <w:vAlign w:val="bottom"/>
          </w:tcPr>
          <w:p>
            <w:pPr>
              <w:jc w:val="center"/>
              <w:spacing w:after="0"/>
              <w:rPr>
                <w:sz w:val="20"/>
                <w:szCs w:val="20"/>
                <w:color w:val="auto"/>
              </w:rPr>
            </w:pPr>
            <w:r>
              <w:rPr>
                <w:rFonts w:ascii="Arial" w:cs="Arial" w:eastAsia="Arial" w:hAnsi="Arial"/>
                <w:sz w:val="18"/>
                <w:szCs w:val="18"/>
                <w:color w:val="auto"/>
                <w:w w:val="86"/>
              </w:rPr>
              <w:t>$11.50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May 4, 2022, the registrant had 119,025,206 shares of Class A common stock outstanding and 19,937,500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73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March 31,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189"/>
        </w:trPr>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40" w:type="dxa"/>
            <w:vAlign w:val="bottom"/>
            <w:gridSpan w:val="20"/>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Cautionary Note Regarding Forward-Looking Statements</w:t>
              </w:r>
            </w:hyperlink>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04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2022 and December 31, 2021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40" w:type="dxa"/>
            <w:vAlign w:val="bottom"/>
            <w:gridSpan w:val="20"/>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for the three months ended March 31, 2022 and</w:t>
              </w:r>
            </w:hyperlink>
          </w:p>
        </w:tc>
        <w:tc>
          <w:tcPr>
            <w:tcW w:w="900" w:type="dxa"/>
            <w:vAlign w:val="bottom"/>
            <w:shd w:val="clear" w:color="auto" w:fill="CCEEFF"/>
          </w:tcPr>
          <w:p>
            <w:pPr>
              <w:spacing w:after="0"/>
              <w:rPr>
                <w:sz w:val="15"/>
                <w:szCs w:val="15"/>
                <w:color w:val="auto"/>
              </w:rPr>
            </w:pP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98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(Unaudited)</w:t>
              </w:r>
            </w:hyperlink>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40" w:type="dxa"/>
            <w:vAlign w:val="bottom"/>
            <w:gridSpan w:val="20"/>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Changes in Convertible Preferred Stock and Stockholders’ Equity (Deficit) for the</w:t>
              </w:r>
            </w:hyperlink>
          </w:p>
        </w:tc>
        <w:tc>
          <w:tcPr>
            <w:tcW w:w="900" w:type="dxa"/>
            <w:vAlign w:val="bottom"/>
            <w:shd w:val="clear" w:color="auto" w:fill="CCEEFF"/>
          </w:tcPr>
          <w:p>
            <w:pPr>
              <w:spacing w:after="0"/>
              <w:rPr>
                <w:sz w:val="15"/>
                <w:szCs w:val="15"/>
                <w:color w:val="auto"/>
              </w:rPr>
            </w:pP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2022 and 2021 (Unaudited)</w:t>
              </w:r>
            </w:hyperlink>
          </w:p>
        </w:tc>
        <w:tc>
          <w:tcPr>
            <w:tcW w:w="26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40" w:type="dxa"/>
            <w:vAlign w:val="bottom"/>
            <w:gridSpan w:val="20"/>
            <w:shd w:val="clear" w:color="auto" w:fill="CCEEFF"/>
          </w:tcPr>
          <w:p>
            <w:pPr>
              <w:spacing w:after="0" w:line="17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Cash Flows for the three months ended March 31, 2022 and 2021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9</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04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04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30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this Quarterly Report on Form 10-Q, the terms “we”, “us”, “our”, the “Company” or “Quantum-Si” mean Quantum-Si Incorporated (formerly HighCape Capital Acquisition Corp.) and our subsidiaries. On June 10, 2021 (the “Closing Date”), HighCape Capital Acquisition Corp., a Delaware corporation (“HighCape” and after the Business Combination described herein, the “Company”), consummated a business combination (the “Business Combination”) pursuant to the terms of the Business Combination Agreement, dated as of February 18, 2021 (the “Business Combination Agreement”), by and among HighCape,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(the “Merger”). In connection with the Transactions, HighCape changed its name to “Quantum-Si Incorporated” and Legacy Quantum-Si changed its name to “Q-SI Operations Inc.”</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Quarterly Report on Form 10-Q include, but are not limited to, statements about:</w:t>
      </w:r>
    </w:p>
    <w:p>
      <w:pPr>
        <w:spacing w:after="0" w:line="172"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and our ability to grow and manage growth profitably and retain our key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Stock Market LLC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any product we may offer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products once commercialized;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for our products, and any related restrictions and limitations of any approved product;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leadership transition;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license agreements and manufacturing arrangements;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the ability of each product to serve those markets once commercialized, either alone or in partnership with others;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fiscal year ended December 31, 2021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9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399,810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435,519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439,779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477,172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6,973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476,138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503,226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Short-term operating lease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14,045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34,263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26,192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Class A Common stock, $0.0001 par value; 600,000,000 shares authorized as of March 31, 2022 and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2021; 118,972,397 and 118,025,410 shares issued and outstanding as of March 31, 2022 and December 31, 2021,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Class B Common stock, $0.0001 par value; 27,000,000 shares authorized as of March 31, 2022 and December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2021; 19,937,500 shares issued and outstanding as of March 31, 2022 and December 31, 2021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744,252</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(302,407)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(267,232)</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441,875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476,138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503,226</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27,140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(27,140)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(11,779)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(35,175)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(11,779)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(35,175)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(11,779)</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w w:val="91"/>
              </w:rPr>
              <w:t>Weighted-average shares used to compute net loss per share attributable to common stockholders, basic and diluted</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138,619,929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5,528,551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280" w:type="dxa"/>
            <w:vAlign w:val="bottom"/>
          </w:tcPr>
          <w:p>
            <w:pPr>
              <w:spacing w:after="0"/>
              <w:rPr>
                <w:sz w:val="18"/>
                <w:szCs w:val="18"/>
                <w:color w:val="auto"/>
              </w:rPr>
            </w:pPr>
          </w:p>
        </w:tc>
        <w:tc>
          <w:tcPr>
            <w:tcW w:w="1920" w:type="dxa"/>
            <w:vAlign w:val="bottom"/>
            <w:tcBorders>
              <w:right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2"/>
              </w:rPr>
              <w:t>Convertible preferred</w:t>
            </w:r>
          </w:p>
        </w:tc>
        <w:tc>
          <w:tcPr>
            <w:tcW w:w="15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Class 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Class B</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r>
      <w:tr>
        <w:trPr>
          <w:trHeight w:val="241"/>
        </w:trPr>
        <w:tc>
          <w:tcPr>
            <w:tcW w:w="2280" w:type="dxa"/>
            <w:vAlign w:val="bottom"/>
          </w:tcPr>
          <w:p>
            <w:pPr>
              <w:spacing w:after="0"/>
              <w:rPr>
                <w:sz w:val="20"/>
                <w:szCs w:val="20"/>
                <w:color w:val="auto"/>
              </w:rPr>
            </w:pPr>
          </w:p>
        </w:tc>
        <w:tc>
          <w:tcPr>
            <w:tcW w:w="1920" w:type="dxa"/>
            <w:vAlign w:val="bottom"/>
            <w:tcBorders>
              <w:right w:val="single" w:sz="8" w:color="auto"/>
            </w:tcBorders>
            <w:gridSpan w:val="4"/>
          </w:tcPr>
          <w:p>
            <w:pPr>
              <w:jc w:val="right"/>
              <w:ind w:right="840"/>
              <w:spacing w:after="0"/>
              <w:rPr>
                <w:sz w:val="20"/>
                <w:szCs w:val="20"/>
                <w:color w:val="auto"/>
              </w:rPr>
            </w:pPr>
            <w:r>
              <w:rPr>
                <w:rFonts w:ascii="Arial" w:cs="Arial" w:eastAsia="Arial" w:hAnsi="Arial"/>
                <w:sz w:val="18"/>
                <w:szCs w:val="18"/>
                <w:b w:val="1"/>
                <w:bCs w:val="1"/>
                <w:color w:val="auto"/>
              </w:rPr>
              <w:t>stock</w:t>
            </w:r>
          </w:p>
        </w:tc>
        <w:tc>
          <w:tcPr>
            <w:tcW w:w="15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paid-in</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equity</w:t>
            </w:r>
          </w:p>
        </w:tc>
      </w:tr>
      <w:tr>
        <w:trPr>
          <w:trHeight w:val="223"/>
        </w:trPr>
        <w:tc>
          <w:tcPr>
            <w:tcW w:w="2280" w:type="dxa"/>
            <w:vAlign w:val="bottom"/>
          </w:tcPr>
          <w:p>
            <w:pPr>
              <w:spacing w:after="0"/>
              <w:rPr>
                <w:sz w:val="19"/>
                <w:szCs w:val="19"/>
                <w:color w:val="auto"/>
              </w:rPr>
            </w:pP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Borders>
              <w:right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010101"/>
              </w:rPr>
              <w:t>Shares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010101"/>
                <w:w w:val="99"/>
              </w:rPr>
              <w:t>Amount</w:t>
            </w:r>
          </w:p>
        </w:tc>
        <w:tc>
          <w:tcPr>
            <w:tcW w:w="160" w:type="dxa"/>
            <w:vAlign w:val="bottom"/>
          </w:tcPr>
          <w:p>
            <w:pPr>
              <w:spacing w:after="0"/>
              <w:rPr>
                <w:sz w:val="19"/>
                <w:szCs w:val="19"/>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010101"/>
                <w:w w:val="96"/>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010101"/>
                <w:w w:val="99"/>
              </w:rPr>
              <w:t>Amount</w:t>
            </w:r>
          </w:p>
        </w:tc>
        <w:tc>
          <w:tcPr>
            <w:tcW w:w="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w w:val="91"/>
              </w:rPr>
              <w:t>Balance -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3"/>
              </w:rPr>
              <w:t>90,789,268</w:t>
            </w:r>
          </w:p>
        </w:tc>
        <w:tc>
          <w:tcPr>
            <w:tcW w:w="1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$ 195,814</w:t>
            </w:r>
          </w:p>
        </w:tc>
        <w:tc>
          <w:tcPr>
            <w:tcW w:w="160" w:type="dxa"/>
            <w:vAlign w:val="bottom"/>
            <w:tcBorders>
              <w:right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5,378,287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12,517</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(172,243)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(159,725)</w:t>
            </w: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010101"/>
              </w:rPr>
              <w:t>Net loss</w:t>
            </w:r>
          </w:p>
        </w:tc>
        <w:tc>
          <w:tcPr>
            <w:tcW w:w="860" w:type="dxa"/>
            <w:vAlign w:val="bottom"/>
          </w:tcPr>
          <w:p>
            <w:pPr>
              <w:jc w:val="right"/>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01010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700" w:type="dxa"/>
            <w:vAlign w:val="bottom"/>
          </w:tcPr>
          <w:p>
            <w:pPr>
              <w:spacing w:after="0"/>
              <w:rPr>
                <w:sz w:val="18"/>
                <w:szCs w:val="18"/>
                <w:color w:val="auto"/>
              </w:rPr>
            </w:pP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010101"/>
                <w:w w:val="74"/>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010101"/>
              </w:rPr>
              <w:t>(11,779)</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010101"/>
              </w:rPr>
              <w:t>(11,779)</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5"/>
              </w:rPr>
              <w:t>convertible preferred 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net of issuance costs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7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010101"/>
                <w:w w:val="74"/>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010101"/>
              </w:rPr>
              <w:t>and vesting of restricted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010101"/>
              </w:rPr>
              <w:t>stock units</w:t>
            </w:r>
          </w:p>
        </w:tc>
        <w:tc>
          <w:tcPr>
            <w:tcW w:w="860" w:type="dxa"/>
            <w:vAlign w:val="bottom"/>
          </w:tcPr>
          <w:p>
            <w:pPr>
              <w:jc w:val="right"/>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01010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010101"/>
              </w:rPr>
              <w:t>581,237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700" w:type="dxa"/>
            <w:vAlign w:val="bottom"/>
          </w:tcPr>
          <w:p>
            <w:pPr>
              <w:spacing w:after="0"/>
              <w:rPr>
                <w:sz w:val="20"/>
                <w:szCs w:val="20"/>
                <w:color w:val="auto"/>
              </w:rPr>
            </w:pP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010101"/>
                <w:w w:val="74"/>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010101"/>
              </w:rPr>
              <w:t>999</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010101"/>
              </w:rPr>
              <w:t>999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010101"/>
              </w:rPr>
              <w:t>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tcBorders>
              <w:righ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010101"/>
                <w:w w:val="74"/>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457</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457</w:t>
            </w:r>
          </w:p>
        </w:tc>
      </w:tr>
      <w:tr>
        <w:trPr>
          <w:trHeight w:val="27"/>
        </w:trPr>
        <w:tc>
          <w:tcPr>
            <w:tcW w:w="22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010101"/>
              </w:rPr>
              <w:t>Balance - March 31, 2021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010101"/>
                <w:w w:val="93"/>
              </w:rPr>
              <w:t>90,789,268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010101"/>
                <w:w w:val="92"/>
              </w:rPr>
              <w:t>$ 195,810</w:t>
            </w:r>
          </w:p>
        </w:tc>
        <w:tc>
          <w:tcPr>
            <w:tcW w:w="160" w:type="dxa"/>
            <w:vAlign w:val="bottom"/>
            <w:tcBorders>
              <w:right w:val="single" w:sz="8" w:color="auto"/>
            </w:tcBorders>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010101"/>
              </w:rPr>
              <w:t>5,959,524</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010101"/>
              </w:rPr>
              <w:t>-</w:t>
            </w:r>
          </w:p>
        </w:tc>
        <w:tc>
          <w:tcPr>
            <w:tcW w:w="700" w:type="dxa"/>
            <w:vAlign w:val="bottom"/>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r>
              <w:rPr>
                <w:rFonts w:ascii="Arial" w:cs="Arial" w:eastAsia="Arial" w:hAnsi="Arial"/>
                <w:sz w:val="18"/>
                <w:szCs w:val="18"/>
                <w:b w:val="1"/>
                <w:bCs w:val="1"/>
                <w:color w:val="010101"/>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010101"/>
              </w:rPr>
              <w:t>13,973</w:t>
            </w:r>
          </w:p>
        </w:tc>
        <w:tc>
          <w:tcPr>
            <w:tcW w:w="180" w:type="dxa"/>
            <w:vAlign w:val="bottom"/>
          </w:tcPr>
          <w:p>
            <w:pPr>
              <w:jc w:val="right"/>
              <w:ind w:right="21"/>
              <w:spacing w:after="0"/>
              <w:rPr>
                <w:sz w:val="20"/>
                <w:szCs w:val="20"/>
                <w:color w:val="auto"/>
              </w:rPr>
            </w:pPr>
            <w:r>
              <w:rPr>
                <w:rFonts w:ascii="Arial" w:cs="Arial" w:eastAsia="Arial" w:hAnsi="Arial"/>
                <w:sz w:val="15"/>
                <w:szCs w:val="15"/>
                <w:b w:val="1"/>
                <w:bCs w:val="1"/>
                <w:color w:val="010101"/>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010101"/>
              </w:rPr>
              <w:t>(184,022)</w:t>
            </w: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010101"/>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010101"/>
              </w:rPr>
              <w:t>(170,048)</w:t>
            </w:r>
          </w:p>
        </w:tc>
      </w:tr>
      <w:tr>
        <w:trPr>
          <w:trHeight w:val="21"/>
        </w:trPr>
        <w:tc>
          <w:tcPr>
            <w:tcW w:w="2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3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ind w:right="661"/>
              <w:spacing w:after="0"/>
              <w:rPr>
                <w:sz w:val="20"/>
                <w:szCs w:val="20"/>
                <w:color w:val="auto"/>
              </w:rPr>
            </w:pPr>
            <w:r>
              <w:rPr>
                <w:rFonts w:ascii="Arial" w:cs="Arial" w:eastAsia="Arial" w:hAnsi="Arial"/>
                <w:sz w:val="18"/>
                <w:szCs w:val="18"/>
                <w:b w:val="1"/>
                <w:bCs w:val="1"/>
                <w:color w:val="auto"/>
              </w:rPr>
              <w:t>Class B</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stockholders’</w:t>
            </w:r>
          </w:p>
        </w:tc>
      </w:tr>
      <w:tr>
        <w:trPr>
          <w:trHeight w:val="241"/>
        </w:trPr>
        <w:tc>
          <w:tcPr>
            <w:tcW w:w="2320" w:type="dxa"/>
            <w:vAlign w:val="bottom"/>
          </w:tcPr>
          <w:p>
            <w:pPr>
              <w:spacing w:after="0"/>
              <w:rPr>
                <w:sz w:val="20"/>
                <w:szCs w:val="20"/>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common stock</w:t>
            </w:r>
          </w:p>
        </w:tc>
        <w:tc>
          <w:tcPr>
            <w:tcW w:w="2200" w:type="dxa"/>
            <w:vAlign w:val="bottom"/>
            <w:gridSpan w:val="3"/>
          </w:tcPr>
          <w:p>
            <w:pPr>
              <w:jc w:val="right"/>
              <w:ind w:right="401"/>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paid-in</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Accumulated</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equity</w:t>
            </w:r>
          </w:p>
        </w:tc>
      </w:tr>
      <w:tr>
        <w:trPr>
          <w:trHeight w:val="223"/>
        </w:trPr>
        <w:tc>
          <w:tcPr>
            <w:tcW w:w="2320" w:type="dxa"/>
            <w:vAlign w:val="bottom"/>
          </w:tcPr>
          <w:p>
            <w:pPr>
              <w:spacing w:after="0"/>
              <w:rPr>
                <w:sz w:val="19"/>
                <w:szCs w:val="19"/>
                <w:color w:val="auto"/>
              </w:rPr>
            </w:pPr>
          </w:p>
        </w:tc>
        <w:tc>
          <w:tcPr>
            <w:tcW w:w="126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010101"/>
              </w:rPr>
              <w:t>Shares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010101"/>
                <w:w w:val="91"/>
              </w:rPr>
              <w:t>Amount</w:t>
            </w:r>
          </w:p>
        </w:tc>
        <w:tc>
          <w:tcPr>
            <w:tcW w:w="22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010101"/>
              </w:rPr>
              <w:t>Shares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010101"/>
              </w:rPr>
              <w:t>Amount</w:t>
            </w: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w w:val="93"/>
              </w:rPr>
              <w:t>Balance -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118,025,410</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1"/>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744,252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(267,232)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010101"/>
              </w:rPr>
              <w:t>Net loss</w:t>
            </w:r>
          </w:p>
        </w:tc>
        <w:tc>
          <w:tcPr>
            <w:tcW w:w="106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90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010101"/>
              </w:rPr>
              <w:t>(35,175)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010101"/>
              </w:rPr>
              <w:t>(35,175)</w:t>
            </w: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 upon</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exercise of stock options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and vesting of restricted</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946,987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w:t>
            </w:r>
          </w:p>
        </w:tc>
        <w:tc>
          <w:tcPr>
            <w:tcW w:w="9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730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730</w:t>
            </w: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010101"/>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90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010101"/>
              </w:rPr>
              <w:t>(714)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010101"/>
              </w:rPr>
              <w:t>(714)</w:t>
            </w:r>
          </w:p>
        </w:tc>
      </w:tr>
      <w:tr>
        <w:trPr>
          <w:trHeight w:val="256"/>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010101"/>
              </w:rPr>
              <w:t>Balance - March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118,972,397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744,268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(302,407)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441,875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ind w:left="410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Unrealized losses of 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11,511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(2,383)</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(8,062)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Short-term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(23,229)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6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21,698</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issuance costs for Series E convertible preferred stock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(10,256)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36,910</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34,984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26,654</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Cash received from exchange of research and development tax credits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Noncash acquisition of property and equipment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Forgiveness of related party promissory notes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2022 AND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Quantum-Si Incorporated (including its subsidiaries, the “Company” or “Quantum-Si”) was originally incorporated in Delaware on June 10, 2020 as a special purpose acquisition company under the name HighCape Capital Acquisition Corp. (“HighCape”) for the purpose of effecting a merger, capital stock exchange, asset acquisition, stock purchase, reorganization or similar business combination involving HighCape and one or more businesses. On June 10, 2021 (the “Closing”), the Company consummated the transaction contemplated by the Business Combination Agreement, dated February 18, 2021 (the “Business Combination Agreement”), by and among HighCape, Tenet Merger Sub, Inc., a Delaware corporation (“Merger Sub”) and Quantum-Si Incorporated, a Delaware corporation (“Legacy Quantum-Si”).</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Business Combination Agreement, a business combination between HighCape was effected through the merger of Merger Sub with and into Legacy Quantum-Si, with Legacy Quantum-Si surviving as the surviving company and a wholly owned subsidiary of HighCape (the “Merger” and collectively with the other transaction described in the Business Combination Agreement, the “Business Combination”). Effective as of the Closing, HighCape changed its name to Quantum-Si Incorporated and Legacy Quantum-Si changed its name to Q-SI Operations Inc. The prior period financial information represents the financial results and condition of Legacy Quantum-Si.</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innovative life sciences company with the mission of transforming single molecule analysis and democratizing its use by providing researchers and clinicians access to the proteome, the set of proteins expressed within a cell. The Company has developed a proprietary universal single molecule detection platform that the Company is first applying to proteomics to enable Next Generation Protein Sequencing (“NGPS”), the ability to sequence proteins in a massively parallel fashion (rather than sequentially, one at a time), and can be used for the study of nucleic acids. The Company’s platform is comprised of the Carbon™ automated sample preparation instrument, the Platinum™ NGPS instrument, the Quantum-Si Cloud™ software service, and reagent kits and chips for use with its instruments.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has incurred recurring losses each year since its inception, the Company expects its cash and cash equivalents, and marketable securities will be able to fund its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regarding interim financial reporting. All intercompany transactions are eliminated. Certain information and note disclosures normally included in financial statements prepared in accordance with U.S. GAAP have been condensed or omitted pursuant to such rules and regulations.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the notes thereto included in the Company’s Annual Report on Form 10-K for the year ended December 31, 2021. The condensed consolidated balance sheet as of December 31, 2021 included herein was derived from the audited consolidated financial statements as of that date, but does not include all disclosures, including certain notes required by U.S. GAAP, on an annual reporting basis.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opinion of management, the accompanying condensed consolidated financial statements reflect all normal recurring adjustments necessary to present fairly the financial position, results of operations, and cash flows for the interim periods. The results for the three months ended March 31, 2022 are not necessarily indicative of the results to be expected for any subsequent quarter, the year ending December 31, 2022, or any other period.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as described in the Company’s audited consolidated financial statements as of and for the years ended December 31, 2021 and 2020.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Outbreak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the Company’s operating results, financial condition and cash flows. The COVID-19 pandemic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would disrupt or delay the Company’s receipt of instruments, components and supplies from the third parties the Company relies on to, among other things, produce its products currently under development. The COVID-19 pandemic has also had an adverse effect on the Company’s ability to attract, recruit, interview and hire at the pace the Company would typically expect to support its rapidly expanding operations. To the extent that any governmental authority imposes additional regulatory requirements or changes existing laws, regulations, and policies that apply to the Company’s business and operations, such as additional workplace safety measures, the Company’s product development plans may be delayed, and the Company may incur further costs in bringing its business and operations into compliance with changing or new laws, regulations, and policies. The full extent to which the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estimates of the impact on the Company’s business may change based on new information that may emerge concerning COVID-19 and the actions to contain it or address its impact and the economic impact on local, regional, national and international markets as well as other changes in macroeconomic factors. The COVID-19 pandemic and related economic disruptions have not had a material adverse impact on the Company’s operations to date. While the Company is unable to predict the full impact that the COVID-19 pandemic will have on the Company’s future results of operations, liquidity and financial condition due to numerous uncertainties, including the duration of the pandemic, the actions that may be taken by government authorities across the United States, adverse changes in macroeconomic conditions, if sustained or recurrent, could result in significant changes in costs going forward with material adverse effect on the Company’s operating results, financial condition, and cash flows.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and cash equivalents and marketable securities. As of March 31, 2022 and December 31, 2021, substantially all of the Company’s cash and cash equivalents and marketable securities were invested in fixed income mutual funds at one financial institution. The Company also maintains balances in various operating accounts above federally insured limits. The Company has not experienced any significant losses on such accounts and does not believe it is exposed to any significant credit risk on cash and cash equivalents and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for consistency with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included:</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allowances with respect to deferred tax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for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used for leases;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of warrant liabilities;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underlying the fair value used in the calculation of the stock-based compensation.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investments in marketable securities consist of ownership interests in fixed income mutual funds. The securities are stated at fair value, as determined by quoted market prices. As the securities have readily determinable fair value, unrealized gains and losses are reported as Other expense, net on the condensed consolidated statements of operations and comprehensive loss. Subsequent gains or losses realized upon redemption or sale of these securities are also recorded as Other expense, net on the condensed consolidated statements of operations and comprehensive loss. The Company considers all of its investments in marketable securities as available for use in current operations and therefore classifies these securities within current assets on the condensed consolidated balance sheets. For the three months ended March 31, 2022, the Company recognized $11,511 of unrealized losses related to securities still held as of March 31, 2022 and $50 of realized losses related to securities that matured or were sold during the three months ended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December 31, 2021, the Company lost its emerging growth company status which accelerated the adoption of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Company’s adoption of ASU 2016-02 was effective retrospectively to January 1, 2021, the beginning of the year. In accordance with ASU 2016-02, for arrangements in existence as of January 1, 2021 and any new arrangements entered into thereafter, the Company determines if an arrangement is a lease at inception and records right-of-use (“ROU”) assets and lease liabilities on the condensed consolidated balance sheets at lease commencement.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leases generally do not have a readily determinable implicit discount rate. As such, the Company uses an incremental borrowing rate based on the information available at the lease commencement date to determine the present value of the lease payments. The Company’s incremental borrowing rate is the estimated rate that would be required to pay for a collateralized borrowing equal to the total lease payment over the lease term.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monthly rental payments as incurred in Selling, general and administrative and in Research and development in the condensed consolidated statements of operations and comprehensive loss. The Company’s lease agreements contain variable lease costs for common area maintenance, utilities, taxes and insurance, which are expensed as incurred.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its adoption of the new lease standard effective January 1, 2021, the Company has implemented new accounting policies and processes which changed the Company’s internal controls over financial reporting for lease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which represents the excess of purchase price over the fair value of net assets acquired, is carried at cost. Goodwill is not amortized; rather, it is subject to a periodic assessment for impairment by applying a fair value-based test. Beginning in 2022, the Company will review goodwill for possible impairment annually during the fourth quarter as of October 1, or whenever events or circumstances indicate that the carrying amount may not be recoverable.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test goodwill for impairment, an entity is permitted to first assess qualitative factors to determine whether a quantitative assessment of goodwill is necessary. The qualitative factors considered by the Company may include, but are not limited to, general economic conditions, the Company’s outlook, market performance of the Company’s industry and recent and forecasted financial performance. Further testing is only required if the entity determines, based on the qualitative assessment, that it is more likely than not that a reporting unit’s fair value is less than its carrying amount. Otherwise, no further impairment testing is required. If a quantitative assessment is required, the Company determines the fair value of its reporting unit using a combination of the income and market approaches. If the net book value of the reporting unit exceeds its fair value, the Company recognizes a goodwill impairment charge for the reporting unit equal to the lesser of (i) the total goodwill allocated to that reporting unit and (ii) the amount by which that reporting unit’s carrying amount exceeds its fair value. Assumptions and estimates used in the evaluation of impairment may affect the carrying value of long-lived assets, which could result in impairment charges in future periods. Such assumptions include projections of future cash flows and the current fair value of the asset. No impairments were recorded for the three months ended March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its long-lived assets for impairment at least annually or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three months ended March 31, 2022 or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Company’s outstanding warrants include publicly-traded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“Sponsor”). The Company evaluated its warrants under Accounting Standards Codification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(“ASC 815-40”), and concluded that they do not meet the criteria to be classified in stockholders’ equity. Since the Public Warrants and Private Warrants meet the definition of a derivative under ASC 815-40, the Company recorded these warrants as long-term liabilities on the condensed consolidated balance sheet at fair value upon the Closing of the Business Combination,</w:t>
      </w:r>
    </w:p>
    <w:p>
      <w:pPr>
        <w:sectPr>
          <w:pgSz w:w="11900" w:h="16838" w:orient="portrait"/>
          <w:cols w:equalWidth="0" w:num="1">
            <w:col w:w="11240"/>
          </w:cols>
          <w:pgMar w:left="320" w:top="122" w:right="339" w:bottom="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with subsequent changes in their respective fair values recognized in the condensed consolidated statements of operations and comprehensive loss at each reporting date.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new accounting pronouncement issued or effective during the three months ended March 31, 2022 had, or is expected to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discussed in Note 1, “Organization and Description of Business,” on June 10, 2021, the Company consummated the Business Combination, with Legacy Quantum-Si surviving the Merger as a wholly owned subsidiary of the Company.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Business Combination Agreement, at the effective time of the Merger (the “Effective Time”), each share of Legacy Quantum-Si capital stock (other than shares of Legacy Quantum-Si Series A preferred stock) that was issued and outstanding was automatically cancelled and extinguished and converted into the right to receive 0.7975 (the “Exchange Ratio”) shares of the Company’s Class A common stock, and each share of Legacy Quantum-Si Series A preferred stock that was issued and outstanding was automatically cancelled and extinguished and converted into the right to receive the number of shares of the Company’s Class B common stock equal to the Exchange Ratio.</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number of shares of the Company’s Class A common stock outstanding immediately following the Closing was 116,463,160, and the total number of the Company’s Class B common stock outstanding immediately following the Closing was 19,937,500.</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Business Combination, certain institutional investors purchased from the Company an aggregate of 42,500,000 shares of the Company’s Class A common stock for a purchase price of $10.00 per share and an aggregate purchase price of $425,001 pursuant to separate subscription agreements entered into effective as of February 18, 2021. In addition, pursuant to subscription agreements entered into effective as of February 18, 2021, certain affiliates of Foresite Capital Management, LLC purchased an aggregate of 696,250 shares of the Company’s Class A common stock at a purchase price of $0.001 per share for aggregate purchase price of $1 after a corresponding number of shares of the Company’s Class B common stock was irrevocably forfeited by the Sponsor to HighCape for no consideration and automatically cancelled.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Business Combination is accounted for as a reverse recapitalization in accordance with U.S. GAAP primarily due to the fact that Legacy Quantum-Si stockholders continued to control the Company following the Closing of the Business Combination. Under this method of accounting, HighCape is treated as the “acquired” company for accounting purposes and the Business Combination is treated as the equivalent of Legacy Quantum-Si issuing stock for the net assets of HighCape, accompanied by a recapitalization. The net assets of HighCape are stated at historical cost, with no goodwill or other intangible assets recorded. Reported shares and earnings per share available to holders of the Company’s capital stock and equity awards prior to the Business Combination have been retroactively restated reflecting the Exchange Ratio.</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the Closing, the Company’s certificate of incorporation was amended and restated to, among other things, adopt a dual class structure, comprised of the Company’s Class A common stock, which is entitled to one vote per share, and the Company’s Class B common stock, which is entitled to 20 votes per share. The Company’s Class B common stock has the same economic terms as the Company’s Class A common stock, but is subject to a “sunset” provision if Jonathan M. Rothberg, Ph.D., the founder of Legacy Quantum-Si, Interim Chief Executive Officer and Executive Chairman of the Company (“Dr. Rothberg”), and other permitted holders of the Company’s Class B common stock collectively cease to beneficially own at least twenty percent (20%) of the number of shares of the Company’s Class B common stock (as such number of shares is equitably adjusted in respect of any reclassification, stock dividend, subdivision, combination or recapitalization of the Company’s Class B common stock) collectively held by Dr. Rothberg and permitted transferees of the Company’s Class B common stock as of the Effective Time.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916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Majelac Technologies LLC</w:t>
      </w:r>
    </w:p>
    <w:p>
      <w:pPr>
        <w:jc w:val="both"/>
        <w:spacing w:after="0" w:line="269" w:lineRule="auto"/>
        <w:rPr>
          <w:sz w:val="20"/>
          <w:szCs w:val="20"/>
          <w:color w:val="auto"/>
        </w:rPr>
      </w:pPr>
      <w:r>
        <w:rPr>
          <w:rFonts w:ascii="Arial" w:cs="Arial" w:eastAsia="Arial" w:hAnsi="Arial"/>
          <w:sz w:val="17"/>
          <w:szCs w:val="17"/>
          <w:color w:val="auto"/>
        </w:rPr>
        <w:t>Pursuant to the terms and conditions of an Asset Purchase Agreement by and among the Company, Majelac Technologies LLC (“Majelac”), and certain other parties, on November 5, 2021 (the “Closing Date”), the Company acquired certain assets and assumed certain liabilities of Majelac, a privately-owned company providing semiconductor chip assembly and packaging capabilities located in Pennsylvania, for $4,632 in cash including $132 in reimbursement for certain recently purchased equipment, and 535,715 shares of Class A common stock, valued at $4,232, issued to Majelac subject to certain restrictions. An additional 59,523 shares of Class A common stock valued at $471 will be issued to Majelac 12 months after the Closing Date less the number of shares of Class A common stock that may be required by the buyer indemnitees to satisfy any unresolved claims for indemnification, if any. The Company also assumed the legal fees of Majelac of $50. Additional purchase price consideration of $500 in cash will be paid six months after the Closing date less any amount that may be required by the buyer indemnitees to satisfy any unresolved claims for indemnification, if any. The Company may pay up to an additional $800 valued at $531 subject to certain future milestones being met. The acquisition brings semiconductor chip assembly and packaging capabilities in-house to secure the Company’s supply chain and support scaling commercialization efforts. Prior to the acquisition, Majelac was a vendor of the Company. On May 4, 2022, the Company paid Majelac $500 in cash for the additional purchase price consideration and $400 in cash since the first of two milestones was met.</w:t>
      </w:r>
    </w:p>
    <w:p>
      <w:pPr>
        <w:sectPr>
          <w:pgSz w:w="11900" w:h="16838" w:orient="portrait"/>
          <w:cols w:equalWidth="0" w:num="1">
            <w:col w:w="11240"/>
          </w:cols>
          <w:pgMar w:left="320" w:top="122" w:right="3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purchase price allocation at the acquisition date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Purchase Price</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89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980" w:hanging="97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27</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906</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9,483</w:t>
      </w:r>
    </w:p>
    <w:p>
      <w:pPr>
        <w:spacing w:after="0" w:line="41" w:lineRule="exact"/>
        <w:rPr>
          <w:sz w:val="20"/>
          <w:szCs w:val="20"/>
          <w:color w:val="auto"/>
        </w:rPr>
      </w:pPr>
    </w:p>
    <w:p>
      <w:pPr>
        <w:ind w:left="660" w:hanging="656"/>
        <w:spacing w:after="0"/>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10,416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28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57785</wp:posOffset>
            </wp:positionV>
            <wp:extent cx="728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260" w:space="720"/>
            <w:col w:w="1260"/>
          </w:cols>
          <w:pgMar w:left="320" w:top="122" w:right="339" w:bottom="1440" w:gutter="0" w:footer="0" w:header="0"/>
          <w:type w:val="continuous"/>
        </w:sectPr>
      </w:pP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estimated fair values of consideration transferred, assets acquired and liabilities assumed are provisional and are based on the information that was available as of the acquisition date. The Company believes that information provides a reasonable basis for estimating the fair values of assets acquired and liabilities assumed. Thus, the preliminary measurements of fair value set forth above may be subject to change. The Company expects to finalize the valuation as soon as practicable but no later than one year from the acquisition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represents the excess of the consideration transferred over the aggregate fair values of assets acquired and liabilities assumed. The goodwill recorded in connection with this acquisition was based on operating synergies and other benefits expected to result from the combined operations. The goodwill acquired is amortizable for tax purposes over a period of 15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Acquisition-related costs recognized for the three months ended March 31, 2022 including transaction costs such as legal, accounting, valuation and other professional services, were $25 and are included in Selling, general and administrative on the condensed consolidated statements of operations and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based on inputs that are supported by little or no market activity and that are significant to the fair value of the assets or liabilities.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carrying value of cash and cash equivalents, accounts payable and accrued expenses and other current liabilities approximates their fair values due to the short-term or on demand nature of these instruments. There were no transfers between fair value measurement levels during the three months ended March 31, 2022. The Company accounted for the warrants as liabilities in accordance with ASC 815-40 and are presented as Warrant liabilities on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sectPr>
          <w:pgSz w:w="11900" w:h="16838" w:orient="portrait"/>
          <w:cols w:equalWidth="0" w:num="1">
            <w:col w:w="11240"/>
          </w:cols>
          <w:pgMar w:left="320" w:top="122" w:right="339"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Public Warrants and Private Warrants were carried at fair value as of March 31, 2022.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March 31, 2022, the significant assumptions used in preparing the binomial lattice model for valuing the Private Warrants liability include (i) volatility of 64.1%, (ii) risk-free interest rate of 2.42%, (iii) strike price of $11.50, (iv) fair value of common stock of $4.68, and (v) expected life of 4.4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Fixed income mutual funds were valued using quoted market prices and accordingly were classified as Level 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 by level,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mutual funds - Cash and cash equivalents</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399,810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399,810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428,927</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428,927</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4,408</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4,592</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4,408</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mutual funds - Cash and cash equivalents</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435,519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469,484</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469,484</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6,900</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7,239</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6,900</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339</w:t>
            </w:r>
          </w:p>
        </w:tc>
        <w:tc>
          <w:tcPr>
            <w:tcW w:w="0" w:type="dxa"/>
            <w:vAlign w:val="bottom"/>
          </w:tcPr>
          <w:p>
            <w:pPr>
              <w:spacing w:after="0"/>
              <w:rPr>
                <w:sz w:val="1"/>
                <w:szCs w:val="1"/>
                <w:color w:val="auto"/>
              </w:rPr>
            </w:pPr>
          </w:p>
        </w:tc>
      </w:tr>
      <w:tr>
        <w:trPr>
          <w:trHeight w:val="21"/>
        </w:trPr>
        <w:tc>
          <w:tcPr>
            <w:tcW w:w="58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6. PROPERTY AND EQUIPMENT, NET</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5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5"/>
          </w:tcPr>
          <w:p>
            <w:pPr>
              <w:spacing w:after="0"/>
              <w:rPr>
                <w:sz w:val="20"/>
                <w:szCs w:val="20"/>
                <w:color w:val="auto"/>
              </w:rPr>
            </w:pPr>
            <w:r>
              <w:rPr>
                <w:rFonts w:ascii="Arial" w:cs="Arial" w:eastAsia="Arial" w:hAnsi="Arial"/>
                <w:sz w:val="18"/>
                <w:szCs w:val="18"/>
                <w:color w:val="auto"/>
              </w:rPr>
              <w:t>Property and equipment, net, are recorded at historical cost and consist of the following:</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production equipment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(4,327)</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5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amounted to $452 and $213 for the three months ended March 31, 2022 and 2021, respectively.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Contracted services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 costs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Legal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8,779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7,276</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commitments under lease arrangements for office and manufacturing space and office equipment. The Company’s leases have initial lease terms ranging from one year to 10 years. These leases include options to extend or renew the leases for an additional period of one to 10 years.</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leases are accounted for on the condensed consolidated balance sheets with ROU assets being recognized in “Operating lease right-of-use assets” and lease liabilities recognized in “Short-term operating lease liabilities” and “Operating lease liabilities”. Lease-related costs are included in Research and development and Selling, general and administrative in the condensed consolidated statements of operations and comprehensive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89"/>
              </w:rPr>
              <w:t>Lease-related costs for the three months ended March 31, 2022</w:t>
            </w:r>
          </w:p>
        </w:tc>
        <w:tc>
          <w:tcPr>
            <w:tcW w:w="4280" w:type="dxa"/>
            <w:vAlign w:val="bottom"/>
            <w:gridSpan w:val="3"/>
          </w:tcPr>
          <w:p>
            <w:pPr>
              <w:jc w:val="right"/>
              <w:ind w:right="2376"/>
              <w:spacing w:after="0"/>
              <w:rPr>
                <w:sz w:val="20"/>
                <w:szCs w:val="20"/>
                <w:color w:val="auto"/>
              </w:rPr>
            </w:pPr>
            <w:r>
              <w:rPr>
                <w:rFonts w:ascii="Arial" w:cs="Arial" w:eastAsia="Arial" w:hAnsi="Arial"/>
                <w:sz w:val="18"/>
                <w:szCs w:val="18"/>
                <w:color w:val="auto"/>
                <w:w w:val="92"/>
              </w:rPr>
              <w:t>and 2021 are as follows: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4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Short-term lease cost</w:t>
            </w: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lease cost</w:t>
            </w:r>
          </w:p>
        </w:tc>
        <w:tc>
          <w:tcPr>
            <w:tcW w:w="4280" w:type="dxa"/>
            <w:vAlign w:val="bottom"/>
            <w:gridSpan w:val="3"/>
          </w:tcPr>
          <w:p>
            <w:pPr>
              <w:jc w:val="right"/>
              <w:ind w:right="16"/>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1,115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w:t>
            </w:r>
          </w:p>
        </w:tc>
      </w:tr>
      <w:tr>
        <w:trPr>
          <w:trHeight w:val="20"/>
        </w:trPr>
        <w:tc>
          <w:tcPr>
            <w:tcW w:w="8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860" w:type="dxa"/>
            <w:vAlign w:val="bottom"/>
            <w:gridSpan w:val="4"/>
          </w:tcPr>
          <w:p>
            <w:pPr>
              <w:spacing w:after="0"/>
              <w:rPr>
                <w:sz w:val="20"/>
                <w:szCs w:val="20"/>
                <w:color w:val="auto"/>
              </w:rPr>
            </w:pPr>
            <w:r>
              <w:rPr>
                <w:rFonts w:ascii="Arial" w:cs="Arial" w:eastAsia="Arial" w:hAnsi="Arial"/>
                <w:sz w:val="18"/>
                <w:szCs w:val="18"/>
                <w:color w:val="auto"/>
              </w:rPr>
              <w:t>Other information related to operating leases as of March 31, 2022 and December 31, 2021 is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8.0</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5"/>
              </w:rPr>
              <w:t>5.9</w:t>
            </w:r>
          </w:p>
        </w:tc>
        <w:tc>
          <w:tcPr>
            <w:tcW w:w="100" w:type="dxa"/>
            <w:vAlign w:val="bottom"/>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ind w:left="62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w w:val="87"/>
              </w:rPr>
              <w:t>7.0%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certain cash flow and supplemental cash flow information related to the Company’s lease liabilities for the three months ended March 31,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paid to settle operating lease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Future minimum lease payments under non-cancellable leases as of March 31, 2022 are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w w:val="95"/>
              </w:rPr>
              <w:t>Operating Leases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16,547</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9,580</w:t>
            </w:r>
          </w:p>
        </w:tc>
        <w:tc>
          <w:tcPr>
            <w:tcW w:w="100" w:type="dxa"/>
            <w:vAlign w:val="bottom"/>
          </w:tcPr>
          <w:p>
            <w:pPr>
              <w:spacing w:after="0"/>
              <w:rPr>
                <w:sz w:val="18"/>
                <w:szCs w:val="18"/>
                <w:color w:val="auto"/>
              </w:rPr>
            </w:pPr>
          </w:p>
        </w:tc>
      </w:tr>
      <w:tr>
        <w:trPr>
          <w:trHeight w:val="264"/>
        </w:trPr>
        <w:tc>
          <w:tcPr>
            <w:tcW w:w="8680" w:type="dxa"/>
            <w:vAlign w:val="bottom"/>
            <w:tcBorders>
              <w:bottom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Less: Lease incentives </w:t>
            </w:r>
            <w:r>
              <w:rPr>
                <w:rFonts w:ascii="Arial" w:cs="Arial" w:eastAsia="Arial" w:hAnsi="Arial"/>
                <w:sz w:val="29"/>
                <w:szCs w:val="29"/>
                <w:color w:val="auto"/>
                <w:vertAlign w:val="superscript"/>
              </w:rPr>
              <w:t>(1)</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tcPr>
          <w:p>
            <w:pPr>
              <w:spacing w:after="0"/>
              <w:rPr>
                <w:sz w:val="18"/>
                <w:szCs w:val="18"/>
                <w:color w:val="auto"/>
              </w:rPr>
            </w:pPr>
          </w:p>
        </w:tc>
        <w:tc>
          <w:tcPr>
            <w:tcW w:w="1100" w:type="dxa"/>
            <w:vAlign w:val="bottom"/>
            <w:gridSpan w:val="3"/>
          </w:tcPr>
          <w:p>
            <w:pPr>
              <w:ind w:left="8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16,359</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29"/>
          <w:szCs w:val="29"/>
          <w:color w:val="auto"/>
          <w:vertAlign w:val="superscript"/>
        </w:rPr>
        <w:t>(1)</w:t>
      </w:r>
      <w:r>
        <w:rPr>
          <w:sz w:val="20"/>
          <w:szCs w:val="20"/>
          <w:color w:val="auto"/>
        </w:rPr>
        <w:tab/>
      </w:r>
      <w:r>
        <w:rPr>
          <w:rFonts w:ascii="Arial" w:cs="Arial" w:eastAsia="Arial" w:hAnsi="Arial"/>
          <w:sz w:val="16"/>
          <w:szCs w:val="16"/>
          <w:color w:val="auto"/>
        </w:rPr>
        <w:t>Includes lease incentives that will be realized in 2022.</w:t>
      </w:r>
    </w:p>
    <w:p>
      <w:pPr>
        <w:sectPr>
          <w:pgSz w:w="11900" w:h="16838" w:orient="portrait"/>
          <w:cols w:equalWidth="0" w:num="1">
            <w:col w:w="11240"/>
          </w:cols>
          <w:pgMar w:left="320" w:top="114" w:right="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as described in Note 3 “Business Combination”.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and the Company no longer makes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the Company granted 4,371,150 option awards subject to service conditions. The service condition requires the participant’s continued employment with the Company through the applicable vesting date. Stock-based compensation for stock options for the three months ended March 31, 2022 and 2021 was $1,494 and $457,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2013 Plan and the 2021 Plan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 Average</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Contractual Term</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54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7,726,972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4,371,150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(403,020)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(329,897)</w:t>
            </w: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11,365,205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12,341</w:t>
            </w: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Options exercisable at March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4,064,440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7,802</w:t>
            </w: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March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10,405,587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2022, the Company did not grant any restricted stock unit (“RSU”) awards. On February 8, 2022, John Stark, the Company’s then-Chief Executive Officer and member of its board of directors, stepped down from all of his positions with the Company. As a result of Mr. Stark not meeting the service conditions of certain awards previously granted to him, 1,731,371 RSU awards were forfeited resulting in a reversal of stock-based compensation for the three months ended March 31, 2022 of $4,742. Stock-based compensation for RSU awards for the three months ended March 31, 2022 and 2021 was $(2,208) and $0,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 summary of the RSU activity under the 2013 Plan and the 2021 Plan is presented in the table below:</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1"/>
              </w:rPr>
              <w:t>Underlying</w:t>
            </w: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9"/>
              </w:rPr>
              <w:t>Average Grant-</w:t>
            </w:r>
          </w:p>
        </w:tc>
      </w:tr>
      <w:tr>
        <w:trPr>
          <w:trHeight w:val="241"/>
        </w:trPr>
        <w:tc>
          <w:tcPr>
            <w:tcW w:w="8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RSUs</w:t>
            </w: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2021</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(543,967)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23"/>
        </w:trPr>
        <w:tc>
          <w:tcPr>
            <w:tcW w:w="86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(1,731,371)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56"/>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RSUs at March 31, 2022</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2,311,634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color w:val="auto"/>
                <w:w w:val="95"/>
              </w:rPr>
              <w:t>The Company’s stock-based compensation is allocated to the following operating expense categories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8"/>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56"/>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those presented in the table below, to the extent dilutive. Basic and diluted net loss per share was the same for each period presented as the inclusion of all common share equivalents would have been anti-dilutive.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3"/>
              </w:rPr>
              <w:t>The following table presents the calculation of basic and diluted net loss per share for the Company’s common stock:</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(11,779)</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Numerator for basic and diluted EPS - loss attributable to common stockholders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(35,175)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(11,779)</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138,619,929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5,528,551</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Denominator for basic and diluted EPS - weighted-average common stock</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138,619,929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5,528,551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(0.25)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Company was in a net loss position for all periods presented, the basic net loss per shares calculation excludes preferred stock as it does not participate in net losses of the Company. Additionally, 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11,365,205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7,814,189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Outstanding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2,311,634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4,474,575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Outstanding convertible preferred stock (Series A through 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90,789,268</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17,645,158</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103,078,032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of March 31, 2022,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the Public Warrants under ASC 815-40, in conjunction with the SEC Division of Corporation Finance’s April 12, 2021 Public Statement, </w:t>
      </w:r>
      <w:r>
        <w:rPr>
          <w:rFonts w:ascii="Arial" w:cs="Arial" w:eastAsia="Arial" w:hAnsi="Arial"/>
          <w:sz w:val="18"/>
          <w:szCs w:val="18"/>
          <w:i w:val="1"/>
          <w:iCs w:val="1"/>
          <w:color w:val="auto"/>
        </w:rPr>
        <w:t>Staff Statement on Accounting and Reporting Considerations for Warrants Issued by Special Purpose Acquisition Companies (“SPACs”)</w:t>
      </w:r>
      <w:r>
        <w:rPr>
          <w:rFonts w:ascii="Arial" w:cs="Arial" w:eastAsia="Arial" w:hAnsi="Arial"/>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2022,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Private Warrants under ASC 815-40,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warrant liabilities was $4,592 as of March 31, 2022. The Company recognized a gain of $2,647 as a Change in fair value of warrant liabilities in the condensed consolidated statement of operations and comprehensive loss for the three months ended March 31, 2022. There were no exercises or redemptions of the Public Warrants or Private Warrants during the three months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Income taxes for the three months ended March 31, 2022 and 2021 are recorded at the Company’s estimated annual effective income tax rate, subject to adjustments for discrete events, if they occur. The Company’s estimated annual effective tax rate was 0.0% for the three months ended March 31, 2022 and 2021. The primary reconciling items between the federal statutory rate of 21.0% for these periods and the Company’s overall effective tax rate of 0.0% were related to the effects of deferred state income taxes, nondeductible stock-based compensation, changes in the fair value of warrant liabilities, research and development credits, and the valuation allowance recorded against the full amount of its net deferred tax assets.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2022 and 2021 since management believes that based on the earnings history of the Company, it is more likely than not that the benefits of these assets will not be realized.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Business Combination, as well as any other equity issuances during the year, the Company is currently evaluating whether an ownership change has occurred under Section 382 of the Internal Revenue Code of 1986, as amended, and whether the Company’s ability to use its pre-change net operating loss and tax credit carryforwards will be limited in future periods. The Company expects to complete its analysis during 2022.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utilizes and subleases office and laboratory space in a building owned by a related party. The Company paid $80 under month-to-month lease arrangements for this space for the three months ended March 31, 2022 and 2021.</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was a party to an Amended and Restated Technology Services Agreement (the “ARTSA”), most recently amended on November 11, 2020, by and among 4Catalyzer Corporation (“4C”), the Company and other participant companies controlled by the Rothberg family.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$210 and $535, which included $50 and $38 under month-to-month sublease arrangements for office and laboratory spaces from 4C, during the three months ended March 31, 2022 and 2021, respectively. The amounts advanced and due to 4C at March 31, 2022 and December 31, 2021, related to operating expenses was $140, of which $72 is included in Accrued expenses and other current liabilities and $68 is included in Accounts payable, and $128, which is included in Accounts payable on the condensed consolidated balance sheets, respectively.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ARTSA also provided for the participant companies to provide other services to each other. The Company also had transactions with other entities under common ownership, which included payments made to third parties on behalf of the Company. The amounts remaining payable at March 31, 2022 and December 31, 2021 were $0 and $17, respectively, and are included in the Accounts payable on the condensed consolidated balance sheets. In addition, the Company had transactions with these other entities under common ownership which included payments made by the Company to third parties on behalf of the other entities. The amounts remaining payable at March 31, 2022 and December 31, 2021 are in the aggregate $16 and $15, respectively, and are reflected in the Prepaid expenses and other current assets on the condensed consolidated balance sheets.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is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There was no amount payable at December 31, 2021. The amount payable at March 31, 2022 was $1,135 and is reflected in Accrued expenses and other current liabilities on the condensed consolidated balance sheets. Effective March 31, 2022, the Collaboration with PEI was terminated. On May 5, 2022, the Company paid PEI $1,135 under the Collaboration.</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Dr. Rothberg and the Company entered into an Executive Chairman Agreement as of June 10, 2021 (the “Executive Chairman Agreement”) in which Dr. Rothberg provides consulting services to the Company for $400 annually. In addition to the Executive Chairman Agreement, Dr. Rothberg also receives fees as the Company’s Chairman of the Board of Directors and a member of the Nominating and Corporate Governance Committee. Quantum-Si paid $114 to Dr. Rothberg for the three months ended March 31, 2022 for the services that were provided to the Company. Dr. Rothberg does not receive any additional compensation for serving as the Company’s Interim Chief Executive Officer.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related to certain intellectual property: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licenses certain intellectual property, some of which may be utilized in its future product offering. To preserve the right to use such intellectual property, the Company is required to make annual minimum fixed payments totaling $220. Once the Company commercializes its product and begins to generate revenues, there will be royalties payable by the Company based on the current anticipated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The Company did not make any matching contributions to the 401(k) plan for the three months ended March 31, 2022 and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condensed consolidated statements of operations and comprehensive loss in connection with the indemnification provisions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2022, the Company entered into a lease for a facility in Branford, Connecticut for a term of approximately 7 years. Future minimum lease payments under this lease are $1,156.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2021 contained in our Annual Report on Form 10-K for the year ended December 31, 2021, filed with the Securities and Exchange Commission (the “SEC”) on March 1, 2022. This discussion contains forward looking statements and involves numerous risks and uncertainties, including, but not limited to, those described in the “Risk Factors” section of our Annual Report on Form 10-K for the year ended December 31, 2021.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months ended March 31, 2022 and 2021, respectively, present the financial position and results of operations of Quantum-Si Incorporated and its consolidated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an innovative life sciences company with the mission of transforming single molecule analysis and democratizing its use by providing researchers and clinicians access to the proteome, the set of proteins expressed within a cell. We have developed a proprietary universal single molecule detection platform that we are first applying to proteomics to enable Next Generation Protein Sequencing (“NGPS”), the ability to sequence proteins in a massively parallel fashion (rather than sequentially, one at a time), and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successfully launch and commercialize our platform, for research use only (“RUO”), in the second half of 2022, and have initiated our early access limited release to enable key thought leaders early access to our platform in 2021. We believe we are the first company to successfully enable NGPS on a semiconductor chip, thus digitizing a massive proteomics opportunity, which allows for a massively parallel solution at the ultimate level of sensitivity — single molecule detection.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platform will offer a differentiated end-to-end workflow solution in a rapidly evolving proteomics tools market. Within our initial focus market of proteomics, our workflow will be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2021, we introduced our Platinum early access program to sites with participation from leading academic centers and key industry partners. The early access program introduced the Platinum single molecule sequencing system to key opinion leaders across the globe, for both expansion and development of applications and workflows. In the second half of 2022, we plan to have our initial launch of our Platinum instrument for research use only.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our operating results, financial condition and cash flows. The COVID-19 pandemic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currently under development.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 The full extent to which the COVID-19 pandemic will directly or indirectly impact our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estimates of the impact on our business may change based on new information that may emerge concerning COVID-19 and the actions to contain it or address its impact and the economic impact on local, regional, national and international markets as well as other changes in macroeconomic factors. The COVID-19 pandemic and related economic disruptions have not had a material adverse impact on our operations to date. While we are unable to predict the full impact that the COVID-19 pandemic will have on our future results of operations, liquidity and financial condition due to numerous uncertainties, including the duration of the pandemic, the actions that may be taken by government authorities across the United States, adverse changes in macroeconomic conditions, if sustained or recurrent, could result in significant changes in costs going forward with material adverse effect on our operating results, financial condition, and cash flows.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incurred any significant impairment losses in the carrying values of our assets as a result of the COVID-19 pandemic and are not aware of any specific related event or circumstance that would require us to revise our estimates reflected in our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2021, we consummated the previously announced Business Combination. The Business Combination was approved by HighCape’s stockholders at its special meeting held on June 9, 2021. The transaction resulted in the combined company being renamed “Quantum-Si Incorporated” and Legacy Quantum-Si being renamed “Q-SI Operations Inc.” The combined company’s Class A common stock and warrants to purchase Class A common stock commenced trading on Nasdaq on June 11, 2021 under the symbol “QSI” and “QSIAW”, respectively. As a result of the Business Combination, we received proceeds of approximately $511.2 million on the day of Closing. See Note 3 “Business Combination” in our condensed consolidated financial statements included elsewhere in this Quarterly Report on Form 10-Q for further information regarding the business combination.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February 8, 2022, John Stark’s employment with us as our Chief Executive Officer and his service as a member of our board of directors ended. We have launched a search for Mr. Stark’s replacement and, pending such replacement, Jonathan M. Rothberg, Ph.D., the Executive Chairman of our board of directors, will serve as Interim Chief Executive Officer. We and Mr. Stark entered into a separation agreement (the “Separation Agreement”), dated as of February 11, 2022, that provided that Mr. Stark was entitled to: (i) severance pay equal to $500,000, or one year of his then current annual base salary, (ii) an annual bonus equal to $352,750 for the year ended December 31, 2021 and (iii) a special bonus equal to $250,000. The total amount paid to Mr. Stark regarding the Separation Agreement in the three months ended March 31, 2022 was $1,102,750. A copy of the Separation Agreement was filed as Exhibit 10.8 to our Annual Report on Form 10-K filed with the SEC on March 1, 2022.</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Rothberg does not receive any additional compensation for serving as Interim Chief Executive Officer. Dr. Rothberg also continues to serve as Executive Chairman of our board of directors.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as of May 6, 2022, our board of directors approved a title change for Michael P. McKenna, Ph.D., from President and Chief Operating Officer to Executive Vice President, Product Development and Operations. Effective as of May 9, 2022, Patrick Schneider joined us as our President and Chief Operating Officer.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primarily consist of personnel costs and benefits, stock-based compensation, lab supplies, consulting and professional services, fabrication services, facilities costs, software, and other outsourced expenses. Research and development expenses are expensed as incurred. All of our research and development expenses are related to developing new products and services. We expect to continue to make substantial investments in research and development activities in the future as we continue to prepare for our anticipated commercialization.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expense, office expenses, product advertising and marketing. We expect our selling, general and administrative expenses to increase in the foreseeable future as we near our anticipated commercial launch date, which is expected in the second half of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primarily consists of dividends earned on fixed income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primarily consists of the change in the fair value of our publicly traded warrants (the “Public Warrants”) and our warrants sold in a private placement (the “Private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primarily consists of unrealized losses on fixed income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March 31, 2022 and 2021. Based on the available evidence, we believe that it is more likely than not that we will be unable to utilize all of our deferred tax assets in the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our results of operations for the three months ended March 31, 2022 and 2021 and our accounting policies are described in Note 2 “Summary of Significant Accounting Policies” in our condensed consolidated financial statements included elsewhere in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7,972</w:t>
            </w:r>
          </w:p>
        </w:tc>
        <w:tc>
          <w:tcPr>
            <w:tcW w:w="12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135.5%</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3,807</w:t>
            </w:r>
          </w:p>
        </w:tc>
        <w:tc>
          <w:tcPr>
            <w:tcW w:w="126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119.8%</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27,140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11,779</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130.4%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(27,140)</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(11,779)</w:t>
            </w:r>
          </w:p>
        </w:tc>
        <w:tc>
          <w:tcPr>
            <w:tcW w:w="126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130.4%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left="610"/>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(35,175)</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(11,779)</w:t>
            </w:r>
          </w:p>
        </w:tc>
        <w:tc>
          <w:tcPr>
            <w:tcW w:w="126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198.6%</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(35,175)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(11,779)</w:t>
            </w:r>
          </w:p>
        </w:tc>
        <w:tc>
          <w:tcPr>
            <w:tcW w:w="126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198.6%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4"/>
          </w:tcPr>
          <w:p>
            <w:pPr>
              <w:ind w:left="7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135.5%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increased by $10.8 million, or 135.5%, for the three months ended March 31, 2022 compared to the three months ended March 31, 2021. This increase was primarily due to an increase of $5.0 million in personnel costs as a result of increased headcount, including $0.9 million of stock-based compensation. In addition, the increase is due to collaboration fees with Protein Evolution, Inc. of $1.1 million, and $4.7 million of other expenses primarily related to internal and external product development activities.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119.8%</w:t>
            </w: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increased by $4.6 million, or 119.8%, for the three months ended March 31, 2022 compared to the three months ended March 31, 2021. This increase was primarily due to a net increase of $0.9 million in personnel costs as a result of increased headcount associated with investments to scale up our administrative and executive functions, partially offset by a change in stock-based compensation of $2.0 million. The change in stock-based compensation of $2.0 million resulted from $2.7 million of stock-based compensation, offset by a reversal of $4.7 million as a result of restricted stock unit awards that were forfeited by our former Chief Executive Officer upon his separation from the Company. In addition to personnel costs, the increase was primarily due to an increase of $1.1 million in consulting, legal and patent fees, and an increase of $2.6 million of other selling, general and administrative expenses primarily due to being a publicly traded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20" w:type="dxa"/>
            <w:vAlign w:val="bottom"/>
          </w:tcPr>
          <w:p>
            <w:pPr>
              <w:spacing w:after="0"/>
              <w:rPr>
                <w:sz w:val="24"/>
                <w:szCs w:val="24"/>
                <w:color w:val="auto"/>
              </w:rPr>
            </w:pPr>
          </w:p>
        </w:tc>
        <w:tc>
          <w:tcPr>
            <w:tcW w:w="22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855</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6"/>
              </w:rPr>
              <w:t>855</w:t>
            </w: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$0.9 million for the three months ended March 31, 2022 compared to the three months ended March 31, 2021 as a result of higher invested cash balances in marketable securities.</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fair value of warrant liabilities decreased, which resulted in a gain of $2.6 million for the three months ended March 31, 2022 compared to the three months ended March 31, 2021. The warrant liabilities were recorded as part of the Business Combination and therefore did not exist in the prior year.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net increased by $11.5 million for the three months ended March 31, 2022 compared to the three months ended March 31, 2021 primarily as a result of unrealized losses on cash invested in fixed income mutual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non-GAAP financial measures in order to assist readers of our condensed consolidated financial statements in understanding the core operating results that our management uses to evaluate the business and for financial planning purposes. Our non-GAAP financial measure, Adjusted EBITDA, provides an additional tool for investors to use in comparing our financial performance over multiple periods.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is a key performance measure that our management uses to assess our operating performance. Adjusted EBITDA facilitates internal comparisons of our operating performance on a more consistent basis. We use this performance measure for business planning purposes and forecasting. We believe that Adjusted EBITDA enhances an investor’s understanding of our financial performance as it is useful in assessing our operating performance from period-to-period by excluding certain items that we believe are not representative of our core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Adjusted EBITDA may not be comparable to similarly titled measures of other companies because they may not calculate this measure in the same manner. Adjusted EBITDA is not prepared in accordance with U.S. GAAP and should not be considered in isolation of, or as an alternative to, measures prepared in accordance with U.S. GAAP. When evaluating our performance, you should consider Adjusted EBITDA alongside other financial performance measures prepared in accordance with U.S. GAAP, including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as net loss adjusted to exclude dividend income, change in fair value of warrant liabilities, other expense, net, stock-based compensation and depreciation.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Adjusted EBITDA to net loss, the most directly comparable financial measure calculated and presented in accordance with U.S.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(in thousands)</w:t>
            </w:r>
          </w:p>
        </w:tc>
        <w:tc>
          <w:tcPr>
            <w:tcW w:w="4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(11,779)</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Dividend income</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23"/>
        </w:trPr>
        <w:tc>
          <w:tcPr>
            <w:tcW w:w="4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56"/>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4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(27,402)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340" w:type="dxa"/>
            <w:vAlign w:val="bottom"/>
          </w:tcPr>
          <w:p>
            <w:pPr>
              <w:spacing w:after="0"/>
              <w:rPr>
                <w:sz w:val="24"/>
                <w:szCs w:val="24"/>
                <w:color w:val="auto"/>
              </w:rPr>
            </w:pPr>
          </w:p>
        </w:tc>
        <w:tc>
          <w:tcPr>
            <w:tcW w:w="4340" w:type="dxa"/>
            <w:vAlign w:val="bottom"/>
          </w:tcPr>
          <w:p>
            <w:pPr>
              <w:jc w:val="right"/>
              <w:ind w:right="2908"/>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34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we have generated no revenue and have funded our operations primarily with proceeds from the issuance of equity to private investors. In addition, on June 10, 2021, we completed the Business Combination, and as a result we received proceeds of approximately $511.2 million on the day of the Closing. Our primary uses of liquidity have been operating expenses, capital expenditures and our acquisition of certain assets of Majelac Technologies LLC. Cash flow from operations have been historically negative as we continue to invest in the development of our technology in next generation protein sequencing. We expect to incur negative operating cash flows on an annual basis for the foreseeable future until such time that we can successfully commercialize our products that are currently under development. However, we can provide no assurance that such products will be successfully developed and commercialized in the future.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funds raised in connection with the Business Combination will be sufficient to meet our liquidity, capital expenditure, and anticipated working capital requirements and fund our operations for at least the next 12 months. We expect to use the funds raised in connection with the Business Combination to further invest in the research and development of our products, for other operating expenses, business acquisitions and for working capital and general corporate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we had cash and cash equivalents and investments in marketable securities totaling $434.8 million. Our future capital requirements may vary from those currently planned and will depend on various factors including the timing of product commercialization.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commercialize our products in the second half of 2022. During the ramp up to commercialization, our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commercialization; (iii) changes we may make in our business or commercialization strategy; (iv) the impact of the COVID-19 pandemic; (v) costs of running a public company; and (vi) other items affecting our forecasted level of expenditures and use of cash resources including potential acquisitions.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cash (used in) provided by: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(23,229)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21,698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decrease in 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(10,256)</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represents the cash receipts and disbursements related to our activities other than investing and financing activities. We expect that the cash provided by financing activities in 2021 will continue to be our primary source of funds to support operating needs and capital expenditures for the foreseeable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$23.2 million for the three months ended March 31, 2022 was due primarily to a net loss of $35.2 million and a change in fair value of warrant liabilities of $2.6 million, partially offset by unrealized losses of marketable securities of $11.5 million and net cash inflows from changes in operating assets and liabilities of $3.3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$10.7 million for the three months ended March 31, 2021 was due primarily to a net loss of $11.8 million, partially offset by net cash inflows from changes in operating assets and liabilities of $0.4 million and adjustments for depreciation of $0.2 million and stock-based compensation of $0.5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cash provided by investing activities of $21.7 million in the three months ended March 31, 2022 was due to sales of marketable securities of $25.0 million, offset by purchases of property and equipment of $2.5 million and marketable securities of $0.8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net cash used in investing activities of $0.5 million in the three months ended March 31, 2021 was due to purchases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provided by financing activities of $0.7 million in the three months ended March 31, 2022 was from $0.7 million from proceeds from exercise of stock options and vesting of restricted stock units.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provided by financing activities of $1.0 million in the three months ended March 31, 2021 was primarily from proceeds from exercise of stock options of $1.0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certain facilities and equipment under non-cancellable lease agreements that expire at various dates through 2032. As of March 31, 2022, the future payments, before adjustments for tenant incentives, under leases was $35.0 million, which includes a lease we entered into in December 2021 for a facility in New Haven, Connecticut, which commenced in January 2022.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2022, we entered into a lease for a facility in Branford, Connecticut for a term of approximately 7 years. Future minimum lease payments under this lease are $1.2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related to certain intellectual property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license certain intellectual property, some of which may be utilized in our current or future product offerings. To preserve the right to use such intellectual property, there are minimum annual fixed royalty payments of approximately $0.2 million. Once we commercialize and begin to generate revenue, there will be royalties based on the current anticipated utilization.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disclosed in our Annual Report on Form 10-K for the year ended December 31, 2021, filed with the SEC on March 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condensed consolidated financial statements contained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market value of our common stock held by non-affiliates as of June 30, 2021, we became a large-accelerated filer and thus ceased to be an emerging growth company as defined in the Jumpstart Our Business Startups Act of 2012 (the “JOBS Act”) on December 31, 2021. At that time, we were required to adopt new or revised accounting standards as required by public companies, including those standards which we had previously deferred pursuant to the JOBS Act. Additionally, we will no longer be able to take advantage of the reduced regulatory and reporting requirements of emerging growth companies.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interest rate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equivalents, and marketable securities are comprised primarily of cash and investments in fixed income mutual funds. The primary objective of our investments is the preservation of capital to fulfill liquidity needs. We do not enter into investments for trading or speculative purposes. Due to the short-term nature of these investments, we do not expect cash flows to be affected to any significant degree by a sudden change in market interest rates.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Interim Chief Executive Officer and Chief Financial Officer, to allow timely decisions regarding required disclosure. Based on the evaluation of our disclosure controls and procedures, our Interim Chief Executive Officer and Chief Financial Officer concluded that, due to (i) the restatement of our financial statements to reclassify our warrants as described below and in Amendment No. 1 to our Annual Report on Form 10-K/A for the year ended December 31, 2020 filed with the SEC on May 10, 2021 and (ii) the other material weaknesses described below, our disclosure controls and procedures were not effective as of March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in our Amendment No. 1 to our Annual Report on Form 10-K/A for the year ended December 31, 2020, we identified a material weakness in our internal control over financial reporting related to inaccurate accounting for the Public Warrants and Private Warrants issued in connection with HighCape’s initial public offering. Management identified this error when the SEC issued the SEC Statement. The SEC Statement addresses certain accounting and reporting considerations related to warrants of a kind similar to those we issued in connection with HighCape’s initial public offering in September 2020. This control deficiency resulted in us having to restate our audited consolidated financial statements contained in our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Legacy Quantum-Si’s financial statement close process for the years ended December 31, 2020 and 2019, we identified a material weakness in the design and operating effectiveness of our internal control over financial reporting. Legacy Quantum-Si outsourced its accounting and financial reporting to a third-party service provider, and therefore as of and for the years ended December 31, 2020 and 2019, did not have its own finance function or finance or accounting professionals that had the requisite experience or were in a position to appropriately perform the supervision and review of the information received from that third-party service provider. As a result, during the three months ended September 30, 2021, we identified a presentation error of the basic and diluted net loss per share calculation, including the weighted-average common stock for the three and six months ended June 30, 2021, which was prepared by a third-party service provider. This presentation error was due to the material weakness related to our ability to appropriately perform the supervision and review of the information received from the third-party service provider as discussed above.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these material weaknesses, management has concluded that our unaudited condensed consolidated financial statements included in this Quarterly Report on Form 10-Q are fairly stated in all material respects in accordance with U.S. GAAP for each of the periods presented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the Material Weakness in Internal Control over Financial Reporting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response to these material weaknesses, our management has expended, and will continue to expend, a substantial amount of effort and resources for the remediation of these material weaknesses in internal control over financial reporting. Our management developed and started to execute a remediation plan, which included the hiring of accounting and finance resources of Quantum-Si including the Chief Financial Officer and Vice President, Controller with technical public company accounting and financial reporting experience, as well as other team members. We also have access to accounting training, literature, research materials and increased communication among our personnel and outsourced third-party professionals with whom we may consult regarding the application of complex accounting transactions. Our remediation plan can only be accomplished over time and will be continually reviewed to determine that we are achieving our objectives. There is no assurance that these initiatives will ultimately have the intended effects. The material weaknesses will not be considered remediated until our management designs and implements effective controls that operate for a sufficient period of time and our management has concluded through testing that these controls are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disclosed above, there were no changes in our internal control over financial reporting during the quarter that have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results of operations and financial condition are subject to various risks and uncertainties including the risk factors described under the caption “Risk Factors” in our Annual Report on Form 10-K for the year ended December 31, 2021, filed with the SEC on March 1, 2022, and there have been no material changes to the risk factors described therein or in any of our subsequently filed reports.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three months ended March 31, 2022.</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Incorporated by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Reference Herein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SEC File/</w:t>
            </w:r>
          </w:p>
        </w:tc>
      </w:t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2960" w:type="dxa"/>
            <w:vAlign w:val="bottom"/>
            <w:gridSpan w:val="2"/>
          </w:tcPr>
          <w:p>
            <w:pPr>
              <w:ind w:left="660"/>
              <w:spacing w:after="0"/>
              <w:rPr>
                <w:sz w:val="20"/>
                <w:szCs w:val="20"/>
                <w:color w:val="auto"/>
              </w:rPr>
            </w:pPr>
            <w:r>
              <w:rPr>
                <w:rFonts w:ascii="Arial" w:cs="Arial" w:eastAsia="Arial" w:hAnsi="Arial"/>
                <w:sz w:val="18"/>
                <w:szCs w:val="18"/>
                <w:b w:val="1"/>
                <w:bCs w:val="1"/>
                <w:color w:val="auto"/>
              </w:rPr>
              <w:t>Exhibit Description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Filed Herewith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Form or Schedule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Filing Date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Reg. Number</w:t>
            </w:r>
          </w:p>
        </w:tc>
      </w:tr>
      <w:tr>
        <w:trPr>
          <w:trHeight w:val="175"/>
        </w:trPr>
        <w:tc>
          <w:tcPr>
            <w:tcW w:w="1160" w:type="dxa"/>
            <w:vAlign w:val="bottom"/>
            <w:tcBorders>
              <w:top w:val="single" w:sz="8" w:color="auto"/>
            </w:tcBorders>
            <w:gridSpan w:val="3"/>
            <w:shd w:val="clear" w:color="auto" w:fill="CCEEFF"/>
          </w:tcPr>
          <w:p>
            <w:pPr>
              <w:spacing w:after="0" w:line="176" w:lineRule="exact"/>
              <w:rPr>
                <w:rFonts w:ascii="Arial" w:cs="Arial" w:eastAsia="Arial" w:hAnsi="Arial"/>
                <w:sz w:val="18"/>
                <w:szCs w:val="18"/>
                <w:b w:val="1"/>
                <w:bCs w:val="1"/>
                <w:color w:val="0000EE"/>
              </w:rPr>
            </w:pPr>
            <w:hyperlink r:id="rId49">
              <w:r>
                <w:rPr>
                  <w:rFonts w:ascii="Arial" w:cs="Arial" w:eastAsia="Arial" w:hAnsi="Arial"/>
                  <w:sz w:val="18"/>
                  <w:szCs w:val="18"/>
                  <w:b w:val="1"/>
                  <w:bCs w:val="1"/>
                  <w:color w:val="0000EE"/>
                </w:rPr>
                <w:t>10.</w:t>
              </w:r>
              <w:r>
                <w:rPr>
                  <w:rFonts w:ascii="Arial" w:cs="Arial" w:eastAsia="Arial" w:hAnsi="Arial"/>
                  <w:sz w:val="18"/>
                  <w:szCs w:val="18"/>
                  <w:b w:val="1"/>
                  <w:bCs w:val="1"/>
                  <w:u w:val="single" w:color="auto"/>
                  <w:color w:val="0000EE"/>
                </w:rPr>
                <w:t>1</w:t>
              </w:r>
            </w:hyperlink>
            <w:r>
              <w:rPr>
                <w:rFonts w:ascii="Arial" w:cs="Arial" w:eastAsia="Arial" w:hAnsi="Arial"/>
                <w:sz w:val="18"/>
                <w:szCs w:val="18"/>
                <w:b w:val="1"/>
                <w:bCs w:val="1"/>
                <w:color w:val="000000"/>
              </w:rPr>
              <w:t>+</w:t>
            </w:r>
          </w:p>
        </w:tc>
        <w:tc>
          <w:tcPr>
            <w:tcW w:w="14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Separation Agreement, dated as of</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Form 8-K</w:t>
            </w:r>
          </w:p>
        </w:tc>
        <w:tc>
          <w:tcPr>
            <w:tcW w:w="1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2/14/2022</w:t>
            </w:r>
          </w:p>
        </w:tc>
        <w:tc>
          <w:tcPr>
            <w:tcW w:w="1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February 11, 2022, by and between</w:t>
            </w: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Quantum-Si Incorporated and John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Stark</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5"/>
        </w:trPr>
        <w:tc>
          <w:tcPr>
            <w:tcW w:w="1160" w:type="dxa"/>
            <w:vAlign w:val="bottom"/>
            <w:gridSpan w:val="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10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Certification of the Principal Executive</w:t>
            </w:r>
          </w:p>
        </w:tc>
        <w:tc>
          <w:tcPr>
            <w:tcW w:w="18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8"/>
              </w:rPr>
              <w:t>Officer pursuant to Section 302 of the</w:t>
            </w: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6"/>
        </w:trPr>
        <w:tc>
          <w:tcPr>
            <w:tcW w:w="1160" w:type="dxa"/>
            <w:vAlign w:val="bottom"/>
            <w:gridSpan w:val="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10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Certification of the Principal Financial</w:t>
            </w:r>
          </w:p>
        </w:tc>
        <w:tc>
          <w:tcPr>
            <w:tcW w:w="18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8"/>
              </w:rPr>
              <w:t>Officer pursuant to Section 302 of the</w:t>
            </w: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8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Certifications of the Chief Executive</w:t>
            </w:r>
          </w:p>
        </w:tc>
        <w:tc>
          <w:tcPr>
            <w:tcW w:w="18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Officer and Chief Financial Officer</w:t>
            </w: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pursuant to Section 906 of the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31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Instance Document (the</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instance document does not appear in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the Interactive Data File because its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tags are embedded within the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Inline XBRL document)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101.SCH</w:t>
            </w:r>
          </w:p>
        </w:tc>
        <w:tc>
          <w:tcPr>
            <w:tcW w:w="31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Schema Document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31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Calculation Linkbase Document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31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Definition Linkbase Document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31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Label Linkbase Document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31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Inline XBRL Taxonomy Extension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Presentation Linkbase Document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8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Cover Page Interactive Data File</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(embedded within the Inline XBRL</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document)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firstLine="8"/>
        <w:spacing w:after="0" w:line="259" w:lineRule="auto"/>
        <w:tabs>
          <w:tab w:leader="none" w:pos="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certifications attached as Exhibit 32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5540" w:type="dxa"/>
            <w:vAlign w:val="bottom"/>
            <w:gridSpan w:val="2"/>
          </w:tcPr>
          <w:p>
            <w:pPr>
              <w:ind w:left="2180"/>
              <w:spacing w:after="0"/>
              <w:rPr>
                <w:sz w:val="20"/>
                <w:szCs w:val="20"/>
                <w:color w:val="auto"/>
              </w:rPr>
            </w:pPr>
            <w:r>
              <w:rPr>
                <w:rFonts w:ascii="Arial" w:cs="Arial" w:eastAsia="Arial" w:hAnsi="Arial"/>
                <w:sz w:val="18"/>
                <w:szCs w:val="18"/>
                <w:b w:val="1"/>
                <w:bCs w:val="1"/>
                <w:color w:val="auto"/>
              </w:rPr>
              <w:t>QUANTUM-SI INCORPORATED</w:t>
            </w:r>
          </w:p>
        </w:tc>
        <w:tc>
          <w:tcPr>
            <w:tcW w:w="2240" w:type="dxa"/>
            <w:vAlign w:val="bottom"/>
          </w:tcPr>
          <w:p>
            <w:pPr>
              <w:spacing w:after="0"/>
              <w:rPr>
                <w:sz w:val="20"/>
                <w:szCs w:val="20"/>
                <w:color w:val="auto"/>
              </w:rPr>
            </w:pPr>
          </w:p>
        </w:tc>
      </w:tr>
      <w:tr>
        <w:trPr>
          <w:trHeight w:val="439"/>
        </w:trPr>
        <w:tc>
          <w:tcPr>
            <w:tcW w:w="3460" w:type="dxa"/>
            <w:vAlign w:val="bottom"/>
          </w:tcPr>
          <w:p>
            <w:pPr>
              <w:spacing w:after="0"/>
              <w:rPr>
                <w:sz w:val="20"/>
                <w:szCs w:val="20"/>
                <w:color w:val="auto"/>
              </w:rPr>
            </w:pPr>
            <w:r>
              <w:rPr>
                <w:rFonts w:ascii="Arial" w:cs="Arial" w:eastAsia="Arial" w:hAnsi="Arial"/>
                <w:sz w:val="18"/>
                <w:szCs w:val="18"/>
                <w:color w:val="auto"/>
              </w:rPr>
              <w:t>Date: May 9, 2022</w:t>
            </w:r>
          </w:p>
        </w:tc>
        <w:tc>
          <w:tcPr>
            <w:tcW w:w="5540" w:type="dxa"/>
            <w:vAlign w:val="bottom"/>
            <w:gridSpan w:val="2"/>
          </w:tcPr>
          <w:p>
            <w:pPr>
              <w:ind w:left="2180"/>
              <w:spacing w:after="0"/>
              <w:rPr>
                <w:sz w:val="20"/>
                <w:szCs w:val="20"/>
                <w:color w:val="auto"/>
              </w:rPr>
            </w:pPr>
            <w:r>
              <w:rPr>
                <w:rFonts w:ascii="Arial" w:cs="Arial" w:eastAsia="Arial" w:hAnsi="Arial"/>
                <w:sz w:val="18"/>
                <w:szCs w:val="18"/>
                <w:color w:val="auto"/>
              </w:rPr>
              <w:t>By: /s/ Jonathan M. Rothberg, Ph.D.</w:t>
            </w:r>
          </w:p>
        </w:tc>
        <w:tc>
          <w:tcPr>
            <w:tcW w:w="2240" w:type="dxa"/>
            <w:vAlign w:val="bottom"/>
          </w:tcPr>
          <w:p>
            <w:pPr>
              <w:spacing w:after="0"/>
              <w:rPr>
                <w:sz w:val="24"/>
                <w:szCs w:val="24"/>
                <w:color w:val="auto"/>
              </w:rPr>
            </w:pPr>
          </w:p>
        </w:tc>
      </w:tr>
      <w:tr>
        <w:trPr>
          <w:trHeight w:val="202"/>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 Rothberg, Ph.D.</w:t>
            </w:r>
          </w:p>
        </w:tc>
        <w:tc>
          <w:tcPr>
            <w:tcW w:w="2240" w:type="dxa"/>
            <w:vAlign w:val="bottom"/>
          </w:tcPr>
          <w:p>
            <w:pPr>
              <w:spacing w:after="0"/>
              <w:rPr>
                <w:sz w:val="17"/>
                <w:szCs w:val="17"/>
                <w:color w:val="auto"/>
              </w:rPr>
            </w:pPr>
          </w:p>
        </w:tc>
      </w:tr>
      <w:tr>
        <w:trPr>
          <w:trHeight w:val="230"/>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Interim Chief Executive Officer</w:t>
            </w:r>
          </w:p>
        </w:tc>
        <w:tc>
          <w:tcPr>
            <w:tcW w:w="2240" w:type="dxa"/>
            <w:vAlign w:val="bottom"/>
          </w:tcPr>
          <w:p>
            <w:pPr>
              <w:spacing w:after="0"/>
              <w:rPr>
                <w:sz w:val="20"/>
                <w:szCs w:val="20"/>
                <w:color w:val="auto"/>
              </w:rPr>
            </w:pPr>
          </w:p>
        </w:tc>
      </w:tr>
      <w:tr>
        <w:trPr>
          <w:trHeight w:val="439"/>
        </w:trPr>
        <w:tc>
          <w:tcPr>
            <w:tcW w:w="3460" w:type="dxa"/>
            <w:vAlign w:val="bottom"/>
          </w:tcPr>
          <w:p>
            <w:pPr>
              <w:spacing w:after="0"/>
              <w:rPr>
                <w:sz w:val="20"/>
                <w:szCs w:val="20"/>
                <w:color w:val="auto"/>
              </w:rPr>
            </w:pPr>
            <w:r>
              <w:rPr>
                <w:rFonts w:ascii="Arial" w:cs="Arial" w:eastAsia="Arial" w:hAnsi="Arial"/>
                <w:sz w:val="18"/>
                <w:szCs w:val="18"/>
                <w:color w:val="auto"/>
              </w:rPr>
              <w:t>Date: May 9, 2022</w:t>
            </w:r>
          </w:p>
        </w:tc>
        <w:tc>
          <w:tcPr>
            <w:tcW w:w="5540" w:type="dxa"/>
            <w:vAlign w:val="bottom"/>
            <w:gridSpan w:val="2"/>
          </w:tcPr>
          <w:p>
            <w:pPr>
              <w:ind w:left="2180"/>
              <w:spacing w:after="0"/>
              <w:rPr>
                <w:sz w:val="20"/>
                <w:szCs w:val="20"/>
                <w:color w:val="auto"/>
              </w:rPr>
            </w:pPr>
            <w:r>
              <w:rPr>
                <w:rFonts w:ascii="Arial" w:cs="Arial" w:eastAsia="Arial" w:hAnsi="Arial"/>
                <w:sz w:val="18"/>
                <w:szCs w:val="18"/>
                <w:color w:val="auto"/>
              </w:rPr>
              <w:t>By: /s/ Claudia Drayton</w:t>
            </w:r>
          </w:p>
        </w:tc>
        <w:tc>
          <w:tcPr>
            <w:tcW w:w="2240" w:type="dxa"/>
            <w:vAlign w:val="bottom"/>
          </w:tcPr>
          <w:p>
            <w:pPr>
              <w:spacing w:after="0"/>
              <w:rPr>
                <w:sz w:val="24"/>
                <w:szCs w:val="24"/>
                <w:color w:val="auto"/>
              </w:rPr>
            </w:pPr>
          </w:p>
        </w:tc>
      </w:tr>
      <w:tr>
        <w:trPr>
          <w:trHeight w:val="202"/>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Claudia Drayton</w:t>
            </w:r>
          </w:p>
        </w:tc>
        <w:tc>
          <w:tcPr>
            <w:tcW w:w="2240" w:type="dxa"/>
            <w:vAlign w:val="bottom"/>
          </w:tcPr>
          <w:p>
            <w:pPr>
              <w:spacing w:after="0"/>
              <w:rPr>
                <w:sz w:val="17"/>
                <w:szCs w:val="17"/>
                <w:color w:val="auto"/>
              </w:rPr>
            </w:pPr>
          </w:p>
        </w:tc>
      </w:tr>
      <w:tr>
        <w:trPr>
          <w:trHeight w:val="230"/>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p>
        </w:tc>
      </w:tr>
      <w:tr>
        <w:trPr>
          <w:trHeight w:val="595"/>
        </w:trPr>
        <w:tc>
          <w:tcPr>
            <w:tcW w:w="3460" w:type="dxa"/>
            <w:vAlign w:val="bottom"/>
          </w:tcPr>
          <w:p>
            <w:pPr>
              <w:spacing w:after="0"/>
              <w:rPr>
                <w:sz w:val="24"/>
                <w:szCs w:val="24"/>
                <w:color w:val="auto"/>
              </w:rPr>
            </w:pPr>
          </w:p>
        </w:tc>
        <w:tc>
          <w:tcPr>
            <w:tcW w:w="2500" w:type="dxa"/>
            <w:vAlign w:val="bottom"/>
          </w:tcPr>
          <w:p>
            <w:pPr>
              <w:jc w:val="right"/>
              <w:ind w:right="175"/>
              <w:spacing w:after="0"/>
              <w:rPr>
                <w:sz w:val="20"/>
                <w:szCs w:val="20"/>
                <w:color w:val="auto"/>
              </w:rPr>
            </w:pPr>
            <w:r>
              <w:rPr>
                <w:rFonts w:ascii="Arial" w:cs="Arial" w:eastAsia="Arial" w:hAnsi="Arial"/>
                <w:sz w:val="14"/>
                <w:szCs w:val="14"/>
                <w:color w:val="auto"/>
              </w:rPr>
              <w:t>32</w:t>
            </w:r>
          </w:p>
        </w:tc>
        <w:tc>
          <w:tcPr>
            <w:tcW w:w="30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7"/>
        </w:trPr>
        <w:tc>
          <w:tcPr>
            <w:tcW w:w="346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Jonathan M. Rothberg, Ph.D., certify that:</w:t>
      </w:r>
    </w:p>
    <w:p>
      <w:pPr>
        <w:spacing w:after="0" w:line="24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Quantum-Si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May 9, 2022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Jonathan M. Rothberg,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M. Rothberg,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Claudia Drayton, certify that:</w:t>
      </w:r>
    </w:p>
    <w:p>
      <w:pPr>
        <w:spacing w:after="0" w:line="24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Quantum-Si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May 9, 2022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Claudia Drayton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906</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Quarterly Report for the quarter ended March 31,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Dated: May 9, 2022</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M. Rothberg, Ph.D.</w:t>
            </w:r>
          </w:p>
        </w:tc>
        <w:tc>
          <w:tcPr>
            <w:tcW w:w="2800" w:type="dxa"/>
            <w:vAlign w:val="bottom"/>
          </w:tcPr>
          <w:p>
            <w:pPr>
              <w:spacing w:after="0"/>
              <w:rPr>
                <w:sz w:val="20"/>
                <w:szCs w:val="20"/>
                <w:color w:val="auto"/>
              </w:rPr>
            </w:pPr>
          </w:p>
        </w:tc>
      </w:tr>
      <w:tr>
        <w:trPr>
          <w:trHeight w:val="202"/>
        </w:trPr>
        <w:tc>
          <w:tcPr>
            <w:tcW w:w="564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Jonathan M. Rothberg, Ph.D.</w:t>
            </w:r>
          </w:p>
        </w:tc>
        <w:tc>
          <w:tcPr>
            <w:tcW w:w="2800" w:type="dxa"/>
            <w:vAlign w:val="bottom"/>
          </w:tcPr>
          <w:p>
            <w:pPr>
              <w:spacing w:after="0"/>
              <w:rPr>
                <w:sz w:val="17"/>
                <w:szCs w:val="17"/>
                <w:color w:val="auto"/>
              </w:rPr>
            </w:pPr>
          </w:p>
        </w:tc>
      </w:tr>
      <w:tr>
        <w:trPr>
          <w:trHeight w:val="216"/>
        </w:trPr>
        <w:tc>
          <w:tcPr>
            <w:tcW w:w="5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Interim Chief Executive Officer</w:t>
            </w:r>
          </w:p>
        </w:tc>
        <w:tc>
          <w:tcPr>
            <w:tcW w:w="2800" w:type="dxa"/>
            <w:vAlign w:val="bottom"/>
          </w:tcPr>
          <w:p>
            <w:pPr>
              <w:spacing w:after="0"/>
              <w:rPr>
                <w:sz w:val="18"/>
                <w:szCs w:val="18"/>
                <w:color w:val="auto"/>
              </w:rPr>
            </w:pPr>
          </w:p>
        </w:tc>
      </w:tr>
      <w:tr>
        <w:trPr>
          <w:trHeight w:val="230"/>
        </w:trPr>
        <w:tc>
          <w:tcPr>
            <w:tcW w:w="56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800" w:type="dxa"/>
            <w:vAlign w:val="bottom"/>
          </w:tcPr>
          <w:p>
            <w:pPr>
              <w:spacing w:after="0"/>
              <w:rPr>
                <w:sz w:val="20"/>
                <w:szCs w:val="20"/>
                <w:color w:val="auto"/>
              </w:rPr>
            </w:pPr>
          </w:p>
        </w:tc>
      </w:tr>
      <w:tr>
        <w:trPr>
          <w:trHeight w:val="439"/>
        </w:trPr>
        <w:tc>
          <w:tcPr>
            <w:tcW w:w="5640" w:type="dxa"/>
            <w:vAlign w:val="bottom"/>
          </w:tcPr>
          <w:p>
            <w:pPr>
              <w:spacing w:after="0"/>
              <w:rPr>
                <w:sz w:val="20"/>
                <w:szCs w:val="20"/>
                <w:color w:val="auto"/>
              </w:rPr>
            </w:pPr>
            <w:r>
              <w:rPr>
                <w:rFonts w:ascii="Arial" w:cs="Arial" w:eastAsia="Arial" w:hAnsi="Arial"/>
                <w:sz w:val="18"/>
                <w:szCs w:val="18"/>
                <w:color w:val="auto"/>
              </w:rPr>
              <w:t>Dated: May 9, 2022</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Claudia Drayton</w:t>
            </w:r>
          </w:p>
        </w:tc>
        <w:tc>
          <w:tcPr>
            <w:tcW w:w="2800" w:type="dxa"/>
            <w:vAlign w:val="bottom"/>
          </w:tcPr>
          <w:p>
            <w:pPr>
              <w:spacing w:after="0"/>
              <w:rPr>
                <w:sz w:val="24"/>
                <w:szCs w:val="24"/>
                <w:color w:val="auto"/>
              </w:rPr>
            </w:pPr>
          </w:p>
        </w:tc>
      </w:tr>
      <w:tr>
        <w:trPr>
          <w:trHeight w:val="202"/>
        </w:trPr>
        <w:tc>
          <w:tcPr>
            <w:tcW w:w="564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Claudia Drayton</w:t>
            </w:r>
          </w:p>
        </w:tc>
        <w:tc>
          <w:tcPr>
            <w:tcW w:w="2800" w:type="dxa"/>
            <w:vAlign w:val="bottom"/>
          </w:tcPr>
          <w:p>
            <w:pPr>
              <w:spacing w:after="0"/>
              <w:rPr>
                <w:sz w:val="17"/>
                <w:szCs w:val="17"/>
                <w:color w:val="auto"/>
              </w:rPr>
            </w:pPr>
          </w:p>
        </w:tc>
      </w:tr>
      <w:tr>
        <w:trPr>
          <w:trHeight w:val="216"/>
        </w:trPr>
        <w:tc>
          <w:tcPr>
            <w:tcW w:w="5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18"/>
                <w:szCs w:val="18"/>
                <w:color w:val="auto"/>
              </w:rPr>
            </w:pPr>
          </w:p>
        </w:tc>
      </w:tr>
      <w:tr>
        <w:trPr>
          <w:trHeight w:val="230"/>
        </w:trPr>
        <w:tc>
          <w:tcPr>
            <w:tcW w:w="56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2800" w:type="dxa"/>
            <w:vAlign w:val="bottom"/>
          </w:tcPr>
          <w:p>
            <w:pPr>
              <w:spacing w:after="0"/>
              <w:rPr>
                <w:sz w:val="20"/>
                <w:szCs w:val="20"/>
                <w:color w:val="auto"/>
              </w:rPr>
            </w:pPr>
          </w:p>
        </w:tc>
      </w:tr>
      <w:tr>
        <w:trPr>
          <w:trHeight w:val="601"/>
        </w:trPr>
        <w:tc>
          <w:tcPr>
            <w:tcW w:w="56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49" Type="http://schemas.openxmlformats.org/officeDocument/2006/relationships/hyperlink" Target="https://www.sec.gov/Archives/edgar/data/1816431/000114036122005280/brhc1003394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2022-05-10T05:21:21Z</dcterms:created>
  <dcterms:modified xsi:type="dcterms:W3CDTF">2022-05-10T05:21:21Z</dcterms:modified>
</cp:coreProperties>
</file>