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RAKIN KEVIN</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98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Quantum-Si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QSI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16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20" w:type="dxa"/>
            <w:vAlign w:val="bottom"/>
            <w:gridSpan w:val="8"/>
            <w:vMerge w:val="continue"/>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9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7"/>
                <w:szCs w:val="17"/>
                <w:color w:val="0000FF"/>
              </w:rPr>
              <w:t>C/O QUANTUM-SI INCORPORATED</w:t>
            </w:r>
          </w:p>
        </w:tc>
        <w:tc>
          <w:tcPr>
            <w:tcW w:w="1200" w:type="dxa"/>
            <w:vAlign w:val="bottom"/>
            <w:gridSpan w:val="3"/>
          </w:tcPr>
          <w:p>
            <w:pPr>
              <w:ind w:left="80"/>
              <w:spacing w:after="0"/>
              <w:rPr>
                <w:sz w:val="20"/>
                <w:szCs w:val="20"/>
                <w:color w:val="auto"/>
              </w:rPr>
            </w:pPr>
            <w:r>
              <w:rPr>
                <w:rFonts w:ascii="Arial" w:cs="Arial" w:eastAsia="Arial" w:hAnsi="Arial"/>
                <w:sz w:val="17"/>
                <w:szCs w:val="17"/>
                <w:color w:val="0000FF"/>
              </w:rPr>
              <w:t>12/15/2022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Arial" w:cs="Arial" w:eastAsia="Arial" w:hAnsi="Arial"/>
                <w:sz w:val="17"/>
                <w:szCs w:val="17"/>
                <w:color w:val="0000FF"/>
              </w:rPr>
              <w:t>530 OLD WHITFIELD STREET</w:t>
            </w: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11"/>
            <w:vMerge w:val="continue"/>
          </w:tcPr>
          <w:p>
            <w:pPr>
              <w:spacing w:after="0"/>
              <w:rPr>
                <w:sz w:val="8"/>
                <w:szCs w:val="8"/>
                <w:color w:val="auto"/>
              </w:rPr>
            </w:pPr>
          </w:p>
        </w:tc>
        <w:tc>
          <w:tcPr>
            <w:tcW w:w="33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GUILFORD</w:t>
            </w:r>
          </w:p>
        </w:tc>
        <w:tc>
          <w:tcPr>
            <w:tcW w:w="280" w:type="dxa"/>
            <w:vAlign w:val="bottom"/>
            <w:gridSpan w:val="2"/>
          </w:tcPr>
          <w:p>
            <w:pPr>
              <w:ind w:left="40"/>
              <w:spacing w:after="0"/>
              <w:rPr>
                <w:sz w:val="20"/>
                <w:szCs w:val="20"/>
                <w:color w:val="auto"/>
              </w:rPr>
            </w:pPr>
            <w:r>
              <w:rPr>
                <w:rFonts w:ascii="Arial" w:cs="Arial" w:eastAsia="Arial" w:hAnsi="Arial"/>
                <w:sz w:val="17"/>
                <w:szCs w:val="17"/>
                <w:color w:val="0000FF"/>
                <w:w w:val="96"/>
              </w:rPr>
              <w:t>CT</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06437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ind w:left="320"/>
              <w:spacing w:after="0" w:line="134" w:lineRule="exact"/>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5"/>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2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5"/>
          </w:tcPr>
          <w:p>
            <w:pPr>
              <w:ind w:left="4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6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3"/>
            <w:vMerge w:val="restart"/>
          </w:tcPr>
          <w:p>
            <w:pPr>
              <w:ind w:left="580"/>
              <w:spacing w:after="0"/>
              <w:rPr>
                <w:sz w:val="20"/>
                <w:szCs w:val="20"/>
                <w:color w:val="auto"/>
              </w:rPr>
            </w:pPr>
            <w:r>
              <w:rPr>
                <w:rFonts w:ascii="Arial" w:cs="Arial" w:eastAsia="Arial" w:hAnsi="Arial"/>
                <w:sz w:val="17"/>
                <w:szCs w:val="17"/>
                <w:color w:val="0000FF"/>
                <w:w w:val="96"/>
              </w:rPr>
              <w:t>12/15/2022</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gridSpan w:val="2"/>
            <w:vMerge w:val="restart"/>
          </w:tcPr>
          <w:p>
            <w:pPr>
              <w:ind w:left="180"/>
              <w:spacing w:after="0"/>
              <w:rPr>
                <w:sz w:val="20"/>
                <w:szCs w:val="20"/>
                <w:color w:val="auto"/>
              </w:rPr>
            </w:pPr>
            <w:r>
              <w:rPr>
                <w:rFonts w:ascii="Arial" w:cs="Arial" w:eastAsia="Arial" w:hAnsi="Arial"/>
                <w:sz w:val="13"/>
                <w:szCs w:val="13"/>
                <w:color w:val="0000FF"/>
                <w:w w:val="91"/>
              </w:rPr>
              <w:t>S</w:t>
            </w:r>
          </w:p>
        </w:tc>
        <w:tc>
          <w:tcPr>
            <w:tcW w:w="540" w:type="dxa"/>
            <w:vAlign w:val="bottom"/>
          </w:tcPr>
          <w:p>
            <w:pPr>
              <w:spacing w:after="0"/>
              <w:rPr>
                <w:sz w:val="22"/>
                <w:szCs w:val="22"/>
                <w:color w:val="auto"/>
              </w:rPr>
            </w:pPr>
          </w:p>
        </w:tc>
        <w:tc>
          <w:tcPr>
            <w:tcW w:w="860" w:type="dxa"/>
            <w:vAlign w:val="bottom"/>
            <w:vMerge w:val="restart"/>
          </w:tcPr>
          <w:p>
            <w:pPr>
              <w:ind w:left="80"/>
              <w:spacing w:after="0"/>
              <w:rPr>
                <w:sz w:val="20"/>
                <w:szCs w:val="20"/>
                <w:color w:val="auto"/>
              </w:rPr>
            </w:pPr>
            <w:r>
              <w:rPr>
                <w:rFonts w:ascii="Arial" w:cs="Arial" w:eastAsia="Arial" w:hAnsi="Arial"/>
                <w:sz w:val="17"/>
                <w:szCs w:val="17"/>
                <w:color w:val="0000FF"/>
              </w:rPr>
              <w:t>89,000</w:t>
            </w:r>
            <w:r>
              <w:rPr>
                <w:rFonts w:ascii="Arial" w:cs="Arial" w:eastAsia="Arial" w:hAnsi="Arial"/>
                <w:sz w:val="22"/>
                <w:szCs w:val="22"/>
                <w:color w:val="008000"/>
                <w:vertAlign w:val="superscript"/>
              </w:rPr>
              <w:t>(1)</w:t>
            </w:r>
          </w:p>
        </w:tc>
        <w:tc>
          <w:tcPr>
            <w:tcW w:w="8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7"/>
                <w:szCs w:val="17"/>
                <w:color w:val="0000FF"/>
              </w:rPr>
              <w:t>D</w:t>
            </w:r>
          </w:p>
        </w:tc>
        <w:tc>
          <w:tcPr>
            <w:tcW w:w="640" w:type="dxa"/>
            <w:vAlign w:val="bottom"/>
            <w:gridSpan w:val="3"/>
            <w:vMerge w:val="restart"/>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2.1487</w:t>
            </w:r>
          </w:p>
        </w:tc>
        <w:tc>
          <w:tcPr>
            <w:tcW w:w="80" w:type="dxa"/>
            <w:vAlign w:val="bottom"/>
          </w:tcPr>
          <w:p>
            <w:pPr>
              <w:spacing w:after="0"/>
              <w:rPr>
                <w:sz w:val="22"/>
                <w:szCs w:val="22"/>
                <w:color w:val="auto"/>
              </w:rPr>
            </w:pPr>
          </w:p>
        </w:tc>
        <w:tc>
          <w:tcPr>
            <w:tcW w:w="114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0000FF"/>
                <w:w w:val="87"/>
              </w:rPr>
              <w:t>1,801,000</w:t>
            </w:r>
            <w:r>
              <w:rPr>
                <w:rFonts w:ascii="Arial" w:cs="Arial" w:eastAsia="Arial" w:hAnsi="Arial"/>
                <w:sz w:val="22"/>
                <w:szCs w:val="22"/>
                <w:color w:val="008000"/>
                <w:w w:val="87"/>
                <w:vertAlign w:val="superscript"/>
              </w:rPr>
              <w:t>(2)(3)</w:t>
            </w:r>
          </w:p>
        </w:tc>
        <w:tc>
          <w:tcPr>
            <w:tcW w:w="34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40" w:type="dxa"/>
            <w:vAlign w:val="bottom"/>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w w:val="99"/>
              </w:rPr>
              <w:t>Footnote</w:t>
            </w:r>
            <w:r>
              <w:rPr>
                <w:rFonts w:ascii="Arial" w:cs="Arial" w:eastAsia="Arial" w:hAnsi="Arial"/>
                <w:sz w:val="22"/>
                <w:szCs w:val="22"/>
                <w:color w:val="008000"/>
                <w:w w:val="99"/>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tcBorders>
              <w:top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gridSpan w:val="2"/>
          </w:tcPr>
          <w:p>
            <w:pPr>
              <w:jc w:val="right"/>
              <w:ind w:right="320"/>
              <w:spacing w:after="0"/>
              <w:rPr>
                <w:sz w:val="20"/>
                <w:szCs w:val="20"/>
                <w:color w:val="auto"/>
              </w:rPr>
            </w:pPr>
            <w:r>
              <w:rPr>
                <w:rFonts w:ascii="Arial" w:cs="Arial" w:eastAsia="Arial" w:hAnsi="Arial"/>
                <w:sz w:val="17"/>
                <w:szCs w:val="17"/>
                <w:color w:val="0000FF"/>
              </w:rPr>
              <w:t>20,512</w:t>
            </w:r>
          </w:p>
        </w:tc>
        <w:tc>
          <w:tcPr>
            <w:tcW w:w="34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34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3"/>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gridSpan w:val="8"/>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66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4"/>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3"/>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39,000 shares sold by Mr. Rakin and 50,000 shares sold by the Kevin L. Rakin Irrevocable Trust.</w:t>
      </w:r>
    </w:p>
    <w:p>
      <w:pPr>
        <w:spacing w:after="0" w:line="50" w:lineRule="exact"/>
        <w:rPr>
          <w:rFonts w:ascii="Arial" w:cs="Arial" w:eastAsia="Arial" w:hAnsi="Arial"/>
          <w:sz w:val="13"/>
          <w:szCs w:val="13"/>
          <w:color w:val="008000"/>
        </w:rPr>
      </w:pPr>
    </w:p>
    <w:p>
      <w:pPr>
        <w:ind w:left="40" w:right="16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(i) 601,000 shares of the Company's Class A common stock held by HighCape Partners QSI II Invest, L.P, (ii) 24,527 shares of the Company's Class A common stock held by HighCape Partners II, L.P. and (iii) 1,175,473 shares of the Company's Class A common stock held by HighCape Partners QP II, L.P. Mr. Rakin and Matt Zuga are the managing members of HighCape Capital II GP, LLC, which is the general partner of HighCape Partners II GP, L.P., which is the general partner of each of HighCape Partners QSI II Invest, L.P, HighCape Partners II, L.P. and HighCape Partners QP II, L.P., and as a result each may be deemed to share voting and investment discretion with respect to the common stock held by such entities.</w:t>
      </w:r>
    </w:p>
    <w:p>
      <w:pPr>
        <w:spacing w:after="0" w:line="29" w:lineRule="exact"/>
        <w:rPr>
          <w:rFonts w:ascii="Arial" w:cs="Arial" w:eastAsia="Arial" w:hAnsi="Arial"/>
          <w:sz w:val="13"/>
          <w:szCs w:val="13"/>
          <w:color w:val="008000"/>
        </w:rPr>
      </w:pPr>
    </w:p>
    <w:p>
      <w:pPr>
        <w:ind w:left="40" w:right="2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Mr. Rakin disclaims any beneficial ownership of the securities to be held by HighCape Partners QSI II Invest, L.P, HighCape Partners II, L.P. and HighCape Partners QP II, L.P. other than to the extent of any pecuniary interest he may have therein, directly or indirectly.</w:t>
      </w:r>
    </w:p>
    <w:p>
      <w:pPr>
        <w:spacing w:after="0" w:line="8"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Christian LaPointe, Ph.D.,</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12/16/2022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4421" TargetMode="External"/><Relationship Id="rId13" Type="http://schemas.openxmlformats.org/officeDocument/2006/relationships/hyperlink" Target="http://www.sec.gov/cgi-bin/browse-edgar?action=getcompany&amp;CIK=0001816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2022-12-16T15:12:49Z</dcterms:created>
  <dcterms:modified xsi:type="dcterms:W3CDTF">2022-12-16T15:12:49Z</dcterms:modified>
</cp:coreProperties>
</file>