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05"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from______to______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57"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70"/>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08"/>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29 Business Park Drive</w:t>
            </w:r>
          </w:p>
        </w:tc>
        <w:tc>
          <w:tcPr>
            <w:tcW w:w="3720" w:type="dxa"/>
            <w:vAlign w:val="bottom"/>
          </w:tcPr>
          <w:p>
            <w:pPr>
              <w:spacing w:after="0"/>
              <w:rPr>
                <w:sz w:val="24"/>
                <w:szCs w:val="24"/>
                <w:color w:val="auto"/>
              </w:rPr>
            </w:pPr>
          </w:p>
        </w:tc>
      </w:tr>
      <w:tr>
        <w:trPr>
          <w:trHeight w:val="270"/>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Branford, Connecticut</w:t>
            </w: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06405</w:t>
            </w:r>
          </w:p>
        </w:tc>
      </w:tr>
      <w:tr>
        <w:trPr>
          <w:trHeight w:val="270"/>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(866) 688-7374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Symbols(s)</w:t>
            </w:r>
          </w:p>
        </w:tc>
        <w:tc>
          <w:tcPr>
            <w:tcW w:w="4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gridSpan w:val="2"/>
          </w:tcPr>
          <w:p>
            <w:pPr>
              <w:spacing w:after="0"/>
              <w:rPr>
                <w:sz w:val="2"/>
                <w:szCs w:val="2"/>
                <w:color w:val="auto"/>
              </w:rPr>
            </w:pPr>
          </w:p>
        </w:tc>
      </w:tr>
      <w:tr>
        <w:trPr>
          <w:trHeight w:val="237"/>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 $0.0001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QSI</w:t>
            </w:r>
          </w:p>
        </w:tc>
        <w:tc>
          <w:tcPr>
            <w:tcW w:w="4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QSIAW</w:t>
            </w:r>
          </w:p>
        </w:tc>
        <w:tc>
          <w:tcPr>
            <w:tcW w:w="4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one share of Class A common stock, each at an exercise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price of $11.50 per share</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53"/>
        </w:trPr>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tc>
      </w:tr>
      <w:tr>
        <w:trPr>
          <w:trHeight w:val="432"/>
        </w:trPr>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Exchange Act.</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780"/>
              <w:spacing w:after="0"/>
              <w:rPr>
                <w:sz w:val="20"/>
                <w:szCs w:val="20"/>
                <w:color w:val="auto"/>
              </w:rPr>
            </w:pPr>
            <w:r>
              <w:rPr>
                <w:rFonts w:ascii="Wingdings" w:cs="Wingdings" w:eastAsia="Wingdings" w:hAnsi="Wingdings"/>
                <w:sz w:val="18"/>
                <w:szCs w:val="18"/>
                <w:b w:val="1"/>
                <w:bCs w:val="1"/>
                <w:color w:val="auto"/>
              </w:rPr>
              <w:t>o</w:t>
            </w:r>
          </w:p>
        </w:tc>
        <w:tc>
          <w:tcPr>
            <w:tcW w:w="38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4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780"/>
              <w:spacing w:after="0"/>
              <w:rPr>
                <w:sz w:val="20"/>
                <w:szCs w:val="20"/>
                <w:color w:val="auto"/>
              </w:rPr>
            </w:pPr>
            <w:r>
              <w:rPr>
                <w:rFonts w:ascii="Wingdings" w:cs="Wingdings" w:eastAsia="Wingdings" w:hAnsi="Wingdings"/>
                <w:sz w:val="18"/>
                <w:szCs w:val="18"/>
                <w:b w:val="1"/>
                <w:bCs w:val="1"/>
                <w:color w:val="auto"/>
              </w:rPr>
              <w:t>x</w:t>
            </w:r>
          </w:p>
        </w:tc>
        <w:tc>
          <w:tcPr>
            <w:tcW w:w="38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4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8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40"/>
              <w:spacing w:after="0"/>
              <w:rPr>
                <w:sz w:val="20"/>
                <w:szCs w:val="20"/>
                <w:color w:val="auto"/>
              </w:rPr>
            </w:pPr>
            <w:r>
              <w:rPr>
                <w:rFonts w:ascii="Wingdings" w:cs="Wingdings" w:eastAsia="Wingdings" w:hAnsi="Wingdings"/>
                <w:sz w:val="18"/>
                <w:szCs w:val="18"/>
                <w:b w:val="1"/>
                <w:bCs w:val="1"/>
                <w:color w:val="auto"/>
                <w:w w:val="99"/>
              </w:rPr>
              <w:t>o</w:t>
            </w:r>
          </w:p>
        </w:tc>
      </w:tr>
    </w:tbl>
    <w:p>
      <w:pPr>
        <w:sectPr>
          <w:pgSz w:w="11900" w:h="16838" w:orient="portrait"/>
          <w:cols w:equalWidth="0" w:num="1">
            <w:col w:w="11240"/>
          </w:cols>
          <w:pgMar w:left="320" w:top="290" w:right="339" w:bottom="15"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equity held by non-affiliates of the registrant (without admitting that any person whose securities are not included in such calculation is an affiliate) computed by reference to the price at which the Class A common stock was last sold as of June 30, 2024, the last business day of the registrant’s most recently completed second fiscal quarter, was approximately $106.4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26, 2025, the registrant had 163,202,105 shares of Class A common stock outstanding and 19,937,500 shares of Class B common stock outstanding.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(or parts thereof) are incorporated by reference into the following parts of this Form 10-K: Certain information required in Part</w:t>
      </w:r>
    </w:p>
    <w:p>
      <w:pPr>
        <w:spacing w:after="0" w:line="27" w:lineRule="exact"/>
        <w:rPr>
          <w:sz w:val="20"/>
          <w:szCs w:val="20"/>
          <w:color w:val="auto"/>
        </w:rPr>
      </w:pPr>
    </w:p>
    <w:p>
      <w:pPr>
        <w:ind w:firstLine="8"/>
        <w:spacing w:after="0" w:line="260" w:lineRule="auto"/>
        <w:tabs>
          <w:tab w:leader="none" w:pos="2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Annual Report on Form 10-K is incorporated by reference from the Registrant’s Proxy Statement for the 2025 Annual Meeting of Stockholders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2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21"/>
                <w:szCs w:val="2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gridSpan w:val="2"/>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52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26</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2"/>
          </w:tcPr>
          <w:p>
            <w:pPr>
              <w:spacing w:after="0" w:line="202" w:lineRule="exact"/>
              <w:rPr>
                <w:sz w:val="20"/>
                <w:szCs w:val="20"/>
                <w:color w:val="auto"/>
              </w:rPr>
            </w:pPr>
            <w:r>
              <w:rPr>
                <w:rFonts w:ascii="Times New Roman" w:cs="Times New Roman" w:eastAsia="Times New Roman" w:hAnsi="Times New Roman"/>
                <w:sz w:val="18"/>
                <w:szCs w:val="18"/>
                <w:color w:val="0000FF"/>
              </w:rPr>
              <w:t>Cybersecurity</w:t>
            </w:r>
          </w:p>
        </w:tc>
        <w:tc>
          <w:tcPr>
            <w:tcW w:w="6180" w:type="dxa"/>
            <w:vAlign w:val="bottom"/>
            <w:tcBorders>
              <w:top w:val="single" w:sz="8" w:color="CCEEFF"/>
            </w:tcBorders>
            <w:gridSpan w:val="13"/>
          </w:tcPr>
          <w:p>
            <w:pPr>
              <w:spacing w:after="0"/>
              <w:rPr>
                <w:sz w:val="17"/>
                <w:szCs w:val="17"/>
                <w:color w:val="auto"/>
              </w:rPr>
            </w:pPr>
          </w:p>
        </w:tc>
        <w:tc>
          <w:tcPr>
            <w:tcW w:w="520" w:type="dxa"/>
            <w:vAlign w:val="bottom"/>
            <w:tcBorders>
              <w:top w:val="single" w:sz="8" w:color="CCEEFF"/>
            </w:tcBorders>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22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8220" w:type="dxa"/>
            <w:vAlign w:val="bottom"/>
            <w:tcBorders>
              <w:top w:val="single" w:sz="8" w:color="CCEEFF"/>
            </w:tcBorders>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20" w:type="dxa"/>
            <w:vAlign w:val="bottom"/>
            <w:tcBorders>
              <w:top w:val="single" w:sz="8" w:color="CCEEFF"/>
            </w:tcBorders>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60" w:type="dxa"/>
            <w:vAlign w:val="bottom"/>
            <w:tcBorders>
              <w:bottom w:val="single" w:sz="8" w:color="CCEEFF"/>
            </w:tcBorders>
            <w:gridSpan w:val="7"/>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76</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740" w:type="dxa"/>
            <w:vAlign w:val="bottom"/>
            <w:tcBorders>
              <w:bottom w:val="single" w:sz="8" w:color="CCEEFF"/>
            </w:tcBorders>
            <w:gridSpan w:val="3"/>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112</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6900" w:type="dxa"/>
            <w:vAlign w:val="bottom"/>
            <w:tcBorders>
              <w:bottom w:val="single" w:sz="8" w:color="CCEEFF"/>
            </w:tcBorders>
            <w:gridSpan w:val="18"/>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9C.</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113</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22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113</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120" w:type="dxa"/>
            <w:vAlign w:val="bottom"/>
            <w:tcBorders>
              <w:bottom w:val="single" w:sz="8" w:color="CCEEFF"/>
            </w:tcBorders>
            <w:gridSpan w:val="9"/>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113</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822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20" w:type="dxa"/>
            <w:vAlign w:val="bottom"/>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114</w:t>
            </w: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114</w:t>
            </w:r>
          </w:p>
        </w:tc>
        <w:tc>
          <w:tcPr>
            <w:tcW w:w="22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22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115</w:t>
            </w:r>
          </w:p>
        </w:tc>
        <w:tc>
          <w:tcPr>
            <w:tcW w:w="2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60" w:type="dxa"/>
            <w:vAlign w:val="bottom"/>
            <w:tcBorders>
              <w:top w:val="single" w:sz="8" w:color="CCEEFF"/>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8220" w:type="dxa"/>
            <w:vAlign w:val="bottom"/>
            <w:tcBorders>
              <w:top w:val="single" w:sz="8" w:color="CCEEFF"/>
            </w:tcBorders>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20" w:type="dxa"/>
            <w:vAlign w:val="bottom"/>
            <w:tcBorders>
              <w:top w:val="single" w:sz="8" w:color="CCEEFF"/>
            </w:tcBorders>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115</w:t>
            </w:r>
          </w:p>
        </w:tc>
        <w:tc>
          <w:tcPr>
            <w:tcW w:w="2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16.</w:t>
            </w:r>
          </w:p>
        </w:tc>
        <w:tc>
          <w:tcPr>
            <w:tcW w:w="822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gridSpan w:val="2"/>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118</w:t>
            </w:r>
          </w:p>
        </w:tc>
        <w:tc>
          <w:tcPr>
            <w:tcW w:w="2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760" w:type="dxa"/>
            <w:vAlign w:val="bottom"/>
            <w:tcBorders>
              <w:top w:val="single" w:sz="8" w:color="0000FF"/>
              <w:bottom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FF"/>
            </w:tcBorders>
            <w:gridSpan w:val="6"/>
          </w:tcPr>
          <w:p>
            <w:pPr>
              <w:spacing w:after="0"/>
              <w:rPr>
                <w:sz w:val="17"/>
                <w:szCs w:val="17"/>
                <w:color w:val="auto"/>
              </w:rPr>
            </w:pPr>
          </w:p>
        </w:tc>
        <w:tc>
          <w:tcPr>
            <w:tcW w:w="6680" w:type="dxa"/>
            <w:vAlign w:val="bottom"/>
            <w:tcBorders>
              <w:top w:val="single" w:sz="8" w:color="CCEEFF"/>
            </w:tcBorders>
            <w:gridSpan w:val="16"/>
          </w:tcPr>
          <w:p>
            <w:pPr>
              <w:spacing w:after="0"/>
              <w:rPr>
                <w:sz w:val="17"/>
                <w:szCs w:val="17"/>
                <w:color w:val="auto"/>
              </w:rPr>
            </w:pPr>
          </w:p>
        </w:tc>
        <w:tc>
          <w:tcPr>
            <w:tcW w:w="520" w:type="dxa"/>
            <w:vAlign w:val="bottom"/>
            <w:tcBorders>
              <w:top w:val="single" w:sz="8" w:color="CCEEFF"/>
            </w:tcBorders>
            <w:gridSpan w:val="2"/>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6"/>
              </w:rPr>
              <w:t>119</w:t>
            </w:r>
          </w:p>
        </w:tc>
        <w:tc>
          <w:tcPr>
            <w:tcW w:w="22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Annual Report on Form 10-K include, but are not limited to, statements about:</w:t>
      </w:r>
    </w:p>
    <w:p>
      <w:pPr>
        <w:spacing w:after="0" w:line="8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conflicts, pandemics or epidemics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listing of our Class A common stock on The Nasdaq Stock Market LLC;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and commercialization activities;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2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including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 of sequencing instruments, our consumable kits and the success of any product we may offer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its products, and any related restrictions and limitations of any approved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lease, license, manufacture and supply agreements;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its ability to serve those markets once commercialized, either alone or in partnership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future revenue, capital requirements and needs for additional financing;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in this Annual Report on Form 10-K as filed with the Securities and Exchange Commissions (the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References in the summary below to “we”, “us”, “our” the “Company” and “Quantum-Si” refer to Quantum-Si Incorporated and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include, but are not limited to,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21"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and negative cash flow, which we expect to continue, and we may not be able to generate meaningful revenues or achieve and sustain profitability or positive cash flow in the future.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ongoing research and development, operating activities, and commercialization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gain commercial traction for our current products and we may not be able to successfully commercially launch other future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superior sales and marketing capabilities, we may not be successful in commercializing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products may be smaller than estimated, and new market opportunities may not develop as quickly as we expect, or at all, limiting our ability to successfully sell our products.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retaliatory economic policies, or other geopolitical conditions associated with intra-country economics and policies could adversely affect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sustain or successfully manage our anticipated growth, our business and prospects will be harmed.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and in the past, we have undergone leadership transitions and an internal restructuring, and we depend on our key personnel and other highly qualified personnel, and if we are unable to recruit, train and retain our personnel in the future, we may not achieve our goals.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will depend significantly on research and development spending by academic institutions and other research institutions, and any reduction in spending, driven by these customers or other third party funding sources such as the National Institutes of Health, could limit demand for our products and adversely affect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certain contract manufacturers to manufacture and supply our instruments, components of our instruments, and certain components of our consumable offerings. If these manufacturers should fail or not perform satisfactorily, our ability to commercialize and supply our instruments and consumable offerings would be adversely affected.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manufacturing equipment is specialized with limited vendor options and long lead times. If these pieces of equipment were to stop working and be unable to be repaired in a timely manner or at all, our ability to manufacturer our semiconductor chips would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through a number of key channel partners, and the loss of any such channel partner could adversely impact our business and our results of operations could suffer.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develop and maintain our Platinum Analysis Software service, our commercialization efforts and therefore business and results of operations could suffer.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products outside of the United States could expose us to business, regulatory, political, operational, financial, and economic risks associated with doing business outside of the United States.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foundries to produce silicon wafers, which when packaged and tested internally, lead to our supply of semiconductor chips. If these third-party foundries should fail or not perform satisfactorily, our ability to supply semiconductor chips would be negatively and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life sciences technology market is highly competitive. If we fail to compete effectively, our business and results of operations will suffer.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companies or technologies which could divert our management’s attention, result in additional dilution to our stockholders and otherwise disrupt our operations and harm our operating results.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significant disruption in our information technology systems, including our Platinum Analysis Software services, or cybersecurity incidents, our business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jc w:val="both"/>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use only (“RUO”) products could become subject to government regulation as medical devices by the U.S. Food and Drug Administration (“FDA”) and other regulatory agencies even if we do not elect to seek regulatory authorization to market our products for diagnostic purposes, which would adversely impact our ability to market and sell our products and harm our business.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reagents may be used by clinical laboratories to create Laboratory-Developed Tests (“LDTs”), which could, in the future, become subject to some form of FDA or other regulatory requirements, which could materially and adversely affect our business and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both U.S. federal and state laws and regulations as well as international laws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the value of our technology could be materially adversely affected, and our business could be harmed.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products for an adequate amount of time.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to Being a Public Company</w:t>
      </w:r>
    </w:p>
    <w:p>
      <w:pPr>
        <w:spacing w:after="0" w:line="229"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became exercisable for our Class A common stock in September 2021, which increased the number of shares eligible for future resale in the public market and could result in dilution to our stockholders if exercised.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experienced material weaknesses in our internal control over financial reporting, and if we experience such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 controls and procedures may not prevent or detect all errors or acts of fraud.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“controlled company” within the meaning of the Nasdaq rules, our stockholders may not have certain corporate governance protections that are available to stockholders of companies that are not controlled companies.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fail to maintain the listing of our Class A common stock on the Nasdaq Stock Market LLC, which could seriously harm the liquidity of our shares and our ability to raise capital or complete a strategic transaction.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our Founder, who is also on our Board of Directors, which will limit an investor’s ability to influence the outcome of important transactions, including a change in control.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life sciences company focused on the development and commercialization of proteomics research tools, with the mission to bring single-molecule proteomics analysis to every lab, everywhere. We have developed a proprietary universal single-molecule detection platform that we are initially applying to proteomics to enable Next-Generation Protein Sequencing</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(“NGPS”). Traditionally, proteomic workflows to sequence proteins have several limitations including low throughput (only one protein at a time), requires the use of hazardous chemicals, is time consuming and labor intensive requiring days or weeks of a scientist’s time to complete. NGPS delivers single amino acid level resolution, using a low cost, low maintenance instrument and includes a suite of automated data analysis tools so that any lab, with modest scientific expertise, can easily implement protein sequencing into their workflows. Our products include instrumentation (Platinum and Platinum Pro), consumable kits for library preparation and sequencing for use with our instruments and a suite of automated data analysis tools. We began a controlled launch of the Platinum instrument and started to take orders in December 2022, and subsequently began shipping Platinum in January 2023. We moved to a full commercial launch of Platinum beginning in the second quarter of 2024. In January of 2025, we announced the launch of Platinum Pro with first shipments expected to occur by the end of the first quarter of 2025.</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we presented a technology and product roadmap that we believe positions us to be a leader in proteomics. The roadmap includes continued updates and enhancements to our current platform including instrumentation, consumable kits and software tools, and a next generation platform called Proteus. This new Proteus platform is expected to significantly scale the sequencing output per sample, sample throughput per run and increase workflow automation. In addition, during our presentation in November 2024, we provided data demonstrating the wide range of proteomics applications that are addressable with our proprietary single molecule, kinetic detection technology. We intend to execute on this roadmap through a combination of internal development programs and external partnerships to ultimately bring to market the most comprehensive proteomics platform in our industry.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core technology can address the broadest range of applications in the rapidly evolving proteomics tools market. Our current and future platforms aim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offers single molecule, amino acid level resolution at a lower instrument cost and with greater automation than legacy proteomic solutions, could allow our products to have wide utility across the study of the proteome. For example, our platform could be used for biomarker discovery and disease detection, pathway analysis, immune response, vaccine development, quality assurance and quality control, among other applications.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2021 SVB Leerink research report, proteomics represents a $75 billion market opportunity spanning from life science research through diagnostics. Within this, proteomics research represented a $20 billion opportunity, while proteomic diagnostics and personalized medicine represented the remaining $55 billion. Within the $20 billion current addressable research market, we are focusing on an initial target market of approximately $8 billion that includes protein identification (approximately $3 billion), protein expression and quantification (approximately $3 billion) and proteoforms and post translational modifications (approximately $1.5 billion).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team has decades of cumulative experience in developing, commercializing and scaling tools in the life sciences industry. Our management team has previously employed similar approaches at other companies to launch other disruptive technologies, including market leading next generation DNA sequencing technologies. We believe this experience will allow us to introduce our platform in a structured manner to demonstrate its use, value and practicality, while working directly with our customers, to help ensure a positive experience.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began a controlled launch of Platinum in December 2022, operated under this controlled commercial launch in 2023 and through the first quarter of 2024, at which point we began a full commercial launch at the beginning of the second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quarter of 2024. Revenue for the years ended December 31, 2024 and 2023 was $3.1 million and $1.1 million, respectively, and there was no revenue for the year ended December 31, 2022. We incurred net losses of $101.0 million, $96.0 million and $132.4 million for the years ended December 31,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Importance of Proteomics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human proteome is diverse, complex and dynamic, with multiple protein variants derived from each gene due to multiple biological steps required to generate the functional proteome, including transcription, translation and post-translational modifications (“PTMs”). While our genomes contain approximately 20,000 genes, current estimates are that these genes ultimately code for more than 1,000,000 different protein variants called proteoforms. Thus, most of the diversity that exists in our cells comes from proteins, which are organic compounds made up of amino acids. Aside from water, the majority of the molecules in our bodies are comprised of proteins, which play a central role in the body’s biological processes, from the immune system response, signaling pathways to transporting oxygen molecules and providing our cells with structure. Proteins or a group of interacting proteins are responsible for virtually every biological function within a living organism. Unlike the genome, the proteome is in constant flux depending on the state of the cell. However, even with the knowledge of the proteome’s influence, the proteome remains largely unexplored relative to the genome. Over the past decades, genomics has ushered in a greater understanding of human biology and disease through the decoding of the human genome, providing a greater understanding of the genes that lay out the instructions for the function, development and reproduction of organisms. While genomics has allowed the interrogation of genetic variation, protein variants hold information yet to be explored or connected to the network of genomic knowledge to better understand cellular function and disease. The protein’s elaborate structure, complicated composition, and vast number of variants, provide a dynamic look into the functions they provide. For example, proteins function as antibodies that bind to specific particles like viruses to protect the body; they act as enzymes to carry out chemical reactions in cells; they act as messengers like hormones to transmit signals; they exist as structural components; and form the basis for storage to carry additional molecules throughout the body.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Proteomic discovery provides insight into what is immediately happening biologically. This insight may be based on both genetic and environmental factors that influence protein structure and function. Given their dynamic nature, proteins, while complex structures, are an excellent indicator that we believe can be used to track therapeutic response, disease progression and a person’s overall health. In a sense, DNA tells us “what could happen” and proteins tell us “what is happening.”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our products are limited to RUO applications, we note that proteomics tools have been broadly used across a wide range of applications, including:</w:t>
      </w:r>
    </w:p>
    <w:p>
      <w:pPr>
        <w:spacing w:after="0" w:line="11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Systems biology</w:t>
      </w:r>
      <w:r>
        <w:rPr>
          <w:rFonts w:ascii="Times New Roman" w:cs="Times New Roman" w:eastAsia="Times New Roman" w:hAnsi="Times New Roman"/>
          <w:sz w:val="18"/>
          <w:szCs w:val="18"/>
          <w:color w:val="auto"/>
        </w:rPr>
        <w:t>: system-wide investigations of disease pathways to identify biomarkers, drug action, toxicity, efficacy and resistance;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Drug discovery and development</w:t>
      </w:r>
      <w:r>
        <w:rPr>
          <w:rFonts w:ascii="Times New Roman" w:cs="Times New Roman" w:eastAsia="Times New Roman" w:hAnsi="Times New Roman"/>
          <w:sz w:val="18"/>
          <w:szCs w:val="18"/>
          <w:color w:val="auto"/>
        </w:rPr>
        <w:t>: identification of drug candidates, novel drug delivery systems, and aid in drug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Biomarker discovery</w:t>
      </w:r>
      <w:r>
        <w:rPr>
          <w:rFonts w:ascii="Times New Roman" w:cs="Times New Roman" w:eastAsia="Times New Roman" w:hAnsi="Times New Roman"/>
          <w:sz w:val="18"/>
          <w:szCs w:val="18"/>
          <w:color w:val="auto"/>
        </w:rPr>
        <w:t>: identification of protein markers for disease identification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Personalized medicine</w:t>
      </w:r>
      <w:r>
        <w:rPr>
          <w:rFonts w:ascii="Times New Roman" w:cs="Times New Roman" w:eastAsia="Times New Roman" w:hAnsi="Times New Roman"/>
          <w:sz w:val="18"/>
          <w:szCs w:val="18"/>
          <w:color w:val="auto"/>
        </w:rPr>
        <w:t>: tailoring of disease treatment based real-time proteomic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 / agriculture</w:t>
      </w:r>
      <w:r>
        <w:rPr>
          <w:rFonts w:ascii="Times New Roman" w:cs="Times New Roman" w:eastAsia="Times New Roman" w:hAnsi="Times New Roman"/>
          <w:sz w:val="18"/>
          <w:szCs w:val="18"/>
          <w:color w:val="auto"/>
        </w:rPr>
        <w:t>: bioproduction and study of plant-pathogen interaction (e.g. crop engineering for drought resistance);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Food science</w:t>
      </w:r>
      <w:r>
        <w:rPr>
          <w:rFonts w:ascii="Times New Roman" w:cs="Times New Roman" w:eastAsia="Times New Roman" w:hAnsi="Times New Roman"/>
          <w:sz w:val="18"/>
          <w:szCs w:val="18"/>
          <w:color w:val="auto"/>
        </w:rPr>
        <w:t>: identification of allergies, understanding an improvement of nutritional values and food quality and safety control.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Legacy Proteomic Technologies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higher diversity and level of complexity related to proteins than genes. Depending on the combination of genes, specific proteins are built to perform specialized functions in the body. A single gene can encode multiple proteoforms depending on the role the protein will ultimately play in the cell. Protein synthesis happens in two stages. First is transcription, where DNA is converted into messenger RNA. Second is translation, where a cell’s ribosomes read the RNA instructions to assemble the protein. An increase in the complexity of the proteome is facilitated by post translational modifications (“PTMs”) where pieces of the protein are modified to either activate or inactivate the protein as part of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signaling pathway to localize the protein to a certain cellular compartment. Legacy proteomic techniques can be grouped into three general categories: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Spectrometry, Affinity-based methods and Sequencing via Edman Degradation.</w:t>
      </w:r>
    </w:p>
    <w:p>
      <w:pPr>
        <w:spacing w:after="0" w:line="230" w:lineRule="exact"/>
        <w:rPr>
          <w:sz w:val="20"/>
          <w:szCs w:val="20"/>
          <w:color w:val="auto"/>
        </w:rPr>
      </w:pPr>
    </w:p>
    <w:p>
      <w:pPr>
        <w:jc w:val="both"/>
        <w:ind w:left="660" w:hanging="328"/>
        <w:spacing w:after="0" w:line="25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Mass Spectrometry. </w:t>
      </w:r>
      <w:r>
        <w:rPr>
          <w:rFonts w:ascii="Times New Roman" w:cs="Times New Roman" w:eastAsia="Times New Roman" w:hAnsi="Times New Roman"/>
          <w:sz w:val="18"/>
          <w:szCs w:val="18"/>
          <w:color w:val="auto"/>
        </w:rPr>
        <w:t>MS is a method for the mass determination and characterization of proteins and for more than a decade, has been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dominant tool for unbiased protein analysis. MS workflows allow for the interrogation of individual peptides and protein sequences; however, these techniques are generally complex, lengthy, utilize expensive equipment, and require extensive data analysis by specially trained staff. MS instruments can cost $1,000,000 or more per new instrument and given the technical staff required for performing the process and analyzing the resulting data, the use of MS is often constrained to large, centralized core laboratories. In addition, current sensitivity and dynamic range restrictions of MS also make it difficult to use with liquid samples and restrict the ability to analyze at single molecule resolution or the ability to deeply integrate a protein. Taken together, these factors limit the broad scale adoption of MS in the market.</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Affinity-Based Methods</w:t>
      </w:r>
      <w:r>
        <w:rPr>
          <w:rFonts w:ascii="Times New Roman" w:cs="Times New Roman" w:eastAsia="Times New Roman" w:hAnsi="Times New Roman"/>
          <w:sz w:val="18"/>
          <w:szCs w:val="18"/>
          <w:color w:val="auto"/>
        </w:rPr>
        <w:t>. Affinity-based methods are effective when specific protein(s) or epitopes of interest are known. Affinity-based methods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a variety of molecules, such as antibodies or aptamers, which bind to specific regions, rather than individual amino acids, and therefore may not detect the presence of a protein variant. For instance, the average binding site of an affinity reagent is an epitope with a length of 5 to 8 amino acids, whereas the average length of a human protein is approximately 470 amino acids. Changes or modifications to the protein may prevent the affinity reagent from binding, resulting in missed identification or false negative results. In addition, affinity reagents do not recognize differences in protein structure outside of the targeted binding site making them ineffective at differentiating protein variants. These fundamental challenges limit the ability of affinity-based methods to accurately survey the full complexity of the proteome. Furthermore, affinity-based methods when applied to highly multiplexed analysis of proteins, requires the use of expensive DNA sequencing instrumentation and reagents to resolve barcodes necessary to complete the analysis process. This additional step and instrumentation requirement often limits the use of these high-plex methods to large, core laboratories that have the required infrastructure and data analysis capabilities in their laboratories.</w:t>
      </w:r>
    </w:p>
    <w:p>
      <w:pPr>
        <w:spacing w:after="0" w:line="77"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Sequencing via Edman Degradation. </w:t>
      </w:r>
      <w:r>
        <w:rPr>
          <w:rFonts w:ascii="Times New Roman" w:cs="Times New Roman" w:eastAsia="Times New Roman" w:hAnsi="Times New Roman"/>
          <w:sz w:val="18"/>
          <w:szCs w:val="18"/>
          <w:color w:val="auto"/>
        </w:rPr>
        <w:t>Edman degradation is a method for sequencing of single amino acids from a peptide by alternating acidic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alkaline conditions to cleave the N terminal amino acid from a peptide with the resulting cleaved amino acid being detected using chromatography or electrophoresis. Edman degradation requires the use of hazardous chemicals, is labor and time intensive, and is subject to failures due to naturally occurring chemical modifications of amino acids such as acetylation. While Edman Degradation offers single amino acid level resolution, the technical challenges and limitations of the procedure limit its usefulness outside of a select number of research laboratories.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Proteomics represents a large and growing market opportunity. According to a 2021 SVB Leerink research report, proteomics represented a $75 billion market opportunity spanning from life science research through diagnostics. Within this, the proteomics research market represents a $20 billion addressable market, and we are focused on an initial target market of approximately $8 billion that includes protein identification (approximately $3 billion), protein expression and quantification (approximately $3 billion) and proteoforms and post translational modifications (approximately $1.5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Proteomics Landscape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complexity of analyzing the proteome, the market today, is highly fragmented with a mix of legacy and new technologies that address specific requirements of proteomic researchers with no single solution addressing the full range of requirements. When evaluating and purchasing new proteomics research instrumentation, customers must make tradeoffs across a range of product attributes and capabilities including the breadth of coverage (proteins) versus depth of resolution (amino acid, PTM), sample throughput versus instrument costs, biased (affinity-based methods) versus unbiased (protein sequencing, mass spectrometry) amongst others. In addition, many of the legacy technologies also involve a complex, manual workflow and specialized staff to perform data analysis. The combination of these factors means that proteomics research tool adoption remains constrained to specialty facilities, often called core laboratories. For researchers outside of these core laboratories, they must send out their proteomics analysis work increasing the cost and extending the time to complete their research studies. Additionally, in many countries outside of the United States or Western Europe, there are few to no core laboratories to send work to, so the availability of advanced proteomics tools is extremely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Today, our protein sequencing platforms, Platinum and Platinum Pro, address these market challenges in two distinct ways. First, our single molecule, amino acid level resolution capability allows researchers to deeply characterize proteins including protein isoforms, variants and PTMs, types of analysis that are either very difficult to perform or not feasible at all using affinity-based methods or MS. This makes Platinum and Platinum Pro a valuable complement to current technologies used in proteomics core laboratories. Second, our instrument has a low capital cost and includes automated data analysis, easing adoption in both core laboratories and smaller research laboratories looking to insource their proteomics work saving time and budget compared to sending samples to core laboratories. For countries with limited or no core laboratory infrastructure, our platform in some cases, represents the only advanced proteomics instrument local researchers can implement.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to the future, we believe that our Proteus instrument and core technology will be able to address a broad range of proteomics analysis methods, thereby limiting the need for a laboratory to own multiple, specialized platforms. Proteus will provide single molecule, amino acid level resolution as we do with Platinum and Platinum Pro, while also offer significantly higher sequencing output per sample, increased sample throughout per run, automation of the sequencing workflow and automated data analysis. We believe that the Proteus platform will enable any lab to perform a broad range of proteomics analysis methods on a single instrument.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protein sequencing platforms are currently intended for research use only or “RUO”. In the future, it is possible that our products may be used for clinical purposes. If our products are used for clinical purposes, they may require regulatory authorization.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products include instruments, consumables and software used together as a platform for protein analysis. Our customers use commercially available products to prepare their proteins which is the starting material for the protein sequencing process as depicted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Protein Sequencing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156845</wp:posOffset>
            </wp:positionV>
            <wp:extent cx="5657850" cy="1174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protein sequencing process starts with a step called library prep. The first step in library prep is to digest the proteins into smaller fragments called peptides. In the second part of the library prep process, a linker is attached to the end of the peptide. This linker is designed to attach to the bottom of the reaction well in our sequencing consumable. Once the library prep process is complete, the user then sets up the sequencing step. In this step, the prepared library is combined with sequencing reagents and introduced into a chamber in our sequencing consumable. The sequencing consumable contains millions of features, each capable of performing a single molecule sequencing reaction. The sequencing reagents contain amino acid recognizers, enzymes that remove terminal amino acids and other buffers. A single recognizer is capable of uniquely identifying more than one amino acid. Our technology is designed to accurately determine the recognizer by its unique kinetic signature. After removing the terminal amino acid, the recognition process repeats until the full peptide chain is sequenced. While traditional single-molecule platforms rely on a single measurement for the detection of an event, the advantage of our approach is that our technology can obtain tens to hundreds of data points for each amino acid. Cumulatively, we expect the multiple measurements to deliver high amino acid call accuracy. We believe we are the first company to have successfully commercialized a NGPS product.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biological questions that researchers use NGPS to answer include the following:</w:t>
      </w:r>
    </w:p>
    <w:p>
      <w:pPr>
        <w:spacing w:after="0" w:line="248" w:lineRule="exact"/>
        <w:rPr>
          <w:sz w:val="20"/>
          <w:szCs w:val="20"/>
          <w:color w:val="auto"/>
        </w:rPr>
      </w:pPr>
    </w:p>
    <w:p>
      <w:pPr>
        <w:ind w:left="66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protein is present? </w:t>
      </w:r>
      <w:r>
        <w:rPr>
          <w:rFonts w:ascii="Times New Roman" w:cs="Times New Roman" w:eastAsia="Times New Roman" w:hAnsi="Times New Roman"/>
          <w:sz w:val="18"/>
          <w:szCs w:val="18"/>
          <w:color w:val="auto"/>
        </w:rPr>
        <w:t>Amino acid resolution can provide insight into more than just whether a protein is present or absent. The sequence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could also indicate what version of the protein is present and how it has been changed from the normal version.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right="2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How much of the protein is present? </w:t>
      </w:r>
      <w:r>
        <w:rPr>
          <w:rFonts w:ascii="Times New Roman" w:cs="Times New Roman" w:eastAsia="Times New Roman" w:hAnsi="Times New Roman"/>
          <w:sz w:val="18"/>
          <w:szCs w:val="18"/>
          <w:color w:val="auto"/>
        </w:rPr>
        <w:t>Relative quantification provides information about protein abundance relative to other proteins or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variants present in the sample.</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How has the protein been modified? </w:t>
      </w:r>
      <w:r>
        <w:rPr>
          <w:rFonts w:ascii="Times New Roman" w:cs="Times New Roman" w:eastAsia="Times New Roman" w:hAnsi="Times New Roman"/>
          <w:sz w:val="18"/>
          <w:szCs w:val="18"/>
          <w:color w:val="auto"/>
        </w:rPr>
        <w:t>Single-molecule sensitivity could show how the protein has been post-translationally modified thus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greater insights to its role in the context of biological processes within the cell.</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Current Product Offerings Consists of the Platinum and Platinum Pro Instruments, Library Preparation and Barcoding Kits, Sequencing Kit and Platinum Analysis Software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Platinum - NGPS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173990</wp:posOffset>
            </wp:positionV>
            <wp:extent cx="1234440" cy="1483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Platinum was the first to market the NGPS instrument. While traditional instruments like MS can cost up to $1,000,000 or more per new instrument, our Platinum device is currently priced at approximately $85,000. Platinum is designed to provide single molecule, amino acid level resolution with a streamlined workflow, including automated data analysis, making it accessible to researchers in all laboratory types.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Platinum Pro - NGPS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173990</wp:posOffset>
            </wp:positionV>
            <wp:extent cx="1234440" cy="1379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of 2025, we announced the launch of Platinum Pro with first shipments expected to occur by the end of the first quarter of 2025. Platinum Pro will provide the same technology capabilities of Platinum (single molecule, amino acid resolution) and includes an enhanced user interface, cloud or on instrument data analysis and an available Pro Mode, an option for customers who want to build custom analysis methods utilizing the power of our single molecule, kinetic detection technology. Our Platinum Pro device is currently priced at approximately $120,000.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Consumables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derive recurring revenue from the sale of consumables that are required to run samples on the Platinum and Platinum Pro instruments or future generations of sequencing platforms that we may launch. Current consumable kits consist of library preparation kits and sequencing kits. These kits are designed for use only with our instruments.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Library Preparation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702310</wp:posOffset>
            </wp:positionV>
            <wp:extent cx="1645920" cy="831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library preparation kit is designed to prepare a customer’s protein sample for sequencing. This kit includes the reagents required to digest the protein(s) into peptides and attach a linker that allows the peptide to bind to the bottom of the reaction features on our sequencing consumable.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Barcoding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173990</wp:posOffset>
            </wp:positionV>
            <wp:extent cx="1234440" cy="1036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barcoding kit is a type of library preparation kit, that is specifically designed to optimize the workflow and performance of our technology when applied to protein barcoding applications. This kit includes the reagents required to prepare the barcodes for sequencing and the associated protocol provides information about barcode sequence design and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Sequencing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19685</wp:posOffset>
            </wp:positionV>
            <wp:extent cx="1645920" cy="805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sequencing kits contain the reagents and consumables used to perform NGPS on the Platinum or Platinum Pro instrument. In the currently marketed kit, the consumable is a semiconductor chip with two million features.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Platinum Analysis Software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Platinum Analysis Software is a cloud-based solution that automates data analysis workflows and provides a user-friendly interface and visualization of the sequencing results. Our software suite includes tools to map peptides and visualize the amino acid coverage, align peptides to proteins, including a protein inference workflow and a variant caller workflow that is specifically designed to aid users in the identification and relative quantification of variants including single amino acid changes or PTMs.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with the launch of our Platinum Pro instrument, we plan to offer a combination of cloud-based and on-instrument software and data analysis tools to address situations where customers have limited or no ability to access to the cloud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competitive strengths include the following:</w:t>
      </w:r>
    </w:p>
    <w:p>
      <w:pPr>
        <w:spacing w:after="0" w:line="248" w:lineRule="exact"/>
        <w:rPr>
          <w:sz w:val="20"/>
          <w:szCs w:val="20"/>
          <w:color w:val="auto"/>
        </w:rPr>
      </w:pPr>
    </w:p>
    <w:p>
      <w:pPr>
        <w:jc w:val="both"/>
        <w:ind w:left="660" w:hanging="328"/>
        <w:spacing w:after="0" w:line="25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technology with broad applicability across a range of proteomics analysis methods. </w:t>
      </w:r>
      <w:r>
        <w:rPr>
          <w:rFonts w:ascii="Times New Roman" w:cs="Times New Roman" w:eastAsia="Times New Roman" w:hAnsi="Times New Roman"/>
          <w:sz w:val="18"/>
          <w:szCs w:val="18"/>
          <w:color w:val="auto"/>
        </w:rPr>
        <w:t>At the core, our technology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molecule, kinetic detection of individual amino acids. By enabling single molecule detection, we are not reliant on ensemble measurements, which can often vary from sample to sample and even run to run. Amino acid level resolution allows researchers to deeply characterize proteins including protein isoforms, variants and PTM’s, all types of analysis that are either very difficult to perform or not feasible at all using affinity-based methods or MS. Finally, our ability to detect the kinetic signatures of amino acid recognizers can be extended to other detection molecules including engineered proteins, nanobodies or antibodies. Looking to the future, we believe that our core technology will be able to address a broad range of proteomics analysis methods, thereby limiting the need for a laboratory to own multiple, specialized platforms.</w:t>
      </w:r>
    </w:p>
    <w:p>
      <w:pPr>
        <w:jc w:val="both"/>
        <w:ind w:left="660" w:hanging="328"/>
        <w:spacing w:after="0" w:line="25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Platinum Analysis Software provides automated, user-friendly data analysis and visualization workflows. </w:t>
      </w:r>
      <w:r>
        <w:rPr>
          <w:rFonts w:ascii="Times New Roman" w:cs="Times New Roman" w:eastAsia="Times New Roman" w:hAnsi="Times New Roman"/>
          <w:sz w:val="18"/>
          <w:szCs w:val="18"/>
          <w:color w:val="auto"/>
        </w:rPr>
        <w:t>Our Platinum Analysis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suite of tools that can map peptides and visualize the amino acid coverage, align peptides to proteins, including a protein inference workflow and a variant caller workflow that is specifically designed to aid users in the identification and relative quantification of variants including single amino acid changes or PTMs. These automated tools allow researchers, regardless of their laboratory infrastructure or staff specialization, to perform NGPS.</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that leverages growing installed base of instruments each utilizing an increasing number of consumables over time.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our commercialization efforts, we aim to grow our installed base of instruments globally while in parallel, expanding the range of applications that customers can perform with our technology through continued launch of new instruments, consumable kits and software workflows. From this process and the increase of the installed base over time, we expect to grow a substantial base of recurring revenues from our customers purchasing a greater number of consumables per instrument over time.</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Platform to enable expanded access to proteomics tools. </w:t>
      </w:r>
      <w:r>
        <w:rPr>
          <w:rFonts w:ascii="Times New Roman" w:cs="Times New Roman" w:eastAsia="Times New Roman" w:hAnsi="Times New Roman"/>
          <w:sz w:val="18"/>
          <w:szCs w:val="18"/>
          <w:color w:val="auto"/>
        </w:rPr>
        <w:t>Our instrument has a low capital cost and includes automated data analysis, 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in both core laboratories and smaller research laboratories looking to insource their proteomics work saving time and budget compared to sending samples to core laboratories. For countries with limited core laboratory infrastructure, our platform in some cases represents the only advanced proteomics instrument local researchers can implement.</w:t>
      </w:r>
    </w:p>
    <w:p>
      <w:pPr>
        <w:spacing w:after="0" w:line="20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Robust patent protection. </w:t>
      </w:r>
      <w:r>
        <w:rPr>
          <w:rFonts w:ascii="Times New Roman" w:cs="Times New Roman" w:eastAsia="Times New Roman" w:hAnsi="Times New Roman"/>
          <w:sz w:val="18"/>
          <w:szCs w:val="18"/>
          <w:color w:val="auto"/>
        </w:rPr>
        <w:t>We have a strong intellectual property strategy in which we have 396 issued patents and 598 pending applications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 In addition, we believe many of our pending and issued patents include foundational technology in the proteomics field.</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Experienced Life Science Management team and Board of Directors with significant experience in healthcare. </w:t>
      </w:r>
      <w:r>
        <w:rPr>
          <w:rFonts w:ascii="Times New Roman" w:cs="Times New Roman" w:eastAsia="Times New Roman" w:hAnsi="Times New Roman"/>
          <w:sz w:val="18"/>
          <w:szCs w:val="18"/>
          <w:color w:val="auto"/>
        </w:rPr>
        <w:t>We have a world-class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team and Board of Directors, including our chairman, executive officers, and other senior management, with decades of cumulative experience in the healthcare and life sciences end-markets. We believe this leadership team positions us as a potentially disruptive force in creating a new market of next generation protein sequencing.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strategies include the following:</w:t>
      </w:r>
    </w:p>
    <w:p>
      <w:pPr>
        <w:spacing w:after="0" w:line="248" w:lineRule="exact"/>
        <w:rPr>
          <w:sz w:val="20"/>
          <w:szCs w:val="20"/>
          <w:color w:val="auto"/>
        </w:rPr>
      </w:pPr>
    </w:p>
    <w:p>
      <w:pPr>
        <w:jc w:val="both"/>
        <w:ind w:left="660" w:hanging="328"/>
        <w:spacing w:after="0" w:line="25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to market using a phased approach to broad commercialization and adoption. </w:t>
      </w:r>
      <w:r>
        <w:rPr>
          <w:rFonts w:ascii="Times New Roman" w:cs="Times New Roman" w:eastAsia="Times New Roman" w:hAnsi="Times New Roman"/>
          <w:sz w:val="18"/>
          <w:szCs w:val="18"/>
          <w:color w:val="auto"/>
        </w:rPr>
        <w:t>We began a controlled launch of the Platinum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started to take orders in December 2022, and subsequently began commercial shipments of Platinum in January 2023, moving to a full commercial launch at the beginning of second quarter 2024. Members of our team have previously utilized a similar phased launch approach to successfully launch and drive long term adoption of other disruptive technologies. We believe this approach allow us to introduce our platform in a structured manner to demonstrate its use and practicality, while working directly with our key potential customers and industry thought leaders to help ensure a positive experience. Our leadership team has decades of cumulative experience working directly in the life sciences industry with many of the companies and research centers that have the potential to become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our commercial infrastructure globally. </w:t>
      </w:r>
      <w:r>
        <w:rPr>
          <w:rFonts w:ascii="Times New Roman" w:cs="Times New Roman" w:eastAsia="Times New Roman" w:hAnsi="Times New Roman"/>
          <w:sz w:val="18"/>
          <w:szCs w:val="18"/>
          <w:color w:val="auto"/>
        </w:rPr>
        <w:t>We are continuing to build our commercial and operational infrastructure to sell and support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as we gain traction throughout the world. Presently, we have a direct sales force in the United States, with a combined direct and distributor approach in Europe, and distributor relationships in certain key markets in the rest of the world. Further, in November 2024 we announced a North American distribution agreement with Avantor to distribute the Platinum Pro and related consumables. We formally began accepting orders through Avantor in the first quarter of 2025 and anticipating ramping activity through this relationship throughout 2025.</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 in scientific affairs and market development activities to drive evidence generation and increase the awareness of the importance NGPS. </w:t>
      </w:r>
      <w:r>
        <w:rPr>
          <w:rFonts w:ascii="Times New Roman" w:cs="Times New Roman" w:eastAsia="Times New Roman" w:hAnsi="Times New Roman"/>
          <w:sz w:val="18"/>
          <w:szCs w:val="18"/>
          <w:color w:val="auto"/>
        </w:rPr>
        <w:t>We believe that our platform has the capability to enable users to generate a depth of proteomic information that until our launch, was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We believe the utility of our platform spans basic research, drug discovery and development, translational research and quality control testing across multiple market segments including academic research, biopharma, contract development and manufacturing organization (“CDMOs”), government and industrial. We plan to invest in scientific affairs and market development activities and partnerships to generate the scientific evidence of the importance and utility of NGPS and to expand the awareness and demand for our products.</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technical innovation to drive product enhancements, new products, and additional applications. </w:t>
      </w:r>
      <w:r>
        <w:rPr>
          <w:rFonts w:ascii="Times New Roman" w:cs="Times New Roman" w:eastAsia="Times New Roman" w:hAnsi="Times New Roman"/>
          <w:sz w:val="18"/>
          <w:szCs w:val="18"/>
          <w:color w:val="auto"/>
        </w:rPr>
        <w:t>Our leadership team has deep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technology development and commercialization in the life sciences and diagnostics markets. Since the launch of our Platinum instrument, we have delivered a steady cadence of new products including sequencing kits, library prep kits, a barcoding kit and software workflows including protein inference and variant caller. In January of 2025, we announced the launch of Platinum Pro with first shipments expected to occur by the end of the first quarter of 2025. We aim to continually innovate and deliver new products, product enhancements, applications, workflows, and other tools to enable our customers to leverage the power of NGPS at scale. See “Product Roadmap” below for further information.</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 with accessibility. </w:t>
      </w:r>
      <w:r>
        <w:rPr>
          <w:rFonts w:ascii="Times New Roman" w:cs="Times New Roman" w:eastAsia="Times New Roman" w:hAnsi="Times New Roman"/>
          <w:sz w:val="18"/>
          <w:szCs w:val="18"/>
          <w:color w:val="auto"/>
        </w:rPr>
        <w:t>Our mission is to bring NGPS to every lab, everywhere. Our instrument has a low capital cost and includes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analysis, easing adoption in both core laboratories and smaller research laboratories looking to insource their proteomics work saving time and budget compared to sending samples to core laboratories. For countries with limited core laboratory infrastructure, our platform in some cases represents the only advanced proteomics instrument local researchers can implement. As we develop new platforms, we aim to expand the capability of our core technology and further increase the level of workflow automation while continuing to offer our platform at a price point that is advantageous to our customers compared to the capabilities and cost of many legacy proteomics technologies. Our ability to develop our platforms in such a way may allow proteomic analysis to reach new markets and new users, potentially enabling and accelerating innovative discoveries.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an ecosystem that delivers platform consolidation and a streamlined customer experience. </w:t>
      </w:r>
      <w:r>
        <w:rPr>
          <w:rFonts w:ascii="Times New Roman" w:cs="Times New Roman" w:eastAsia="Times New Roman" w:hAnsi="Times New Roman"/>
          <w:sz w:val="18"/>
          <w:szCs w:val="18"/>
          <w:color w:val="auto"/>
        </w:rPr>
        <w:t>Given the complexity of analyzing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proteome, customers often own and must manage many specialized instruments each addressing a subset of their research needs. Many of the associated laboratory workflows are also highly manual and require specialized facilities and staff. We believe that our core technology can address the broadest range of proteomics analysis methods in the market and through partnerships and internal development programs (Proteus), we will be able to simplify the customer experience through platform consolidation and greater workflow automation.</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a strong intellectual property portfolio for existing and new technologies. </w:t>
      </w:r>
      <w:r>
        <w:rPr>
          <w:rFonts w:ascii="Times New Roman" w:cs="Times New Roman" w:eastAsia="Times New Roman" w:hAnsi="Times New Roman"/>
          <w:sz w:val="18"/>
          <w:szCs w:val="18"/>
          <w:color w:val="auto"/>
        </w:rPr>
        <w:t>We have a broad and deep patent protection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396 issued patents and 598 pending applications as of December 31, 2024, including certain foundational IP around proteomics. Protection of our intellectual property is a strategic priority for the business; we have taken, and will continue to take, steps to protect our current and future intellectual property and proprietary technology. We believe our broad patent portfolio and continued rigorous patent protection strategy will help to allow us to focus on our key priorities of commercializing our platform, continuing to innovate with new technologies, and preventing fast-followers.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commercialize our platforms, we plan to build out our commercial infrastructure to sell and support our products, across a growing number of market segments and geographies. Presently, we have a direct sales force in the United States, with a combined direct and distributor approach in Europe, and distributor relationships in certain key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markets in the rest of the world. In November 2024, we announced a North American distribution agreement with Avantor to distribute the Platinum Pro platform and related consumables.</w:t>
      </w:r>
    </w:p>
    <w:p>
      <w:pPr>
        <w:spacing w:after="0" w:line="260" w:lineRule="auto"/>
        <w:rPr>
          <w:sz w:val="20"/>
          <w:szCs w:val="20"/>
          <w:color w:val="auto"/>
        </w:rPr>
      </w:pPr>
      <w:r>
        <w:rPr>
          <w:rFonts w:ascii="Times New Roman" w:cs="Times New Roman" w:eastAsia="Times New Roman" w:hAnsi="Times New Roman"/>
          <w:sz w:val="18"/>
          <w:szCs w:val="18"/>
          <w:color w:val="auto"/>
        </w:rPr>
        <w:t>Our leadership team has decades of experience bring new technologies to the market and working directly with many of the companies and research centers that have the potential to become customers. Our commercial strategy includes the following areas of focus.</w:t>
      </w:r>
    </w:p>
    <w:p>
      <w:pPr>
        <w:spacing w:after="0" w:line="204" w:lineRule="exact"/>
        <w:rPr>
          <w:sz w:val="20"/>
          <w:szCs w:val="20"/>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build our direct sales and support infrastructure in the U.S. and Western Europe. </w:t>
      </w:r>
      <w:r>
        <w:rPr>
          <w:rFonts w:ascii="Times New Roman" w:cs="Times New Roman" w:eastAsia="Times New Roman" w:hAnsi="Times New Roman"/>
          <w:sz w:val="18"/>
          <w:szCs w:val="18"/>
          <w:color w:val="auto"/>
        </w:rPr>
        <w:t>We plan to continue to build our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operational infrastructure to sell and support our platform as we seek to grow adoption in these regions. In addition to our direct investments, we will continue to evaluate opportunities to partner with leading companies to augment our commercial footprint while minimizing the level of direct investment required.</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partnerships. </w:t>
      </w:r>
      <w:r>
        <w:rPr>
          <w:rFonts w:ascii="Times New Roman" w:cs="Times New Roman" w:eastAsia="Times New Roman" w:hAnsi="Times New Roman"/>
          <w:sz w:val="18"/>
          <w:szCs w:val="18"/>
          <w:color w:val="auto"/>
        </w:rPr>
        <w:t>In November 2024, we announced a North American distribution agreement with Avantor to distribute the Platinum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 and related consumables. Avantor is a leading distributor of life sciences products with established relationships in our target market segments. We formally began accepting orders through Avantor in the first quarter of 2025.</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Geographic partnerships. </w:t>
      </w:r>
      <w:r>
        <w:rPr>
          <w:rFonts w:ascii="Times New Roman" w:cs="Times New Roman" w:eastAsia="Times New Roman" w:hAnsi="Times New Roman"/>
          <w:sz w:val="18"/>
          <w:szCs w:val="18"/>
          <w:color w:val="auto"/>
        </w:rPr>
        <w:t>We exited 2024 with 18 international distribution partners spanning many countries across Europe, Middle 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Africa, Asia Pacific and South America. Each of our international partners brings a depth of local expertise in the fields of genomics and proteomics and have experience bringing new technologies to market. We expect to continue to expand this international network in 2025.</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and scientific support. </w:t>
      </w:r>
      <w:r>
        <w:rPr>
          <w:rFonts w:ascii="Times New Roman" w:cs="Times New Roman" w:eastAsia="Times New Roman" w:hAnsi="Times New Roman"/>
          <w:sz w:val="18"/>
          <w:szCs w:val="18"/>
          <w:color w:val="auto"/>
        </w:rPr>
        <w:t>We believe that a key to successfully commercializing a new technology like NGPS, is providing high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and scientific support to customers. We use a mix of field based and in house scientific staff to support our customers through all phases of the commercial process from pre-sales, to training and onboarding and through post-sales support. We will continue to invest in this area in both our direct markets and regionally to support our geographic partners as appropriate.</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Key opinion leaders (“KOL”) and evidence generation. </w:t>
      </w:r>
      <w:r>
        <w:rPr>
          <w:rFonts w:ascii="Times New Roman" w:cs="Times New Roman" w:eastAsia="Times New Roman" w:hAnsi="Times New Roman"/>
          <w:sz w:val="18"/>
          <w:szCs w:val="18"/>
          <w:color w:val="auto"/>
        </w:rPr>
        <w:t>We believe that our platform has the capability to enable users to generate a depth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proteomic information that until our launch, was not available. We work closely with KOLs in the development and commercialization of our products including supporting research studies that lead to the presentation and/or publishing of data using our technology. We plan to continue to invest in research studies and scientific collaborations to generate scientific evidence that supports the importance and utility of NGPS in proteomics research.</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Technology access program. </w:t>
      </w:r>
      <w:r>
        <w:rPr>
          <w:rFonts w:ascii="Times New Roman" w:cs="Times New Roman" w:eastAsia="Times New Roman" w:hAnsi="Times New Roman"/>
          <w:sz w:val="18"/>
          <w:szCs w:val="18"/>
          <w:color w:val="auto"/>
        </w:rPr>
        <w:t>We believe that our core technology has broad utility across the field of proteomics research. While our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R&amp;D focus is on the development and commercialization of NGPS, we believe there would be interests from potential customers and strategic partners, to leverage our single molecule, kinetic detection capabilities for other proteomics applications. As part of the launch of Platinum Pro, we are offering Pro Mode, which enables a customer to access our technology for custom application development. To support that work, we initiated a Technology Access Program that allows customers to engage directly with our R&amp;D scientists to explore custom applications of our core technology in support of their on-going research efforts.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product and technology roadmap and internal development processes position us as a leader in the proteomics market. Since the launch of Platinum in December 2022, we have executed on numerous product launches across instruments, library prep kits, sequencing kits and software tools. This steady cadence of technology advancements ensures our customers have a continuous flow of new capabilities that enable them to pursue their research interests to the fullest. The following is our actual product launches through February 2025, and estimated timing of product launches after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548005</wp:posOffset>
            </wp:positionV>
            <wp:extent cx="5657850" cy="2477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an investor and analyst day on November 20, 2024, we laid out a long-term product and technology roadmap that we believe is capable of delivering a platform (Proteus) and core technology that can address the broadest range of proteomics applications in the market today. The roadmap includes innovations across all areas of our technology.</w:t>
      </w:r>
    </w:p>
    <w:p>
      <w:pPr>
        <w:spacing w:after="0" w:line="199" w:lineRule="exact"/>
        <w:rPr>
          <w:sz w:val="20"/>
          <w:szCs w:val="20"/>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Sequencing Instrumentation and Consumables</w:t>
      </w:r>
      <w:r>
        <w:rPr>
          <w:rFonts w:ascii="Times New Roman" w:cs="Times New Roman" w:eastAsia="Times New Roman" w:hAnsi="Times New Roman"/>
          <w:sz w:val="18"/>
          <w:szCs w:val="18"/>
          <w:color w:val="auto"/>
        </w:rPr>
        <w:t>. In January 2025, we launched Platinum Pro, a new generation of instrumentation that utilizes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current technology architecture, namely a semiconductor chip. Looking to the future, we are developing a new platform called Proteus, which introduces a new instrument and consumable architecture that is being designed to scale the sequencing output per sample from two million features per consumable today, to billions of features per consumable in the future. The first generation of Proteus and associated sequencing consumables, which is estimated to be ready for launch in the second half of 2026, is being designed to have 80 million features per consumable and 160 million features per instrument run when using two consumables.</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Library Preparation. </w:t>
      </w:r>
      <w:r>
        <w:rPr>
          <w:rFonts w:ascii="Times New Roman" w:cs="Times New Roman" w:eastAsia="Times New Roman" w:hAnsi="Times New Roman"/>
          <w:sz w:val="18"/>
          <w:szCs w:val="18"/>
          <w:color w:val="auto"/>
        </w:rPr>
        <w:t>In December 2024, we launched a version 2 of our library preparation kit which lowered the input quantity of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increased the sample success rate across a broad range of proteins tested. In addition, we also launched a barcoding kit which is designed specifically for the efficient preparation of protein barcodes for NGPS. We expect to continue to innovate in library preparation with key areas of focus being sample input concentration and complex sample preparation amongst other parameters or features.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Sequencing Chemistry. </w:t>
      </w:r>
      <w:r>
        <w:rPr>
          <w:rFonts w:ascii="Times New Roman" w:cs="Times New Roman" w:eastAsia="Times New Roman" w:hAnsi="Times New Roman"/>
          <w:sz w:val="18"/>
          <w:szCs w:val="18"/>
          <w:color w:val="auto"/>
        </w:rPr>
        <w:t>Our current sequencing kit recognizes 13 of the 20 known, naturally occurring, amino acids accounting for up to 69%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amino acids in the proteome. We are continuing to evolve our sequencing chemistry with key areas of focus being amino acid coverage, sequence speed and depth, amongst other parameters. We believe that recognition of all 20 amino acids is feasible over time.</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w:t>
      </w:r>
      <w:r>
        <w:rPr>
          <w:rFonts w:ascii="Times New Roman" w:cs="Times New Roman" w:eastAsia="Times New Roman" w:hAnsi="Times New Roman"/>
          <w:sz w:val="18"/>
          <w:szCs w:val="18"/>
          <w:color w:val="auto"/>
        </w:rPr>
        <w:t>Our core technology is single molecule, kinetic detection at the amino acid level. Each of our amino acid recognizers exhibits a unique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kinetic signature. Utilizing artificial intelligence, we can continuously train our models and improve the accuracy of the database used to interpret these kinetic signatures, resulting in higher data output and accuracy. We expect to continue to evolve this aspect of our software in addition to continuing to evolve our analysis workflows, data visualizers and other software tools that add value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548005</wp:posOffset>
            </wp:positionV>
            <wp:extent cx="3291840" cy="1423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9184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Platinum Pro offers a consumable chip with 2 million features. Proteus 1.0 is anticipated to launch with the capability of accepting two consumable chips, each with 80 million features, creating a total feature range from 80-160 million. The Proteus 2.0 feature set of 10 billion features is estimated based on long-term development initiatives.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Manufacturing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are built using both custom-made and off-the-shelf components supplied by outside manufacturers and vendors located in Asia, Europe, and the United States. These products and product components include our custom-made disposable semiconductor chip, our proprietary mode-locked laser as well as proprietary enzymes, recognizers and buffers used for protein sequencing. The majority of other components for our platform are off-the-shelf.</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some of our components and materials used in manufacturing, including the underlying wafers for our semiconductor chip as well as other critical manufacturing steps, from single source suppliers. We believe that alternatives would be available; however, it will likely take a significant amount of time to identify and validate replacement components, which could negatively affect our ability to supply our products on a timely basis. To mitigate this future risk, we and our third-party contractors attempt to carry a significant inventory of our critical components. However, any transaction disruptions in these suppliers and potential associated ramp up time of a new supplier would result in a supply disruption that could impact our business. In addition, any strategic decision to slow, pause, or stop the manufacturing of any core supply based on assumptions of adequate safety stock that subsequently proves to be an incorrect estimate of supply needs could result in a supply disruption due to the inability to ramp up or ramp down processes.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instruments are developed and designed by us but have historically been manufactured by a third-party manufacturing partner. Overall, we believe that our manufacturing strategy is efficient and conserves capital. However, we do not have long-term supply or manufacturing commitments from all our suppliers or manufacturers, and some of our products and components are currently supplied on a purchase order basis. In addition, we will need to increase the supply and manufacturing of our products as we continue to grow. If we are unable to maintain manufacturing at our contract manufacturing partners, it will affect our ability to produce instruments which would harm our research and development efforts and commercial operations. In the event that it becomes necessary to utilize a different contract manufacturer or suppliers for our products, now or in the future, we may experience additional costs, delays and difficulties in doing so, and our business could be harmed.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processes related to our semiconductor chip technology are developed by us but manufactured by a third-party partner. Throughout 2024, we were in a process of transitioning a portion of key activities to a new partner, which has resulted in completed wafers with surface coatings that are usable for commercial purposes, but not fully optimized for long-term production or a fully sustainable process. If we determine finalizing this process is economically appropriate, we believe we can complete final steps by late-2025. However, transitioning these processes could take more time than anticipated and may ultimately prove to be unsuccessful. If we are unable to begin consistently manufacturing our semiconductor chip surface coating process at this new contract manufacturer in a sustainable fashion, it will affect our ability to supply semiconductor chips, affecting the commercial availability of our sequencing kit and our ability to complete development activities that allow us to improve the throughput of our platforms, which could ultimately harm our ability to deliver consumable sequencing kits to our customers, both of which would harm our research and development efforts and commercial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42424"/>
        </w:rPr>
        <w:t>Our people are a key reason for our success, and we have structured our organization to maximize productivity and performance. Our future success largely depends upon our continued ability to attract and retain highly-skilled employees.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 xml:space="preserve">We believe in attracting, developing, and retaining diverse talent and each individual, regardless of their role, makes a difference and impacts our progress.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42424"/>
        </w:rPr>
        <w:t xml:space="preserve">, we employed </w:t>
      </w:r>
      <w:r>
        <w:rPr>
          <w:rFonts w:ascii="Times New Roman" w:cs="Times New Roman" w:eastAsia="Times New Roman" w:hAnsi="Times New Roman"/>
          <w:sz w:val="18"/>
          <w:szCs w:val="18"/>
          <w:color w:val="000000"/>
        </w:rPr>
        <w:t>143</w:t>
      </w:r>
      <w:r>
        <w:rPr>
          <w:rFonts w:ascii="Times New Roman" w:cs="Times New Roman" w:eastAsia="Times New Roman" w:hAnsi="Times New Roman"/>
          <w:sz w:val="18"/>
          <w:szCs w:val="18"/>
          <w:color w:val="242424"/>
        </w:rPr>
        <w:t xml:space="preserve"> full-time employees in the United States and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42424"/>
        </w:rPr>
        <w:t xml:space="preserve"> full-time employees internationally. In addition, we utilize Professional Employment Organizations (“PEOs”) to provide labor for certain key activities outside the United States. None of our employees are covered by collective bargaining agreements. We understand that our success depends on our highly talented employees, and our human capital management practices focus on attracting and retaining an engaged workforce.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242424"/>
        </w:rPr>
        <w:t>Mission and Core Values</w:t>
      </w:r>
      <w:r>
        <w:rPr>
          <w:rFonts w:ascii="Times New Roman" w:cs="Times New Roman" w:eastAsia="Times New Roman" w:hAnsi="Times New Roman"/>
          <w:sz w:val="18"/>
          <w:szCs w:val="18"/>
          <w:color w:val="242424"/>
        </w:rPr>
        <w:t>. Our mission is to put the groundbreaking power of protein sequencing in the hands of every scientist, every lab, everywhere. We</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are committed to pioneering a new generation of technology to democratize protein sequencing so that scientists can generate deeper insights faster. Employees are made aware of our values - Embrace Change, Stand Up, Speak Up, Never Settle, and Succeed Together. These values are the basis of our actions and decisions.</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242424"/>
        </w:rPr>
        <w:t>Employee Engagement</w:t>
      </w:r>
      <w:r>
        <w:rPr>
          <w:rFonts w:ascii="Times New Roman" w:cs="Times New Roman" w:eastAsia="Times New Roman" w:hAnsi="Times New Roman"/>
          <w:sz w:val="18"/>
          <w:szCs w:val="18"/>
          <w:color w:val="242424"/>
        </w:rPr>
        <w:t>. We have established an annual employee survey process to gather feedback from our employees. The feedback received allows us</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to grow stronger as a company and allows us to create an environment where employee contributions matter and employees feel valued.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42424"/>
        </w:rPr>
        <w:t>Training and Development</w:t>
      </w:r>
      <w:r>
        <w:rPr>
          <w:rFonts w:ascii="Times New Roman" w:cs="Times New Roman" w:eastAsia="Times New Roman" w:hAnsi="Times New Roman"/>
          <w:sz w:val="18"/>
          <w:szCs w:val="18"/>
          <w:color w:val="242424"/>
        </w:rPr>
        <w:t>. We listen to our employees to understand their training needs. Employees are encouraged to take advantage of our training</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platform which has a plethora of online learning courses. We conduct monthly seminars to update employees on what is happening throughout our Company.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242424"/>
        </w:rPr>
        <w:t xml:space="preserve">Compensation and Benefits. </w:t>
      </w:r>
      <w:r>
        <w:rPr>
          <w:rFonts w:ascii="Times New Roman" w:cs="Times New Roman" w:eastAsia="Times New Roman" w:hAnsi="Times New Roman"/>
          <w:sz w:val="18"/>
          <w:szCs w:val="18"/>
          <w:color w:val="242424"/>
        </w:rPr>
        <w:t>Life sciences companies, both large and small, compete for a limited number of qualified applicants to fill specialized</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positions. To attract qualified applicants and retain employees, we offer a total rewards package consisting of base salary, cash bonus, and equity compensation. Bonus opportunity and equity compensation increase as a percentage of total compensation based on level of responsibility. In addition, we provide a comprehensive benefits package inclusive of medical, dental, and vision healthcare coverage, including company-paid contributions into a Health Savings Account for those employees that enroll in our High Deductible Medical Plan option. Additional employee benefits include, life insurance and disability coverage, 401(k) investment plans, tax advantaged savings account, generous paid time off and leave of absence policies, employee assistance programs, and wellness programs.</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242424"/>
        </w:rPr>
        <w:t xml:space="preserve">Employee Health and Safety. </w:t>
      </w:r>
      <w:r>
        <w:rPr>
          <w:rFonts w:ascii="Times New Roman" w:cs="Times New Roman" w:eastAsia="Times New Roman" w:hAnsi="Times New Roman"/>
          <w:sz w:val="18"/>
          <w:szCs w:val="18"/>
          <w:color w:val="242424"/>
        </w:rPr>
        <w:t>We have training programs for general, chemical and biological safety. We are continuously evaluating the guidance from</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federal and local authorities and have created strict policies and guidelines that put our employees’ health and safety first.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diagnostic companies that are supplying components, products and services that serve customers engaged in proteomics analysis. These companies include Agilent Technologies, Bio-Rad Laboratories, Danaher, Luminex, Merck KGaA (and its subsidiary MilliporeSigma) and Thermo Fisher Scientific.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compete with a number of emerging growth companies that have developed, or are developing, proteomic products and solutions, such as Nautilus Biotechnology, Olink Proteomics (acquired by Thermo Fisher Scientific), Quanterix, Seer and Standard BioTools. In addition, there are a number of privately-held entities working on similar technologies as ours.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there are currently no commercially available NGPS platforms beyond our Platinum and Platinum Pro systems. The legacy proteomics market today is largely served by companies that offer a variety of analytical instruments, such as MS and associated reagents and consumables. There are also a number of companies that provide proteomic analysis services and have developed or are developing novel proteomic technologies. Additional competing products may emerge from various sources, including life sciences tools, diagnostics, pharmaceutical and biotechnology companies, third-party service providers, academic research institutions, governmental agencies and/or public and private research institutions, among others. Many of the companies with which we compete have substantially greater financial, operational and sales channel resources than we have.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broader life science instrumentation industry is highly competitive and expected to grow more competitive with the increasing knowledge gained from ongoing research and development. Given the potential market opportunity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scientific importance of proteomic analysis, we expect increased competition and competitor technologies to emerge in the future. We believe the principal competitive factors in our target markets include:</w:t>
      </w:r>
    </w:p>
    <w:p>
      <w:pPr>
        <w:spacing w:after="0" w:line="21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scale required to address the complexity and dynamic range of the proteome;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resolution and sensitivity;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accuracy and reproducibility of results;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cost of instruments and consumables;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efficiency and speed of workflows;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throughput to meet lab testing volume;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reputation among customers and key thought leaders;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innovation in product offerings;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strength of intellectual property portfolio;</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operational and manufacturing footprint;</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customer support infrastructure;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 leadership and commercial team with extensive execution and scientific background.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there are currently no other commercially available products that provide the same level of analysis at the same scale and sensitivity that our platform provides. We have continued to enhance our position through our ongoing product development, commercial strategy, deployment of new and updated products as well as ongoing collaborations and partnerships with key thought leaders.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Protection of our intellectual property is a strategic priority for our business. We rely on a combination of patents, trademark, copyright, trade secret and other intellectual property rights protection and contractual restrictions to protect our proprietary technologies.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Technologies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patents owned and in-licensed by us provide comprehensive coverage of our peptide sequencing and nucleic acid sequencing processes and are directed to aspects including instrument and laser light source architecture, pixel design, waveguide architecture, lifetime discrimination methods, machine learning, and surface chemistry. We have developed a portfolio of issued patents and pending patent applications directed to commercial products and technologies for potential development. We believe that our intellectual property is a core strength of our business, and our strategy includes the continued development of our patent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own 396 issued patents and 598 pending patent applications. Of our 396 issued patents, 98 were issued U.S. utility patents.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issued patents have expected expiration dates ranging between 2034 and 2043.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of our 598 pending patent applications, 128 were pending U.S. utility patent applications, 9 of which were allowed. In addition, we own 298 issued patents in foreign jurisdictions, including Australia, Brazil, China, Europe, Hong Kong, India, Japan, Korea, Mexico, and Taiwan, and 470 pending patent applications in foreign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jurisdictions, including Australia, Canada, China, Europe, Hong Kong, India, Israel, Japan, Korea, Malaysia, Mexico, Singapore, Taiwan, and Thailand, 13 of which were allowed.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Going forward, we will continue to evaluate the potential for filing patents for new intellectual property, as well as strategic adjustments of our existing portfolio to maximize our market position, as well as effective deployment of capital to maintain our existing portfolio.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Portfolio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protect important marks through trademark registrations. As of December 31, 2024, we owned 68 trademark registrations and 94 trademark applications, of which 16 are U.S. trademark applications. Twelve of the U.S. trademark applications have been allowed.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Intellectual Property</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trade secrets, technical know-how and continuing innovation to develop and maintain our competitive position. We seek to protect our proprietary information and other intellectual property by taking appropriate measures including, for example, generally requiring our employees, consultants, contractors, suppliers, outside scientific collaborators and other advisors to execute non-disclosure and assignment of invention agreements on commencement of their employment or engagement. Agreements with our employees also forbid them from using or incorporating the proprietary rights of third parties during their engagement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generally require confidentiality or material transfer agreements from third parties that receive our confidential data or materials.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Licensed 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exclusive and non-exclusive licenses in the ordinary course of business relating to our technologies or other intellectual property rights or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 Sciences Research Use Only Technologies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protein sequencing products are currently intended for RUO applications, although the systems may provide data to customers and other third parties that are themselves engaged in the research and development of potential diagnostic and therapeutic products and services for which they may later pursue clearance, authorization or approval from regulatory authorities, such as the U.S. Food and Drug Administration (“FDA”). All our products are labeled “For Research Use Only,” and will be sold to academic and research life sciences institutions that conduct basic and translational research, and biopharmaceutical and biotechnology companies for non-diagnostic and non-clinical purposes.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 long-standing FDA regulation, products that are intended for RUO and are labeled as RUO are not regulated by the FDA as in vitro diagnostic (“IVD”) devices and are not subject to the regulatory requirements discussed below for medical devices. RUO products may therefore be used or distributed for research use without obtaining FDA clearance or approval. Such products must bear the statement: “For Research Use Only. Not for Use in Diagnostic Procedures.” RUO products also cannot make any claims related to safety, effectiveness or diagnostic utility, and they cannot be intended for human clinical diagnostic use.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a product labeled RUO but intended or promoted for clinical diagnostic use may be viewed by the FDA as adulterated and misbranded under the Federal Food, Drug, and Cosmetic Act (“FDCA”) and subject to FDA enforcement action. The FDA will consider the totality of the circumstances surrounding distribution and use of an RUO product, including how the product is marketed and to whom, when determining its intended use. If the FDA disagrees with a company’s RUO status for its product, the company may be subject to FDA enforcement activities, including, without limitation, requiring the company to seek clearance, authorization or approval for the product.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and FTC Regulation of Medical Devices in the United States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medical devices are subject to extensive regulation by the FDA under the FDCA and its implementing regulations, and other federal and state statutes and regulations. The laws and regulations govern, among other things, medical device design and development, non-clinical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Federal Trade Commission (“FTC”) also oversees the advertising and promotion of our current and future products pursuant to its broad authority to police deceptive advertising for goods or services within the United States. Under the Federal Trade Commission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In the context of performance claims for products, compliance with the FTC Act includes ensuring that there is scientific data to substantiate the claims being made, that the advertising is neither false nor misleading, and that any user testimonials or endorsements disseminated related to the goods or services comply with disclosure and other regulatory requirements. In addition, with respect to products that are marketed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FDCA.</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FDCA and FDA’s implementing regulations define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IVDs are a type of medical device and include reagents and instruments used in the diagnosis or detection of diseases, conditions or infections, including, without limitation, the presence of certain chemicals, genetic information or other biomarkers. Predictive, prognostic, and screening tests can also be IVDs.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Medical devices, including IVD products, must undergo pre-market review by, and receive clearance or approval from, the FDA prior to commercialization, unless the device is of a type exempted from such review by statute, regulation, or an FDA exercise of enforcement discretion. The FDA classifies medical devices into three classes based on risk with Class I being the lowest risk and Class III being the highest risk. The FDA generally must clear or approve the commercial sale of most new medical devices that fall within product categories designated as Class II and III. Commercial sales of most Class II and III medical devices within the United States must be preceded either by pre-market notification and FDA clearance pursuant to Section 510(k) of the FDCA (Class II) or by the granting of a pre-market approval (“PMA”) (Class III), after a pre-market application is submitted. Both 510(k) notifications and PMA applications must be submitted to FDA with significant user fees, although reduced fees for small businesses are available. Class I devices are generally exempt from pre-market review and notification, as are some moderate-risk Class II devices. Manufacturers of all classes of devices must comply with FDA’s QSR, establishment registration, medical device listing, labeling requirements, and medical device reporting (“MDR”) regulations, which are collectively referred to as medical device general controls. Class II devices may also be subject to special controls such as performance standards, post-market surveillance, FDA guidelines, or particularized labeling. Some Class I and Class II devices may be exempted by regulation from the requirement of compliance with substantially all of the QSR.</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cybersecurity threats. These types of medical devices may be vulnerable to cybersecurity incidents that could potentially impact the safety and effectiveness of the device, and device manufacturers are responsible for identifying cybersecurity risks and hazards associated with our products. In recent years, the FDA has increased its scrutiny of this issue as part of the review and marketing authorization process for new medical devices; the agency also monitors reports of cybersecurity incidents as part of its post-marketing device surveillance activities. In addition, as part of the Consolidated Appropriations Act for 2023, signed into law on December 29, 2022 (P.L. 117-328), Congress created new pre-market requirements for developers of “cyber devices,”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defined as medical devices that include software, connect to the Internet, and contain any technological features that could be vulnerable to cybersecurity threats.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Post-Market Regulatory Requirements and FDA Enforcement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products were deemed to be “medical devices” by the FDA, then our company would be subject to general controls which include:</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QSR, which requires manufacturers, including third-party manufacturers, to follow design, testing, control, storage, supplier/contractor selection, complaint handling, documentation and other quality assurance procedures;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which govern the mandatory elements of the device labels and packaging (including Unique Device Identifier markings for certain categories of products);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prohibitions against the promotion of products for uncleared, unapproved or “off-label” uses and other requirements related to promotional activities;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MDR regulations, which require that manufacturers report to the FDA if a device may have caused or contributed to a death or serious injury or malfunctioned in a way that would likely cause or contribute to a death or serious injury if it were to recur;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and mandatory device recalls addressing problems when a device is defective and/or could be a risk to health;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and removal reporting regulations, which require that manufacturers report to the FDA field corrections and product recalls or removals if undertaken to reduce a risk to health posed by the device or to remedy a violation of the FDCA that may present a risk to health;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to certain Class II or III devices when necessary to protect the public health or to provide additional safety and effectiveness data for the device.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certain Class II and Class III devices are subject to special controls. To ensure compliance with regulatory requirements, medical device manufacturers are subject to market surveillance and periodic, pre-scheduled and unannounced inspections by the FDA and certain state authorities. Failure to comply with applicable regulatory requirements can result in enforcement action by the FDA, which may lead to any of the following sanctions:</w:t>
      </w:r>
    </w:p>
    <w:p>
      <w:pPr>
        <w:spacing w:after="0" w:line="6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that require corrective 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civil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approving/clearing or refusal to approve/clear any of our future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our products for sale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FDA approval or clearance (as may be applicable);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consent decrees;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prosecution.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 any contract manufacturers, and some suppliers of components or device accessories would also be required to manufacture medical device products in compliance with current Good Manufacturing Practice requirements set forth in the QSR, unless explicitly exempted by regulation, should we develop and seek regulatory authorization for one or more diagnostic intended uses for our products. The QSR requires a quality system for the design, manufacture, packaging, labeling, storage, installation and servicing of marketed devices, and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recently issued a final rule that amends its implementing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regulations in order to harmonize the QSR with ISO 13485:2016; the rule changes will become effective on February 2, 2026. Although the harmonization process is not expected to have a significant impact on the quality system compliance operations of device manufacturers because most requirements described in the QSR correspond to requirements set forth in ISO 13485:2016, device manufacturers will likely need to revise certain quality system procedures to ensure compliance with the harmonized regulations. Any failure to make such revisions or adapt to the harmonized regulations, once they become effective, may result in observations of non-compliance during facility inspections by the FDA or comparable regulatory authorities.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evaluates compliance with the QSR, as well as other applicable device regulatory requirements, through periodic pre-scheduled or unannounced inspections that may include registered manufacturing facilities. Following such inspections, FDA may issue reports known as Forms FDA 483 or Notices of Inspectional Observations, which list instances where the FDA inspector believes the manufacturer has failed to comply with applicable regulations and/or procedures. If the observations are sufficiently serious or the manufacturer fails to respond appropriately, the FDA may issue Warning Letters, which are notices of intended enforcement actions against the manufacturer. For less serious violations that may not rise to the level of regulatory significance, FDA may issue Untitled Letters. The FDA may take more significant administrative or legal action if a manufacturer continues to be in substantial noncompliance with applicable regulations.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if the FDA believes a medical device developer or any of its contract manufacturers or regulated suppliers are not in compliance with these requirements and patients are being subjected to serious risks, the agency can shut down manufacturing operations, require recalls of medical device products, refuse to approve new marketing applications for future products, initiate legal proceedings to detain or seize products, enjoin future violations, or assess civil and criminal penalties against a manufacturer or its officers or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Fraud and Abuse Laws and Other Compliance Requirements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FCPA and Other Anti-Bribery and Anti-Corruption Laws. </w:t>
      </w:r>
      <w:r>
        <w:rPr>
          <w:rFonts w:ascii="Times New Roman" w:cs="Times New Roman" w:eastAsia="Times New Roman" w:hAnsi="Times New Roman"/>
          <w:sz w:val="18"/>
          <w:szCs w:val="18"/>
          <w:color w:val="auto"/>
        </w:rPr>
        <w:t>The U.S. Foreign Corrupt Practices Act (“FCPA”) prohibits U.S. corporations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or organizations in many countries. Our present and future business has been and will continue to be subject to various other U.S. and foreign laws, rules and/or regulations.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and European Data Security and Data Privacy Laws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U.S. states have enacted legislation protecting the privacy and security of “personal information” such as identifiable financial or health information, social security numbers, credit card information and other personally identifiable information. These laws overlap and apply simultaneously with federal privacy and security requirements and regulated entities must comply with all of them. The California Consumer Privacy Act (“CCPA”) went into effect January 1, 2020, and is one of the most restrictive state privacy laws, protecting a wide variety of personal information and granting significant rights to California residents with respect to their personal information. Regulations under CCPA have been modified several times and continue to be modified. Additionally, a new privacy law, the California Privacy Rights Act, (“CPRA”) was approved by California voters in the election of November 3, 2020 and went into effect in January of 2023. The CPRA modified the CCPA significantly, and may result in further uncertainty, additional costs and expenses stemming from efforts to comply with this law, and increases the potential for harm and liability for failure to comply. Among other things, the CPRA established a new regulatory authority, the California Privacy Protection Agency, which is enacting new regulations and has expanded enforcement authority. Other states in the U.S. have implemented or are considering privacy laws similar to CCPA. Colorado, Connecticut, Delaware, Florida, Indiana, Iowa, Montana, New Jersey, Oregon, Tennessee, Texas, Utah, and Virginia have enacted similar data protection laws to California and other U.S. states have proposals under consideration, increasing the regulatory compliance risk. In dealing with health information for the development of our technology or for commercial purposes, we will be indirectly affected by HIPAA and state-imposed health information privacy and cybersecurity laws because these laws regulate the ability of our potential customers and research collaborators to share health information with us. Additionally, we must identify and comply with all applicable state laws for the protection of personal information with respect to personal information that we collect.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European Union, increasingly stringent data protection and privacy rules that have and will continue to have substantial impact on the use of personal and patient data across the healthcare industry became stronger in May 2018. The General Data Protection Regulation (“GDPR”) applies across the European Union and includes, among other things,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requirement for prompt notice of data breaches to data subjects and supervisory authorities in certain circumstances and significant fines for non-compliance. The GDPR fine framework can be up to 20 million euros, or up to 4% of the company’s total global turnover of the preceding fiscal year, whichever is higher. The GDPR sets out a number of requirements that must be complied with when handling the personal data of such European Union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the new mandatory data breach regime. In particular, medical or health data, genetic data and biometric data where the latter is used to uniquely identify an individual are all classified as “special category” data under the GDPR and are afforded greater protection and require additional compliance obligations. Noncompliance could result in the imposition of fines, penalties, or orders to stop noncompliant activities. We are subject to GDPR as we undertake and expand operations in the EU, offer products or services to individuals in the EU, or monitor the behavior of individuals within the EU.</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could also be subject to evolving European Union laws on data export, for transfers of data outside the EU to us, group companies or third parties. The GDPR only permits exports of data outside the EU to jurisdictions that ensure an adequate level of data protection. The United States has not been deemed to offer an adequate level of protection, so in order for us to transfer personal data from the EU to the United States, we must identify a legal basis for data transfer (e.g., the European Union Commission approved Standard Contractual Clauses or certification under the recently-adopted EU-U.S. Data Privacy Framework). On July 16, 2020, the Court of Justice of the European Union or the CJEU, issued a landmark opinion in the case </w:t>
      </w:r>
      <w:r>
        <w:rPr>
          <w:rFonts w:ascii="Times New Roman" w:cs="Times New Roman" w:eastAsia="Times New Roman" w:hAnsi="Times New Roman"/>
          <w:sz w:val="18"/>
          <w:szCs w:val="18"/>
          <w:i w:val="1"/>
          <w:iCs w:val="1"/>
          <w:color w:val="auto"/>
        </w:rPr>
        <w:t>Maximilian Schrems vs.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Facebook </w:t>
      </w:r>
      <w:r>
        <w:rPr>
          <w:rFonts w:ascii="Times New Roman" w:cs="Times New Roman" w:eastAsia="Times New Roman" w:hAnsi="Times New Roman"/>
          <w:sz w:val="18"/>
          <w:szCs w:val="18"/>
          <w:color w:val="auto"/>
        </w:rPr>
        <w:t>(Case C-311/18), called</w:t>
      </w:r>
      <w:r>
        <w:rPr>
          <w:rFonts w:ascii="Times New Roman" w:cs="Times New Roman" w:eastAsia="Times New Roman" w:hAnsi="Times New Roman"/>
          <w:sz w:val="18"/>
          <w:szCs w:val="18"/>
          <w:i w:val="1"/>
          <w:iCs w:val="1"/>
          <w:color w:val="auto"/>
        </w:rPr>
        <w:t xml:space="preserve"> Schrems II. </w:t>
      </w:r>
      <w:r>
        <w:rPr>
          <w:rFonts w:ascii="Times New Roman" w:cs="Times New Roman" w:eastAsia="Times New Roman" w:hAnsi="Times New Roman"/>
          <w:sz w:val="18"/>
          <w:szCs w:val="18"/>
          <w:color w:val="auto"/>
        </w:rPr>
        <w:t>This decision (a) calls into question commonly relied upon data transfer mechanisms as between the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member states and the U.S. (such as the Standard Contractual Clauses) and (b) invalidates the EU-U.S. Privacy Shield on which many companies had relied as an acceptable mechanism for transferring such data from the EU to the U.S. The CJEU is the highest court in Europe and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decision heightens the burden on data importers to assess U.S. national security laws on their business and future actions of EU data protection authorities are difficult to predict. Consequently, there is some risk of data transfers from the EU being halted. While the recently-adopted EU-U.S. Data Privacy Framework is intended to address the issues and concerns raised by the CJEU in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and provide an approved method for cross-border data transfer from the EU to the U.S., it will likely be subject to future legal challenges and we have not yet certified to participate in the EU-U.S. Data Privacy Framework. If we have to rely on third parties to carry out services for us, including the processing of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United Kingdom’s decision to leave the European Union, often referred to as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European Economic Area to the United Kingdom will remain lawful under GDPR.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Governmental 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employers in the United States.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Laws and Regulations for IVD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Whether or not we obtain FDA marketing authorization for a clinical diagnostic product in the future, we must still obtain the requisite approvals from regulatory authorities in non-U.S. countries prior to the marketing of any product for clinical diagnostic use in those countries. The regulations in other jurisdictions vary from those in the United States and may be easier or more difficult to satisfy and are subject to change. For example, the European Commission published Regulation (EU) 2024/1860 in July 2024. This new regulation amended Regulation (EU) 2017/745 on medical devices (MDR) and Regulation (EU) 2017/746 on in vitro diagnostics (IVD Regulation). Under Regulation (EU) 2024/1860, the transitional periods for certain IVDs have been extended, the implementation of the EUDAMED database will be rolled out in phases, and manufacturers are required to provide notification to the competent authority and healthcare institutions before the interruption or discontinuation of supply of certain medical devices and IVDs.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Outside of the European Union, regulatory authorization needs to be sought on a country-by-country basis in order for us to market any clinical diagnostic products. Some countries have adopted medical device regulatory regimes, such as the Medical Device Administrative Control System (“MDACS”) published by the Hong Kong Department of Health, the Health Sciences Authority of Singapore regulation of medical devices under the Health Products Act and Health Products (Medical Devices) Regulations, and Health Canada’s risk-based classification system for devices, among others, that incorporate IVD products like the FDA’s current system. Each country may have its own processes and requirements for IVD licensing, approval/clearance, and regulation, therefore requiring us to seek any regulatory approvals on a country- by-country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Quantum-Si Incorporated was originally incorporated under the laws of the State of Delaware on June 24, 2013. Our principal executive offices are located at 29 Business Park Drive, Branford, Connecticut 06405, and our telephone number is (866) 688-7374.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internet address is https://www.quantum-si.com,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 Relations section of our website as soon as reasonably practicable after such materials have been electronically filed with, or furnished to the SEC. The SEC maintains an internet site (http://www.sec.gov) that contains reports, proxy and information statements, and other information regarding issuers that file electronically with the SEC. We include our web site address in this Annual Report on Form 10-K only as an inactive textual reference. The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Annual Report, including the section of this Annual Report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Annual Report on Form 10-K.</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section to “we”, “us”, “our,”, the “Company” and “Quantum-Si” refer to Quantum-Si Incorporated and its subsidiaries following the Business Combination, or to Legacy Quantum-Si or HighCape prior to the Business Combination, as the case may be.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and negative cash flow, which we expect to continue, and we may not be able to generate meaningful revenues or achieve and sustain profitability or positive cash flow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early-stage life sciences technology company and have incurred significant losses since Quantum-Si was formed in 2013, and expect to continue to incur losses in the future. We incurred net losses of $101.0 million, $96.0 million and $132.4 million in the years ended December 31, 2024, 2023 and 2022, respectively. As of December 31, 2024, we had an accumulated deficit of $596.6 million. These losses and accumulated deficit were primarily due to the substantial investments made to develop and improve our technology. Over the next several years, we expect to continue to devote substantially all of our resources towards development and commercialization of our products and research and development efforts for additional products. These efforts may prove more costly than we currently anticipate. In December 2022, we initiated a controlled launch of Platinum for RUO, and to date we have generated limited product revenue and may never generate revenue sufficient to offset our expenses or produce enough cash to sustain operations. Accordingly, we cannot assure you that we will achieve profitability or positive cash flow production in the future or that, if we do become profitable and cash flow positive, we will sustain these levels.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prospects for our future viability and predict our future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such, you cannot rely upon our historical operating performance to make an investment or voting decision regarding us.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recently commercialized our first product and have generated limited revenue to date. Even with our Platinum product launch, our operations to date have been primarily limited to developing our technology and products. Our prospects must be considered in light of the uncertainties, risks, expenses, and difficulties frequently encountered by companies in their early stages of operations. We have not yet produced our products at scale, established sales models, or conducted sales and marketing activities necessary for widespread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are transitioning from a company that previously had a sole focus on research and development to a company capable of supporting commercial activities and we may not be successful in such a transition. We have encountered in the past, and we expect to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results of operations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or other third parties may provide.</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4"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or budget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past or future epidemics or pandemics on the economy, investment in life sciences and research industries, our business operations, and resources and operations of our suppliers, distributors and potential customers;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realize our objectives associated with commercializing our products, or if our operating results fall below the expectations of analysts or investors or below any guidance we may provide, or if any guidance we provide is below the expectations of analysts or investors, it could cause the market price of our Class A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ongoing research and development, operating activities, and commercialization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spend substantial additional amounts to continue the commercialization of our products and to develop new products. We expect to use our funds on hand to further develop and commercialize our products, develop new products, and for working capital and general corporate purposes. As of December 31, 2024, we had cash and cash equivalents and investments in marketable securities totaling $209.6 million. We expect our cash and cash equivalents and investments in marketable securities will be able to fund our operations for at least the next twelve months. However, this does not reflect the possibility that we may not be able to access a portion of our existing cash and cash equivalents and investments in marketable securities due to market conditions.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require additional capital to develop and commercialize our products and to develop new products. In addition, our operating plans may change as a result of many factors that may currently be unknown to us, and we may need to seek additional funds sooner than planned.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terms acceptable to us, if at all. Moreover, the terms of any future financing may adversely affect the holdings or the rights of our stockholders and the issuance of additional securities, whether equity or debt, by us, or the possibility of such issuance, may cause the market price of our Class A common stock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that are unfavorable to us, any of which may have a material adverse effect on our business, operating results and prospects. In addition, raising additional capital through the issuance of equity or debt securities would cause dilution to holders of our equity securities and/or increased fixed payment obligations, and may affect the rights of then-existing holders of our equity securities. Furthermore, these securities may have rights senior to those of our Class A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 Even if we believe that we have sufficient funds for our current or future operating plans, we may seek additional capital if market conditions are favorable or if we have specific strategic considerations.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gain commercial traction for our current products and we may not be able to successfully commercially launch other future products.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commercially launched our first product, Platinum for RUO in December 2022. We are following a three-phase launch plan for commercialization, which includes an early access limited release phase, the current controlled commercial launch phase, and a broad commercial availability phase. Our commercial launch plan may not progress as planned due to:</w:t>
      </w:r>
    </w:p>
    <w:p>
      <w:pPr>
        <w:spacing w:after="0" w:line="6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our products with key opinion leaders in a timely fashion;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or desire to modify aspects of our products throughout our commercial launch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over the span of our commercial launch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building out our sales, customer support and marketing organization as needed for each of the phases of our commercial launch plan;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in each of the phases of our commercial launch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our commercial launch plan is unsuccessful, our financial results will be adversely impacted.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broad scientific and market acceptance, which we may fail to achieve.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our products depends and will depend on a number of factors. Our products are and will be subject to market forces and adoption curves common to other new technologies. The market for proteomics and genomics technologies and products is in its early stages of development and if widespread adoption of our products takes longer than anticipated, we will continue to experience operating losses.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products. During the early access limited release phase of our commercialization launch plan, we collaborated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during the early access limited release phase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to demonstrate comparable performance in intended use applications broadly in the hands of customers consistent with the early access limited release phase of our commercialization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customers’ willingness to adopt new products and workflows;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ease of use and whether it reliably provides advantages over other alternative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products by academic institutions, laboratories, biopharmaceutical companies and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workflows and solutions for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our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successful in addressing each of these criteria or other criteria that might affect the market acceptance of Platinum and any other products we commercialize. If we are unsuccessful in achieving and maintaining market acceptance of our products, our business, financial condition, results of operations and cash flows will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establish superior sales and marketing capabilities, we may not be successful in commercializing our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limited experience as a company in sales and marketing and our ability to achieve revenue growth depends on us being able to attract customers for our products. Although members of our management team have considerable industry experience, we will be required to expand our sales, marketing, distribution and customer service and support capabilities with the appropriate technical expertise to gain market share and revenue growth. To perform sales, marketing, distribution, and customer service and support successfully, we will face a number of risks, including:</w:t>
      </w:r>
    </w:p>
    <w:p>
      <w:pPr>
        <w:spacing w:after="0" w:line="72"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of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seek to enlist certain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an ongoing basis on favorable terms. If our sales and marketing efforts, or those of any third-party sales and distribution partners, are not successful, our products may not gain market acceptance, which could materially impact our business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products may be smaller than estimated, and new market opportunities may not develop as quickly as we expect, or at all, limiting our ability to successfully sell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products are innovative new products, and while we draw comparisons between the evolution and growth of the genomics and proteomics markets, the proteomics market may develop more slowly or differently.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it has used, may change at any time, thereby reducing the accuracy of our estimates. As a result, our estimates of the total addressable market for our products may be incorrect.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Epidemics, pandemics or other public health crises could adversely affect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could be significantly adversely affected by the effects of a widespread outbreak of epidemics, pandemics or other health crises. We cannot accurately predict the impact of epidemics and pandemics would have on our operations and the ability of third-parties to meet their obligations under contracts or arrangements with us, including uncertainties relating to the ultimate geographic spread of epidemics and pandemics, the severity of the underlying diseases, the duration of outbreaks, and the length of travel and quarantine restrictions imposed by governments of affected countries. In addition, a significant outbreak of contagious diseases in the human population could result in a widespread health crisis that could adversely affect the economies and financial markets of many countries, resulting in an economic downturn that could further affect our operations and ability to finance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Increasingly, companies are being judged by their performance on a variety of environmental, social and governance (“ESG”) matters, which are considered to contribute to the long-term sustainability of companies’ performance.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becoming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business and results of operations. Our suppliers, vendors and business partners also face similar risks, and any disruption to their operations could have an adverse effect on our supply and manufacturing chain.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Climate change has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results of operations or cash flows, including the sustainability of our business over time.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retaliatory economic policies, or other geopolitical conditions associated with intra-country economics and policies could adversely affect our business, financial condition or results of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changes in inflation, interest rates, tariffs, retaliatory trade policies including limitations of shipments of products, and overall economic conditions and uncertainties. For instance, we have experienced pricing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increases from our suppliers. To the extent inflation or other factors increase our business costs, it may not be feasible to pass price increases on to our customers or offset higher costs through manufacturing efficiencies. Inflation or economic policies could also adversely affect the ability of our customers to purchase our products. An economic downturn could result in a variety of risks to our business, including weakened demand for our products and our inability to raise additional capital when needed on acceptable terms, if at all. A weak or declining economy could also result in further constraints on our suppliers or cause future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2025, the President of the United States issued executive orders directing the United States to impose new tariffs on imports from Canada, Mexico and China. Although a portion of these new tariffs have been temporarily suspended, other parts of these new tariffs are now in effect, and it is unclear for how long and to what extent such suspensions will remain in effect. The U.S. has also announced new tariffs on foreign steel and aluminum, with such tariffs taking effect in early March. The U.S. has further raised the possibility of new tariffs on imports from additional countries, including those in Europe. The new tariffs likely will increase the cost of the products we source from these international jurisdictions and affect future shipments from any of our foreign suppliers. We may not be able to pass along increases in tariffs and freight charges, and any alterations we may make to our business strategy or operations to adapt to the foregoing, including sourcing products from suppliers in other countries, would be time consuming and expensive and could adversely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conflicts could potentially affect our sales and disrupt our operations and could have a material adverse impact on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Geopolitical conflicts, including the ongoing conflicts in Ukraine and Israel and Gaza, could adversely impact our operations or those of our suppliers, manufacturers or customers. The extent to which these events impact our operations will depend on future developments, which are highly uncertain and cannot be predicted with confidence. If the uncertainty surrounding geopolitical conflicts and in the global marketplace continues, or if we, or any of our suppliers, manufacturers or customers encounter any disruptions to our or their respective operations or facilities, then we or they may be prevented or delayed from effectively operating our or their business, respectively, and the marketing and sale of our products and our financial results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anticipated growth, our business and prospects will be harmed.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anticipated growth will place significant strains on our management, operational and manufacturing systems and processes, sales and marketing team, financial systems and internal controls and other aspects of our business. As of December 31, 2024, we had 143 </w:t>
      </w:r>
      <w:r>
        <w:rPr>
          <w:rFonts w:ascii="Times New Roman" w:cs="Times New Roman" w:eastAsia="Times New Roman" w:hAnsi="Times New Roman"/>
          <w:sz w:val="18"/>
          <w:szCs w:val="18"/>
          <w:color w:val="242424"/>
        </w:rPr>
        <w:t>full-time employees in the 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and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42424"/>
        </w:rPr>
        <w:t xml:space="preserve"> full-time employees internationally</w:t>
      </w:r>
      <w:r>
        <w:rPr>
          <w:rFonts w:ascii="Times New Roman" w:cs="Times New Roman" w:eastAsia="Times New Roman" w:hAnsi="Times New Roman"/>
          <w:sz w:val="18"/>
          <w:szCs w:val="18"/>
          <w:color w:val="000000"/>
        </w:rPr>
        <w:t>. Our management and other personnel will need to devote a substantial amount of time towards maintaining</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compliance with these requirements and effectively manage these growth activities. We may face challenges integrating, developing and motivating our employee base. To effectively manage our growth, we must continue to improve our operational and manufacturing systems and processes, our financial systems and internal controls and other aspects of our business and continue to effectively expand, train and manage our personnel. If we do not successfully manage our anticipated growth, our business, results of operations, financial condition and prospects will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and in the past, we have undergone leadership transitions and an internal restructuring, and we depend on our key personnel and other highly qualified personnel, and if we are unable to recruit, train and retain our personnel in the future, we may not achieve our goals.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and August 2023, and November 2024, we committed to organizational restructurings designed to decrease our costs and create a more streamlined organization to support our business. In connection with these activities, we reduced our workforce by approximately 12%, 16% and 23% effective in January and August 2023, and November 2024, respectively. We believe this re-prioritized strategic focus is the best way to optimize our financial and other resources to advance our goal of developing and commercializing our products and services. There can be no assurance that our restructuring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operations. Further, our restructuring may result in unexpected expenses or liabilities and/or write-offs. If our restructuring fails to achieve some or all of the expected benefits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therefrom, our cash resources may not last as long as estimated and our business, results of operations and financial condition could be materially and adversely affected.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future success depends upon our ability to recruit, train, retain and motivate key personnel, including our senior management team, as well as our research and development team and manufacturing and sales and marketing personnel. Our senior management team is critical to our vision, strategic direction, product development and commercialization efforts. 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research and development to commercialization depends, in part, on attracting, retaining and motivating qualified personnel, including highly-trained sales personnel with the necessary scientific background and ability to understand our products and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our industry, we may continue to utilize foreign nationals to fill part of our recruiting needs. As a result, changes to U.S. immigration policies could restrain the flow of technical and professional talent into the United States and may inhibit our ability to hire qualified personnel.</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the Company with little or no prior notice and may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sales of our initial products from the time they are commercialized through the foreseeable future.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we initiated a controlled launch of Platinum for RUO, and subsequently initiated a full commercial launch at the beginning of the second quarter 2024. If we are able to successfully commercialize our products, we expect that we will generate substantially all of our revenue from the sale of our instruments and consumables. There can be no assurance that we will be able to successfully commercialize our products,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products in order to keep up with the latest technology. To date, we have limited experience simultaneously designing, testing, manufacturing and selling products and there can be no assurance we will be able to do so. Our sales expectations are based in part on the assumption that our products will increase study sizes for our future customers and their associated purchases of our consumables. If sales of our instruments fail to materialize, so will the related consumable sales and associated revenue.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our products,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products or product enhancements would have a substantial adverse effect on our business and results of operations.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academic institutions and other research institutions, and any reduction in spending, driven by these customers or other third party funding sources such as the National Institutes of Health, could limit demand for our products and adversely affect our business, results of operations, financial condition and prospects.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 large portion of all of our revenue in the near term could be generated from sales of RUO protein sequencing products to academic institutions and other research institutions. Much of these customers’ funding will be, in turn, provided by various state, federal and international government agencies. As a result, the demand for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depend upon the research and development budgets of these customers, which are impacted by factors beyond our control, such as:</w:t>
      </w:r>
    </w:p>
    <w:p>
      <w:pPr>
        <w:spacing w:after="0" w:line="11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or freezes in government funding of research and development;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A decrease in the amount of, or delay in the approval of, appropriations to National Institutes of Health (“NIH”) or other similar U.S. or international organizations, such as the Medical Research Council in the United Kingdom, could result in fewer grants benefiting life sciences research. For example, on February 7, 2025, the NIH imposed a standard indirect rate of 15% across all NIH grants for indirect costs, defined as “facilities” and “administration,” in lieu of a separately negotiated rate for indirect costs in every grant. Indirect costs represent more than 25% of total grant dollars in 2023 awarded by the NIH. This limitation may impact research institution’s ability to govern or even accept NIH grants, thereby affecting total spending on products such as ours. Further, as of February 2025, much of the current period NIH funding allotments have either been slowed or frozen. These reductions or delays could also result in a decrease in the aggregate amount of grants awarded for life sciences research or the redirection of existing funding to other projects or priorities, any of which in turn could cause our potential customers to reduce or delay purchases of our products.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use biological and hazardous materials in a manner that causes injury or violates laws or regulations, we could be liable for damages or subject to enforcement actions.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research and product development activities currently require the controlled use of potentially harmful biological and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We generally use third-party vendors to dispose of regulated medical waste, hazardous waste and radioactive materials that we may use during our research. The cost of compliance with these laws and regulations may become significant and could have a material adverse effect on our financial condition, results of operations and cash flows.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contract manufacturers to manufacture and supply our instruments, components of our instruments, and certain components of our consumable offerings. If these manufacturers should fail or not perform satisfactorily, our ability to commercialize and supply our instruments and consumable offerings would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certain contract manufacturers to manufacture and supply our instruments, components of our instruments, and certain components of our consumable offerings. Since most of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 Further, any strategic decision to slow, pause, or stop any core supply based on assumptions of adequate safety stock that subsequently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proves to be an incorrect estimate of supply needs could result in a supply disruption based on in ability to ramp up or slowness in ramp down processes.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it becomes necessary to utilize different contract manufacturers for our products or components of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consumable offerings, and our business would suffer. In addition, if our products are authorized for use by the FDA as medical devices, we will need to contract with FDA-registered device establishments that are able to comply with current Good Manufacturing Practice requirements that are set forth in the Quality System Regulations (“QSR”), unless explicitly exempted by regulation.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certain of the components and consumables used in our instruments and consumable offerings are sourced from a limited number, or sole source suppliers. If we were to lose such a supplier, there can be no assurance that we will be able to identify or enter into an agreement with an alternative supplier on a timely basis on acceptable terms, if at all. An interruption in our ability to sell and deliver instruments or consumable offerings to customers could occur if we encounter delays or difficulties in securing these components or consumables, or if the quality of the components or consumables supplied do not meet specifications, or if we cannot then obtain an acceptable substitute. In the past, our suppliers have been impacted by global pandemics and epidemics, such as the COVID-19 pandemic, and we have experienced supply delays for critical hardware and instrumentation as a result. If any of these events occur, our business, results of operations, financial condition and prospects could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manufacturing equipment is specialized with limited vendor options and long lead times. If these pieces of equipment were to stop working and be unable to be repaired in a timely manner or at all, our ability to manufacturer our semiconductor chips would be adversely affected.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internal manufacturing equipment is specialized with limited vendor options and long lead times. If these pieces of equipment were to stop working and be unable to be repaired in a timely manner or at all, our ability to manufacturer our semiconductor chips could be adversely affected.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other equipment for our semiconductor chip manufacturing, we would experience additional costs, delays and difficulties in manufacturing our semiconductor chips, and our business would suffer. There can be no assurance that we would be able to obtain alternative equipment on a timely basis on acceptable terms, if at all. An interruption in our ability to manufacture our semiconductor chips could occur if we encounter delays or difficulties in securing this equipment or if we cannot then obtain an acceptable substitute. If any of these events occur, our business, results of operations, financial condition and prospects could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through a number of key channel partners, and the loss of any such channel partner could adversely impact our business and our results of operations could suffer.</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on our channel partners for a portion of our revenue. Our contracts with our channel partners allow them to exercise significant discretion in the placement and promotion of our products, and such contracts do not contain any long-term volume commitments. Further, revenue from our channel partners also depends on a number of factors outside our control and may vary from period to period. If one or more of our channel partners do not effectively market and sell our products or they promote other products over ours, the volume of our products sold to customers could decrease, and our business and results of operations could therefore be significantly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develop and maintain our Platinum Analysis Software service, our commercialization efforts and therefore business and results of operations could suffer.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products depends, in part, on our ability to design and deploy our Platinum Analysis Software service in a manner that enables the integration with potential customers’ systems and accommodates potential customers’ needs. Without our software, the depth of the analysis provided for data generated by our system could be limited and utilization of our products could be hindered.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developing our software, and potential enhanced versions over time, to meet our potential customers’ evolving needs. There is no assurance that the development or deployment of our software, or any potential enhancements, will be compelling to our customers. In addition, we may experience delays in our release dates of our software, and there can be no assurance that our software will be released according to schedule. If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software development and deployment plan does not accurately anticipate customer demands or if we fail to develop our software in a manner that satisfies customer preferences in a timely and cost-effective manner, our products may fail to gain market acceptance.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Commercializing our products outside of the United States could expose us to business, regulatory, political, operational, financial, and economic risks associated with doing business outside of the United States.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225" w:lineRule="exact"/>
        <w:rPr>
          <w:sz w:val="20"/>
          <w:szCs w:val="20"/>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Assets Control of the U.S. Department of the Treasury;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 systems;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it may sell our products including as a result of the separation of the United Kingdom from the European Union (“Brexit”);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provide a solution with many different components that work together. As such, a quality defect in a single component can compromise the performance of the entire solution. In order to successfully generate revenue from our products, we need to supply our customers with products that meet their expectations for quality and functionality in accordance with established specifications on a timely basis. Certain of our products or components of our products are manufactured by a third-party contract manufacturer at our facility using complex processes, sophisticated equipment and strict adherence to specifications and quality systems procedures. Given the complexity of our devices, individual units may occasionally require additional installation and service time prior to becoming available for customer use.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manufacturing partners procure certain components of our instruments and consumables from third-party manufacturers, which includes the commonly-available raw materials needed for manufacturing as well as proprietary components. These manufacturing processes are complex. If we are not able to repeatedly produce our kits at commercial scale or source them from third-party suppliers, or encounter unexpected difficulties in packaging our consumables, our business will be adversely impacted.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will be able to continue to manufacture our instruments so that we consistently achieve the product specifications and produce results with acceptable quality. Our kits, semiconductor chips, and other consumables have a limited shelf life, after which their performance is not ensured. Shipment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our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we commercialize our Platinum Analysis Software service, we will also need to make corresponding improvements to other operational functions, such as our customer support, service and billing systems, compliance programs and our internal quality assurance programs. As we develop additional products, we may need to bring new equipment online, implement new systems, technology, controls and procedures and hire personnel with different qualifications.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foundries to produce silicon wafers, which when packaged and tested internally, lead to our supply of semiconductor chips. If these third-party foundries should fail or not perform satisfactorily, our ability to supply semiconductor chips would be negatively and adversely affected.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rely on third-party foundries for the production of wafers, and we may not be able to obtain adequate supplies in a timely manner or on commercially reasonable terms. If any of these third parties were not able to supply our wafers, our semiconductor chip supply would be negatively impacted and our business would be harmed.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it becomes necessary to utilize a different third party for the production of wafers, we would experience additional costs and significant delays, including identifying and entering into an agreement with a new foundry partner as well as preparing such new foundry partner to meet the logistical requirements associated with producing our wafers, which would further harm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were to lose such third-party foundries, there can be no assurance that we will be able to identify or enter into agreements with alternative foundries on a timely basis on acceptable terms, if at all. An interruption in our ability to sell and deliver semiconductor chips to customers could occur if we encounter delays or difficulties in securing these wafers, if the quality of the wafers supplied do not meet specifications, or if we cannot then obtain an acceptable substitute. If any of these events occur, our business and operating results could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and adversely affect our business, financial condition, results of operations and cash flows.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utilize novel and complex technology and may develop or contain undetected defects or errors. Material performance problems, defects, or errors may arise, and as we commercialize our products,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manufacturing our products, we depend upon third parties for the supply of our instruments and various components, many of which require a significant degree of technical expertise to produce. If our suppliers fail to produce our products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our products or expansion of our product sales;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team into our service team;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operations will suffer.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but are not limited to: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Seer and Standard BioTools (including its recent acquisition of SomaLogic). Finally, we compete with a number of privately held companies that are developing technology that may compete with our products.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the Company. This is particularly true for the largest research centers and laboratories that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may not compete favorably, and we may not be successful in the face of increasing competition from products and technologies introduced by our existing or future competitors, companies entering our markets or developed by our customers internally. In addition, our competitors may have or may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results of operations and cash flows.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party to Technology and Services Exchange Agreements by and among us and certain affiliated companies, pursuant to which the parties agreed to share personnel and certain non-core technologies. The sharing arrangements under the agreements may prevent us from fully utilizing our personnel and/or the technologies shared under the agreements. Furthermore, if these agreements were to terminate, or if we were to lose access to these technologies and services, our business could be adversely affected.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Technology and Services Exchange Agreements (the “TSEAs”) by and among us and other participant companies controlled by the Rothberg family, consisting of Butterfly Network, Inc., OrphAI Therapeutics,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Hyperfine, Inc., 4Bionics LLC, identifeye HEALTH Inc. (f/k/a Tesseract Health, Inc.), Liminal Sciences, Inc. and Detect, Inc. The TSEA with Butterfly Network, Inc. was signed in November 2020, and the TSEA with the remaining participant companies was signed in February 2021 and became effective upon the closing of the Business Combination. Under the TSEAs, we and the other participant companies may, in our or their discretion, permit the use of certain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with the other participant companies. The TSEAs provide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technology and personnel-sharing arrangements under the TSEAs may prevent us from fully utilizing our personnel if such personnel are also being used by the other participant companies and may also cause our personnel to enter into agreements with or provide services to other companies that interfere with their obligations to us. Created IP under the TSEAs may be relevant to our business and created by our personnel but owned by the other participant companies. Furthermore, if the TSEAs were to terminate, or if we were to lose access to the technologies and services available pursuant to the TSEAs, our business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existing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the acquisition of Majelac, 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strategic collaborations and licensing arrangements with third parties, but we may not be successful in establishing or maintaining such arrangements.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to enter into strategic collaborations and licensing agreements with third parties to develop products, such as the creation and identification of content and development of new applications. However, there is no assurance that we will be successful in doing so. Establishing collaborations and licensing arrangements is difficult and time-consuming, and discussions may not lead to collaborations or licenses on favorable terms, if at all. Even if we establish such relationships, if our partners do not prioritize and commit sufficient resources to develop and sell products, they may never result in the successful development or commercialization of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(“NOLs”) to offset future taxable income of approximately $388.3 million, of which $65.5 million will begin to expire in 2033 if not utilized. A lack of future taxable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would adversely affect our ability to utilize these NOLs. In addition, under Section 382 of the Internal Revenue Code of 1986, as amended (the “Code”), a corporation that undergoes an “ownership change” is subject to limitations on its ability to utilize its pre-change NOLs and other pre-change tax attributes (such as research tax credits) to offset post-change taxable income.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completed an analysis through December 31, 2024 and no such ownership change has occurred. Future changes in our stock ownership, including future offerings, as well as other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limitations discussed above under Sections 382 of the Code, the utilization of NOLs incurred in taxable years beginning after December 31, 2017, are subject to limitations adopted by the Tax Cuts and Jobs Act, as modified by the Coronavirus Aid, Relief, and Economic Security Act (“CARES Act”). Under the TCJA, in general, NOLs generated in taxable years beginning after December 31, 2017 may offset no more than 80 percent of such year’s taxable income and there is no ability for such NOLs to be carried back to a prior taxable year. The CARES Act modifies the TCJA with respect to the TCJA’s limitation on the deduction of NOLs and provides that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percent of current year taxable income for taxable years beginning before January 1, 2021. As a result of such limitation, we may be required to pay federal income tax in some future year notwithstanding that we had a net loss for all years in the aggregate.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Branford, Connecticut facilities primarily house our corporate headquarters as well as research and development activities. In addition, we have a product development and operations facility located in San Diego, California, and a semiconductor chip manufacturing location in Garnet Valley, Pennsylvania. Our instruments are manufactured at our third-party manufacturer’s facilities in the United States and internationally, and our consumables are manufactured at various locations in the United States including at our facilities in San Diego, California and Garnet Valley, Pennsylvania, and internationally.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facilities in Branford, Garnet Valley, San Diego and those of our third-party manufacturers are vulnerable to natural disasters, public health crises and catastrophic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facilities given the specialized equipment housed within them. The inability to manufacture our instruments or consumables, combined with limited inventory of manufactured instruments and consumables, may result in the loss of future customers or harm our reputation, and we may be unable to re-establish relationships with those customers in the future.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and the timing of improvements to our products could be significantly delayed and could adversely impact our ability to compete with other available products and solutions. If we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including our Platinum Analysis Software services, or cybersecurity incidents, our business could be adversely affected.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and will continue to rely on, information technology systems to keep financial and employment records, facilitate our research and development initiatives, manage our manufacturing operations, maintain quality control, fulfill customer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orders, maintain corporate records, communicate with staff, provide our Platinum Analysis Software services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especially in the health care industry. Methods of attacks on information technology systems and data security breaches change frequently, are increasingly complex and sophisticated, including deployment of harmful malware and key loggers, ransomware, a malicious website, social engineering and phishing scams, and other means to affect the confidentiality, integrity and availability of our technology systems and data, and can originate from a wide variety of sources. In addition to traditional computer “hackers,” malicious code, such as viruses and worms, denial-of-service attacks and sophisticated nation-state and nation-state supported actors present a constant threat, including advanced persistent threat intrusions.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incidents becoming commonplace. Despite our efforts to create security barriers to such threats, it is virtually impossible for us to completely mitigate these risks. In August 2020, we discovered ransomware on a server and engaged third-party forensics experts and outside counsel for incident response. We did not pay ransom to the attacker because the documents that were encrypted by the attacker were sufficiently backed up and the investigation further confirmed that no employee data or other personal information was accessed. We implemented a number of security enhancements as the incident unfolded and continue to implement short- and long-term security enhancements to further secure our network.</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any cybersecurity attacks or incidents, including as a result of third-party action, employee or customer error, malfeasance, stolen or fraudulently obtained log-in credentials, power outages, hardware failures, telecommunication or utility failures, catastrophes, other unforeseen events or otherwise, our reputation could be damaged, our business may be harmed, we could become subject to litigation and we could incur significant expense and liability. If we were to experience a prolonged system disruption in our information technology systems or those of certain of our vendors and partners, it could adversely impact our business and operations, and could result in financial, legal, operational or reputational harm to us, loss of competitive advantage or loss of consumer confidence. If our operations are disrupted, it may cause a material disruption in our business if we do not restore functionality in an acceptable timeframe. In addition, cybersecurity incidents could lead to the loss of trade secrets or other intellectual property, or could lead to the unauthorized access or loss of personal information, including sensitive personal information, of our employees, customers and other third parties, any of which could have a material adverse effect on our business and result in financial, legal, operational or reputational harm to us, loss of competitive advantage or loss of consumer confidence.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cybersecurity incidents could result in legal claims or proceedings, including class action lawsuits, regulatory investigations or actions, and other types of liability under laws that protect the privacy and security of personal information, including federal, state and foreign data protection and privacy rules and regulations, violations of which could result in material penalties and fines. In addition, although we seek to detect and investigate all cybersecurity incidents, bad actors have become increasingly proficient at operating undetected within an information system, making cybersecurity incidents involving unauthorized access to our information technology systems and data difficult to detect and any delay in identifying such incidents may lead to increased harm and legal exposure of the type described above. Moreover, we may be required to make public announcements regarding any cybersecurity incidents involving the Company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information technology systems and cybersecurity incidents and complying with applicable breach notification obligations to individuals, regulators, partners and others can be significant. As cybersecurity incidents and regulatory requirements continue to evolve, we may be required to expend significant additional resources to continue to modify or enhance our protective measures or to investigate and remediate any security vulnerabilities. The inability to implement, maintain and upgrade adequate safeguards could have a material effect on our business, financial condition, results of operations and ability to operate the business as a going concern . While we currently maintain cybersecurity insurance, our insurance policies may not provide adequate coverage to compensate us for the potential costs and other losses arising from such disruptions, failures or security incidents. In addition, such insurance may not be available to us in the future on economically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reasonable terms, or at all, and it is possible that an insurer may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and result in financial, legal, operational or reputational harm to us, loss of competitive advantage or loss of consumer confidence.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become subject to various litigation claims and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 well as certain of our directors and officers, may become subject to claims or lawsuits during the ordinary course of business. If any such claim or lawsuit was brought, regardless of the outcome, such claim or lawsuit could result in significant legal fees and expenses and could divert management’s time and other resources. If any such claims or lawsuits are successfully asserted against us, or any other party we have agreed to indemnify, we could be liable for damages or reimbursement of damages and be required to alter or cease certain of our business practices. Any of these outcomes could cause our business, financial performance and cash position to be negatively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or medical devices, we would be required to obtain prior marketing authorization from the FDA, which would take significant time and expense and could fail to result in FDA marketing authorization of the device for the intended use or uses we believe are commercially attractive.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protein sequencing products are currently labeled, promoted, and sold primarily to academic and research institutions and research companies as RUO products. They are not currently designed, or intended to be used, for clinical diagnostic purposes or as medical devices. If we elect to label and market our products for use as, or in the performance of, clinical diagnostics in the United States, thereby subjecting them to FDA regulation as medical devices, we would be required to obtain pre-market authorization from the FDA, unless an exception applies.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if we choose to develop and market our products for clinical or diagnostic uses in the United States, we will be required to comply with FDA’s regulations for in vitro diagnostic (“IVD”) medical devices. Complying with FDA’s medical device regulations may be expensive, time-consuming, and subject us to significant and/or unanticipated delays. There can be no guarantee that we will be able to obtain the appropriate marketing authorization for our protein sequencing products that may be developed for clinical or diagnostic intended uses in the future.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register with the FDA as a specification developer and list some of our ancillary products with the FDA as Class I general purpose laboratory equipment, subjecting us to ongoing inspections by the FDA. While this regulatory classification is exempt from certain FDA requirements, such as the need to submit a pre-market notification commonly known as a 510(k), and some of the requirements of the FDA’s QSR, those device products would be subject to mandatory general controls that apply to all classes of medical devices. In addition to establishment registration, device listing and compliance with applicable QSR, general controls include compliance with FDA regulations for labeling, reporting adverse events or malfunctions for the products, and general prohibitions against misbranding and adulteration.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us failing to obtain regulatory clearance or approval to market such products, which would significantly harm our business, results of operations, reputation, and prospects.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sought and received regulatory marketing authorization for certain of our protein sequencing products, we would be subject to ongoing FDA obligations and continued regulatory oversight and review, including the general controls listed above. In addition, we could be required to obtain a new clearance or approval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enforcement actions, including Warning Letters and adverse publicity, fines, injunctions, and civil penalties; recall or seizure of products; operating restrictions; and criminal prosecution.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future clinical diagnostic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marketing authorization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RUO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products could become subject to government regulation as medical devices by the U.S. Food and Drug Administration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and other regulatory agencies even if we do not elect to seek regulatory authorization to market our products for diagnostic purposes, which would adversely impact our ability to market and sell our products and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current protein sequencing products are labeled, promoted, and sold as RUO products that are therefore not regulated as IVD medical devices, the FDA or comparable agencies of other countries could disagree with our conclusion that our products are intended for RUO or deem our sales, marketing and promotional efforts as being inconsistent with the criteria for RUO products. For example, our customers may independently elect to use our RUO labeled products in their own lab-developed tests (“LDTs”) for clinical diagnostic uses, which could subject our products to government regulation, and regulatory requirements related to marketing, selling, and distribution of RUO products could change or be uncertain, even if clinical uses of our RUO products by our customers were done without our consent. FDA reviews the totality of the circumstances when it comes to evaluating whether equipment and testing components are properly labeled as RUO and takes the position that merely including a labeling statement that the product is for research purposes only will not necessarily render the device exempt from the FDA’s device regulatory requirements if the circumstances surrounding the distribution, marketing and promotional practices indicate that the manufacturer knows its products are, or intends for its products to be, used for clinical diagnostic purposes. If the FDA or other regulatory authorities assert that any of our RUO products are subject to regulatory clearance or approval, our business, financial condition, results of operations or cash flows could be adversely affected.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 number of years, the FDA has exercised its regulatory enforcement discretion not to regulate LDTs as medical devices if the tests are created and used within a single laboratory. However, in October 2023, the FDA issued a proposed rule aimed at regulating LDTs under the current medical device framework and proposing to phase out its existing enforcement discretion policy for this category of diagnostic tests; the public comment period ended in early December 2023. The proposal envisions that the LDT enforcement policy phase-out process would occur in gradual stages over a total period of four years, although more details are expected to be provided with the upcoming final rule. The likelihood of the FDA finalizing the proposed rule in April 2024 (as currently projected), as well as potential litigation challenging the agency’s authority to take such action, is uncertain at this time. Affected entities continue to press for a comprehensive legislative solution instead of implementation of the proposed FDA administrative action, which may be disruptive to the industry and to patient access to certain diagnostic tests, and litigation against FDA is expected to be initiated following issuance of the final rule. Separately, federal legislators have been working with stakeholders for several years on a possible bill to reform the regulation of in vitro clinical tests including LDTs. For example, as drafted and re-introduced for consideration by the current Congress, the Verifying Accurate, Leading-edge IVCT Development Act (“VALID Act”) would codify into law the term “in vitro clinical test” (“IVCT”) to create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legislative or administrative rule making or new federal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modernized regulatory system will impact our business. Changes to the current regulatory framework, including the imposition of additional or new regulations, including regulation of our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the Health Insurance Portability and Accountability Act of 1996 (“HIPAA”), the Physician Payments Sunshine Act and related transparency and manufacturer reporting laws, and other laws and regulations applicable to medical device manufacturers.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reagents may be used by clinical laboratories to create Laboratory-Developed Tests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LDTs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which could, in the future, become subject to some form of FDA or other regulatory requirements, which could materially and adversely affect our business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register with the FDA as a specification developer and list ancillary products such as customized reagents with the FDA as Class I general purpose laboratory equipment and reagents. A clinical laboratory could potentially use our custom-manufactured reagents to create what is called an LDT. LDTs are diagnostic tests that are developed, validated and performed by a single clinical laboratory operating in compliance with the Clinical Laboratory Improvement Amendments (“CLIA”), and under the oversight of the Centers for Medicare &amp; Medicaid Services (“CMS”). Historically, FDA has generally exercised enforcement discretion not to regulate LDTs as medical devices, although as discussed above in October 2023 it issued a proposed rule to regulate LDTs under the current medical device framework and phase out its existing enforcement discretion policy for LDTs. The FDA initiated this rulemaking following several years of inaction by Congress and in light of public health concerns the agency perceives to exist with certain marketed LDTs, in part as a result of the growth in the volume and complexity of testing services utilizing LDTs, such as genetic testing services over the past four decades Congress also continues to face pressure from stakeholders to enact a comprehensive legislative solution to create a harmonized paradigm for oversight of LDTs by both the FDA and CMS. Any legislative or administrative rule making or new federal oversight of LDTs, if and when finalized, could decrease demand for our reagents by affecting how customers can use those products. Additionally, compliance with additional regulatory burdens could be time consuming and costly for our customers. We cannot predict how these various efforts will be resolved, how Congress or the FDA will regulate LDTs in the future, or how that modernized regulatory system will impact our business.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the FDA may disagree that such products are Class 1 medical devices and require us to obtain pre-market clearance or approval before we can continue to sell our reagent products to certain customers.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of concern as we develop and begin to commercialize products include:</w:t>
      </w:r>
    </w:p>
    <w:p>
      <w:pPr>
        <w:spacing w:after="0" w:line="72" w:lineRule="exact"/>
        <w:rPr>
          <w:sz w:val="20"/>
          <w:szCs w:val="20"/>
          <w:color w:val="auto"/>
        </w:rPr>
      </w:pPr>
    </w:p>
    <w:p>
      <w:pPr>
        <w:jc w:val="both"/>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beneficiary’s decision to order or receive items or services reimbursable by the government from a particular provider or supplier;</w:t>
      </w:r>
    </w:p>
    <w:p>
      <w:pPr>
        <w:spacing w:after="0" w:line="117" w:lineRule="exact"/>
        <w:rPr>
          <w:sz w:val="20"/>
          <w:szCs w:val="20"/>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that prohibit, among other things,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Act, which requires certain manufacturers of drugs, devices, biologics and medical supplies for which payment is available under Medicare, Medicaid or the Children’s Health Insurance Program, to report annually to CMS, information related to payments and other transfers of value to physicians (defined broadly to include doctors, dentists, optometrists, podiatrists and chiropractors), teaching hospitals and certain advanced non-physician healthcare practitioners, as well as ownership interests held by physicians and their immediate family members; and</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activities by limiting the kinds of financial arrangements we may have with hospitals, physicians or other developers or potential purchasers of our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members of our management and companies with which they are affiliated or have been affiliated with in the past, have been, and may in the future be, involved in investigations, prosecutions, convictions or settlements in the healthcare industry. For example, Kevin Rakin, a member of our board of directors (the “Board”), was named as a defendant in </w:t>
      </w:r>
      <w:r>
        <w:rPr>
          <w:rFonts w:ascii="Times New Roman" w:cs="Times New Roman" w:eastAsia="Times New Roman" w:hAnsi="Times New Roman"/>
          <w:sz w:val="18"/>
          <w:szCs w:val="18"/>
          <w:i w:val="1"/>
          <w:iCs w:val="1"/>
          <w:color w:val="auto"/>
        </w:rPr>
        <w:t>United States ex rel. Webb v. Advanced BioHealing, Inc.</w:t>
      </w:r>
      <w:r>
        <w:rPr>
          <w:rFonts w:ascii="Times New Roman" w:cs="Times New Roman" w:eastAsia="Times New Roman" w:hAnsi="Times New Roman"/>
          <w:sz w:val="18"/>
          <w:szCs w:val="18"/>
          <w:color w:val="auto"/>
        </w:rPr>
        <w:t xml:space="preserve">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results of operations and cash flows.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both U.S. federal and state laws and regulations as well as international laws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complicates compliance efforts. For example, the California Consumer Privacy Act (“CCPA”), which increases privacy rights for California residents and imposes obligations on companies that process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their personal information, came into effect on January 1, 2020. Among other things, the CCPA requires covered companies to provide disclosures regarding information practices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the California Privacy Rights Act (“CPRA”), was approved by California voters in the election of November 3, 2020 and went into effect in January of 2023 modifying the CCPA significantly, potentially resulting in further uncertainty and requiring us to incur additional costs and expenses in an effort to comply. In addition, similar laws and regulations in other U.S. states, such as Colorado, Connecticut, New Jersey, Delaware, Utah, Virginia, Oregon, Indiana, Iowa, Tennessee, Montana, Florida and Texas and other international jurisdictions have been applied to protect individuals’ privacy (including laws regarding unfair and deceptive practices in the United States and GDPR in the European Union) and may be subject to evolving interpretations or applications. Furthermore, defending a suit for the wrongful use or disclosure of health or personal information, regardless of its merit, could be costly, divert management’s attention and harm our reputation.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federal level, regulations promulgated pursuant to HIPAA as amended by the Health Information Technology for Economic and Clinical Health Act (“HITECH”) establish privacy and security standards that limit the use and disclosure of individually identifiable health information (known as “protected health information” when protected under HIPAA) and require the implementation of administrative, physical and technological safeguards to protect the privacy and security of protected health information and ensure the confidentiality, integrity and availability of electronic protected health information. Determining HIPAA applicability to our operations as our operations evolve, obligations under applicable privacy standards and our contractual obligations may require complex factual and regulatory analyses and may be subject to differing or changing interpretations. Although we take measures to protect sensitive data from unauthorized access, use or disclosure, our information technology and infrastructure may be vulnerable to attacks by hackers or viruses or accessed due to employee error, malfeasance or other malicious or inadvertent disruptions. Any such breach, incident or interruption could compromise our networks and the information stored there could be accessed by unauthorized parties, manipulated, acquired, publicly disclosed, lost or stolen. Any such access or other loss of information could result in legal claims or proceedings, and liability for us or our customers under international or U.S. federal or state laws that protect the privacy of health information, such as HIPAA, and regulatory penalties. Notice of certain incidents may be required to be provided to affected individuals, the Secretary of the Department of Health and Human Services, and for extensive breaches, notice may also need to be made to the media. Additionally, state law may require notice to the applicable state Attorney General. Such notices could result in financial, legal, operational or reputational harm to us, loss of competitive advantage or loss of consumer confidence.</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evaluate our compliance obligations,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and cybersecurity practices and any policies that we have implemented,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international laws and regulations relating to data privacy and security, could result in damage to our reputation, as well as proceedings or litigation by governmental agencies or other third parties, including class action litigation in certain jurisdictions, which would subject us to significant expense, as well as potential fines, sanctions, awards, penalties or judgments, all of which could have a material adverse effect on our business, financial condition, reputation, results of operations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alleged violations of the Federal Trade Commission Act or other truth-in-advertising and consumer protection 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advertising for current and future products is subject to federal truth-in-advertising laws enforced by the Federal Trade Commission (“FTC”), as well as comparable state consumer protection laws. Under the Federal Trade Commission Act (“FTC Act”), the FTC is empowered, among other things, to (a) prevent unfair methods of competition and unfair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Any actual or perceived non-compliance with those laws could lead to an investigation by the FTC or a comparable state agency or could lead to allegations of misleading advertising by private plaintiffs. Any such action against us could disrupt our business operations, cause damage to our reputation, and result in material adverse effects on our business.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addition, with respect to any of our future products that are marketed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Federal Food, Drug, and Cosmetic Act (“FDCA”).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product manufacturers’ use of social media platforms presents new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potential customer base for future clinical diagnostic applications of our protein sequencing technologies may be active on social media. We intend to engage through those platforms to elevate our national marketing presence, both for our RUO product offerings and any future medical device product offerings. Social media practices in the medical device and biopharmaceutical industries are evolving, which creates uncertainty and risk of non-compliance with regulations applicable to our business. For example, there is a risk of inappropriate disclosure of sensitive information or negative or inaccurate posts or comments about us or our products on any social networking website. If these events were to occur or we otherwise fail to comply with any applicable regulations, we could incur liability, face restrictive regulatory actions or experience other harm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 protection and contractual restrictions to protect our proprietary products and technologies, all of which provide limited protection and may not adequately protect our rights or permit us to gain or keep any competitive advantage. If we fail to obtain, maintain and sufficiently enforce our intellectual property, third parties may be able to compete more effectively against us. In addition, we may incur substantial litigation costs in our attempts to recover damages or restrict use of our intellectual property.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against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or jointly with, or license from, third parties, particularly patents, in the United States and other countries directed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be issued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obtained and enforced by such third parties in a manner consistent with the best interests of our business.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presents a reasonably limited degree of uncertainty. It is possible that some of our pending patent applications will not result in issued patents in a timely fashion or at all, and even if patents are granted, they may not provide a basis for intellectual property protection of commercially viable products or services, may not provide any competitive advantages, or may be challenged, narrowed and/or invalidated by third parties. There exists some degree of uncertainty over the breadth of claims that may be allowed or enforced in our patents or in third-party patents. It is possible that third parties will attempt to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results of operations and cash flows.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some degree of uncertainty with regard to our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patent portfolio may be negatively impacted by current uncertainties in the state of the law, new court rulings or changes in guidance or procedures issued by the USPTO or other similar patent offices around the world. From time to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offer intellectual property rights to the same extent as the laws of the United States, and we and our licensors may encounter difficulties in obtaining, enforcing and defending such rights in foreign jurisdictions. Consequently, we and our licensors may not be able to prevent third parties from practicing our or our licensors’ inventions in some or all countries outside the United States, or from selling or importing products made using our or our licensors’ inventions in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practices or laws are not as strong as those in the United States. These products may compete with our products. We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other countries are not as favorable as the United States in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entities or companies headquartered in particular jurisdictions over our first-in-time patents and other intellectual property protection. The absence of harmonized intellectual property protection laws and effective enforcement makes it difficult to ensure consistent respect for patents, trade secrets, and other intellectual property rights on a worldwide basis. As a result, it is possible that we will not be able to enforce our rights against third parties that misappropriate our proprietary technology in those countries.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foreign jurisdictions could result in substantial cost and divert our efforts and attention from other aspects of our business, could put us and our licensors’ patents at risk of being invalidated or interpreted narrowly and our licensors’ patent applications at risk of not issuing, and could provoke third parties to assert claims against us. We and our licensors may not prevail in any lawsuits that we or our licensors initiate, or that are initiated against us or our licensors,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our inventorship, scope, validity or enforceability. Some of our patents or patent applications (including licensed patents and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licensors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withheld relevant information from the relevant patent office, or knowingly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licensors,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they are successful, we could experience significant costs and our management may be distracted. Any of the foregoing events could have a material adverse effect on our business, financial condition,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and our business, financial condition, results of operations and prospects.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alleged inventors such as employees, consultants or others who are involved in developing our products, some of whom may have conflicting IP ownership obligations.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licensors fail in defending any such claims, in addition to paying monetary damages, we may lose valuable intellectual property rights.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such third parties were to succeed in registering or developing common law rights in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additional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 products, which could have a material adverse effect on our business, financial condition, results of operations and cash flows.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to us alleged trade secrets of their other clients or former employers, which could subject us to costly litigation.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we,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are not successful, we could lose access or exclusive access to valuable intellectual property.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products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be issued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against us their intellectual property, including patents,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required to obtain a license to such patents in order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license is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may choose to challenge, including in connection with any allegation of patent infringement by a third party, the patentability, validity, ownership or enforceability of any third-party patent that we believe may have applicability in our field, and any other third-party patent that may at some future time possibly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solely owned and/or in-licensed intellectual property rights. Monitoring unauthorized use of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based on potential infringement, misappropriation or violation of our intellectual property. However, the steps we will take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 a court may refuse to stop the other party from using the technology at issue on the grounds that our owned and in-licensed patents do not cover the technology in question. Further, in such a proceeding,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Alternatively or additionally, such proceeding could result in requiring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and technologies, any of which could have a material adverse effect on our business, financial condition, results of operations and prospects. The outcome in any such proceeding is unpredictable.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 intellectual property-related claim in an intellectual property-related proceeding that may be necessary in the future, and regardless of outcome, substantial costs and diversion of resources may result which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licensors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could have a material adverse effect on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licenses from third parties, and in the future may rely on additional licenses from other third parties, and if we lose any of these licenses, then we may be subjected to future litigation.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We may need to obtain additional licenses from others to advance our research, development and commercialization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licensors and any future licensors to obtain, maintain and enforce patent protection for our licensed intellectual property.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results of operations or cash flows.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license agreements impose,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licensors regarding intellectual property subject to a license agreement, including:</w:t>
      </w:r>
    </w:p>
    <w:p>
      <w:pPr>
        <w:spacing w:after="0" w:line="1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and distract our management. If we do not prevail, we may be required to pay damages, including treble damages, attorneys’ fees or costs and expenses and royalties, which could adversely affect our ability to offer products or services, our ability to continue operations and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Boreal and the University of British Columbia.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permit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our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 and provide third parties access to our proprietary software.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may contain software licensed by third parties under open-source software licenses. Use and distribution of open-source software may entail greater risks than use of third-party commercial software, as open-source software licensors generally do not provide warranties or other contractual protections regarding infringement claims or the quality of the code. Some open-source software licenses contain requirements that the licensee make its source code publicly available if the licensee creates modifications or derivative works using the open-source software, depending on the type of open-source software the licensee uses and how the licensee uses it. If we combine our proprietary software with open-source software in a certain manner, we could, under certain open-source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open-source software have faced claims challenging their use of such open-source software and their compliance with the terms of the applicable open-source license. We may be subject to suits by third parties claiming ownership of what they believe to be open-source software or claiming non-compliance with the applicable open-source licensing terms. Use of open-source software may also present additional security risks because the public availability of such software may make it easier for hackers and other third parties to compromise or attempt to compromise our technology platform and systems.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open-source software to avoid subjecting our proprietary software to conditions we do not intend, the terms of many open source-software licenses have not been interpreted by U.S. courts, and there is a risk that these licenses could be construed in a way that could impose unanticipated conditions or restrictions on our ability to commercialize our products and proprietary software. Moreover, our processes for monitoring and controlling our use of open-source software in our products may not be effective. If we are held to have breached the terms of an open-source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events occur, they could materially adversely affect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became exercisable for our Class A common stock in September 2021, which increased the number of shares eligible for future resale in the public market and could result in dilution to our stockholders if exercised.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Business Combination, there were 3,833,319 outstanding warrants issued in connection with the initial public offering of HighCape (the “Public Warrants”) to purchase 3,833,319 shares of our Class A common stock at an exercise price of $11.50 per share, which warrants became exercisable on September 9, 2021. In addition, there are 135,000 private placement warrants (the “Private Warrants”) to purchase 135,000 shares of our Class A common stock at an exercise price of $11.50 per share. In certain circumstances, the Public Warrants and Private Warrants may be exercised on a cashless basis. To the extent such warrants are exercised, additional shares of our Class A common stock will be issued, which will result in dilution to the holders of our Class A common stock and increase the number of shares eligible for resale in the public market. Sales of substantial numbers of such shares in the public market could adversely affect the market price of our Class A common stock, the impact of which is increased as the value of our stock price increases.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changes in the value of our warrants could have a material effect on our financial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de-SPAC process such as our Business Combination, which terms are similar to those contained in the warrant agreement governing our warrants. As a result of the SEC Statement, HighCape reevaluated the accounting treatment of its Public Warrants and Private Warrants and determined to classify the warrants as derivative liabilities measured at fair value, with changes in fair value each period reported in earnings.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 result, included on our balance sheets as of December 31, 2024 and December 31, 2023, are derivative liabilities related to our warrants. Accounting Standards Codification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warrants will be in the money prior to their expiration, and they may expire worthless.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our outstanding warrants is $11.50 per share of our Class A common stock. There can be no assurance that the warrants will be in the money prior to their expiration, and as such, the warrants may expire worthless.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currently outstanding an aggregate of 3,968,319 warrants to acquire shares of our Class A common stock, which comprise 135,000 Private Warrants held by HighCape’s initial stockholders at the time of HighCape’s initial public offering and 3,833,319 Public Warrants. Each of our outstanding whole warrants is exercisable as of September 9, 2021, for one share of our Class A common stock in accordance with its terms. Therefore, as of December 31, 2024, if we assume that each outstanding whole warrant is exercised and one share of HighCape Class A common stock is issued as a result of such exercise, with payment of the exercise price of $11.50 per share, our fully-diluted share capital would increase by a total of 3,968,319 shares, with approximately $45.6 million paid to us to exercise the warrants.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material weaknesses in our internal control over financial reporting, and if we experience such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and corrected on a timely basis.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prevent fraud. Material weaknesses could result in material misstatements to our annual or interim financial statements that might not be prevented or detected on a timely basis, or in delayed filing of required periodic reports. If we are unable to assert that our internal control over financing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reporting,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identify any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may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Consolidated Financial Statements. We can provide no assurance that such litigation or dispute will not arise in the future. Any such litigation or dispute, whether successful or not, could have a material adverse effect on our business, financial condition, results of operations and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 our disclosure controls and procedures to reasonably assure that information we are required to disclose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or insufficient disclosure due to error or fraud may occur and we may not detect them.</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internal controls and procedures over financial reporting could severely inhibit our ability to accurately report our financial condition, results of operations or cash flows.</w:t>
      </w:r>
    </w:p>
    <w:p>
      <w:pPr>
        <w:spacing w:after="0" w:line="14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are a “controlled company” within the meaning of the Nasdaq rules, our stockholders may not have certain corporate governance protections that are available to stockholders of companies that are not controlled companies.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our directors is held by an individual, a group or another company, we will qualify as a “controlled company” within the meaning of the Nasdaq listing rules. As of February 26, 2025, Dr. Rothberg controlled 73.4% of the voting power of our outstanding capital stock, including our Class A common stock and Class B common stock. As a result, we are a “controlled company” within the meaning of the Nasdaq corporate governance standards and are not subject to the requirements that would otherwise require us to have: (i) a majority of independent directors; (ii) a compensation committee comprised solely of independent directors; and (iii) director nominees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selected, or recommended for our Board’s selection, either by a majority of the independent directors or a nominating committee comprised solely of independent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Rothberg may have his interest in us diluted due to future equity issuances or his own actions in selling shares of our Class B common stock, in each case, which could result in a loss of the “controlled company” exemption under the Nasdaq listing rules. We would then be required to comply with those provisions of the Nasdaq listing requirements.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maintain the listing of our Class A common stock on the Nasdaq Stock Market LLC, which could seriously harm the liquidity of our shares and our ability to raise capital or complete a strategic transaction.</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has established continued listing requirements, including a requirement to maintain a minimum closing bid price of at least $1.00 per share. On November 4, 2024, we received written notice from Nasdaq notifying us that, because the closing bid price for our Class A common stock had fallen below $1.00 per share for 30 consecutive business days, and we had no longer met the minimum bid price requirement for continued inclusion on The Nasdaq Global Market pursuant to Nasdaq Listing Rule 5450(a)(1) (the “Bid Price Requirement”). In accordance with Nasdaq Listing Rule 5810(c)(3)(A), we had been provided an initial period of 180 calendar days, or until May 5, 2025 (the “Compliance Date”), to regain compliance with the Bid Price Requirement. To regain compliance, the closing bid price of our Class A common stock must be at least $1.00 per share for a minimum of 10 consecutive business days during this 180-calendar day period. If we did not regain compliance with the Bid Price Requirement by the Compliance Date, we may have been eligible for an additional 180-calendar day compliance period. To qualify, we would need to transfer the listing of our Class A common stock to The Nasdaq Capital Market and meet the continued listing requirement for the market value of publicly held shares and all other initial listing standards, with the exception of the Bid Price Requirement. To effect such a transfer, we would also need to pay an application fee to Nasdaq and would need to provide written notice to the Staff of our intention to cure the deficiency during the additional compliance period. On December 5, 2024, we were notified by NASDAQ that we had regained compliance with the closing bid price of $1.00 effective December 4, 2024.</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regaining compliance on December 4, 2024, there can be no assurance that we will be able to maintain compliance with the Bid Price Requirement or maintain compliance with other Nasdaq requirements in the future. If we are not able to maintain compliance with Nasdaq requirements, our Class A common stock may be delisted from Nasdaq, which could have a material adverse effect on us and our stockholders, including by reducing the liquidity of our shares and having a material adverse effect on our ability to raise capital or complete a strategic transaction.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our Founder, who is also on our Board of Directors, which will limit an investor’s ability to influence the outcome of important transactions, including a change in control.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Shares of our Class B common stock have 20 votes per share, while shares of our Class A common stock have one vote per share. Dr. Rothberg and his affiliates hold all of the issued and outstanding shares of our Class B common stock, and as of February 26, 2025, Dr. Rothberg and his affiliates held 73.4% of the voting power of our capital stock, including our Class A common stock and Class B common stock and is able to control matters submitted to our stockholders for approval, including the election of directors, amendments to our organizational documents and any merger, consolidation, sale of all or substantially all of our assets or other major corporate transactions. Dr. Rothberg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If additional shares of our Class B common stock are issued, your shares and your votes may be significantly diluted.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stock price of our Class A common stock.</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would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could make a takeover proposal more difficult.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organizational documents are governed by Delaware law. Certain provisions of Delaware law and of our certificate of incorporation and bylaws could discourage, delay, defer or prevent a merger, tender offer, proxy contest or other change of control transaction that a stockholder might consider in its best interest, including those attempts that might result in a premium over the market price for the shares of our Class A common stock held by our stockholders. These provisions provide for, among other things:</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one or more series of preferred stock;</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action by written consent only until the first time when Dr. Rothberg ceases to beneficially own a majority of the voting power of our capital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the organizational documents only by the affirmative vote of (i) a majority of the voting power of our capital stock so long as Dr. Rothberg beneficially owns shares representing a majority of the voting power of our capital stock and (ii) at least two-thirds of the voting power of the capital stock from and after the time that Dr. Rothberg ceases to beneficially own shares representing a majority of our voting power; and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dual-class common stock structure with 20 votes per share of our Class B common stock, the result of which is that Dr. Rothberg has the ability to control the outcome of matters requiring stockholder approval, even though Dr. Rothberg owns less than a majority of the outstanding shares of our capital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anti-takeover provisions as well as certain provisions of Delaware law could make it more difficult for a third party to acquire us,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Class A common stock. These provisions could also discourage proxy contests and make it more difficult for our stockholders to elect directors of their choosing and to cause us to take other corporate actions that our stockholders desire.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to the selection of an alternative forum, any (i) derivative action or proceeding brought on behalf of us; (ii) action asserting a claim of breach of a fiduciary duty owed by, or any other wrongdoing by, any current or former director, officer or other employee or stockholder of ours; (iii) action asserting a claim against us or any director or officer arising pursuant to any provision of the General Corporation Law of the State of Delaware (“DGCL”) or our certificate of incorporation or our bylaws; or (iv) action to interpret, apply, enforce, or determine the validity of any provisions in the certificate of incorporation of bylaws; or (v) action asserting a claim against us or any director or officer of ours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Subject to the foregoing, the federal district courts of the United States are the exclusive forum for the resolution of any action, suit or proceeding asserting a cause of action under the Securities Act. The exclusive forum provision does not apply to suits brought to enforce any liability or duty created by the Exchange Act. Any person or entity purchasing or otherwise acquiring an interest in any shares of our capital stock shall be deemed to have notice of and to have consented to the forum provisions in our certificate of incorporation. These choice-of-forum provisions may limit a stockholder’s ability to bring a claim in a judicial forum that he, she or it believes to be favorable for disputes with us or our directors, officers or other employees or stockholders,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Alternatively, if a court were to find these provisions of our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results of operations and cash flows and result in a diversion of the time and resources of our management and Board.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Creating and maintaining a secure information infrastructure is of paramount importance to Quantum-Si, and we have invested, and will continue to invest significant resources to ensure we maintain the most secure environment reasonably possible to protect our assets, customers and employees. Our Board of Directors, through our Audit Committee, is actively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other applicable industry standards. We address cybersecurity risks through a comprehensive, cross-functional approach that is focused on preserving the confidentiality, security and availability of the information we maintain by identifying, preventing and mitigating cybersecurity threats and effectively responding to cybersecurity incidents when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a variety of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cybersecurity program to ensure our systems are effective and prepared for information security risks, including regular oversight of our programs for security monitoring for internal and external threats to ensure the confidentiality and integrity of our information assets. We employ a range of tools and services, including regular network and endpoint monitoring utilizing leading market monitoring tools, audits and vulnerability assessments including penetration testing to inform our risk identification and assessment. Our Audit Committee of the Board of Directors provides oversight of our cybersecurity risk management and strategy processes, which is led by our Chief Financial Officer.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identify our cybersecurity threat risks by comparing our processes to standards set by NIST as well as by engaging experts to attempt to penetrate our information systems. To provide for the availability of critical data and systems, manage our material risks from cybersecurity threats, and protect against and respond to cybersecurity incidents, we undertake the following activities:</w:t>
      </w:r>
    </w:p>
    <w:p>
      <w:pPr>
        <w:spacing w:after="0" w:line="6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laws and implement changes to our processes that are designed to comply with such laws;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require employees, as well as third parties that provide services on our behalf, to treat confidential information and data with care;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regular phishing email simulations for all employees and contractors with access to our email systems to enhance awareness and responsiveness to possible threats;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NIST incident handling framework to help us identify, protect, detect, respond and recover when there is an actual or potential cybersecurity incident;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auditors and other third parties in assisting in review our cybersecurity program to help identify areas for continued focus, improvement and compliance.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8"/>
          <w:szCs w:val="18"/>
          <w:i w:val="1"/>
          <w:i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experience a significant disruption in our information technology systems, including our Platinum Analysis Software services, or cybersecurity incidents, our business could be adversely affected”</w:t>
      </w:r>
      <w:r>
        <w:rPr>
          <w:rFonts w:ascii="Times New Roman" w:cs="Times New Roman" w:eastAsia="Times New Roman" w:hAnsi="Times New Roman"/>
          <w:sz w:val="18"/>
          <w:szCs w:val="18"/>
          <w:color w:val="auto"/>
        </w:rPr>
        <w:t>, which disclosures are incorporated by reference herein.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our efforts to create security barriers to such threats, it is virtually impossible for us to completely mitigate these risks. In August 2020, we discovered ransomware on a server and engaged third-party forensics experts and outside counsel for incident response. We did not pay ransom to the attacker because the documents that were encrypted by the attacker were sufficiently backed up and the investigation further confirmed that no employee data or other personal information was accessed. We implemented a number of security enhancements as the incident unfolded and continue to implement short- and long-term security enhancements to further secure our network.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 Management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an important part of our broader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for our Chief Financial Officer to provide our Audit Committee with quarterly general risk assessment updates, which shall cover cyber risk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Our Audit Committee is also involved in the reporting function of our incident response plan which includes communication of any cybersecurity incident that meets our reporting thresholds, as well as ongoing updates regarding any such incident, until such incident has been resolved.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Financial Officer in conjunction with our General Counsel and our Head of Information Technology and report to our Audit Committee. In addition, we maintain an Information Technology Steering Committee, which is comprised of several senior members of the Company. Our Chief Financial Officer has over 10 years of experience in leading Information Technology departments at various companies. Our General Counsel has over 10 years of experience related to general legal matters, including in the capacity of understanding and guiding companies on Information Technology matters and the related risks. Our Head of Information Technology has over 30 years of relevant experience, including managing information security, developing cybersecurity strategy, implementing effective information and cybersecurity programs.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1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currently lease our executive office at 29 Business Park Drive, Branford, Connecticut 06405. We also lease office, laboratory and manufacturing space in San Diego, California and office space in Santa Clara, California and New Haven, Connecticut. Our semiconductor chip assembly and packaging business is located in Garnet Valley, Pennsylvania. Our leases expire at various dates through 2032. We believe that our current office, laboratory and assembly and packaging locations are sufficient to meet our needs at existing volume levels for the foreseeable future. For further information, please refer to </w:t>
      </w:r>
      <w:r>
        <w:rPr>
          <w:rFonts w:ascii="Times New Roman" w:cs="Times New Roman" w:eastAsia="Times New Roman" w:hAnsi="Times New Roman"/>
          <w:sz w:val="18"/>
          <w:szCs w:val="18"/>
          <w:u w:val="single" w:color="auto"/>
          <w:color w:val="0000FF"/>
        </w:rPr>
        <w:t>Note 8. Leases</w:t>
      </w:r>
      <w:r>
        <w:rPr>
          <w:rFonts w:ascii="Times New Roman" w:cs="Times New Roman" w:eastAsia="Times New Roman" w:hAnsi="Times New Roman"/>
          <w:sz w:val="18"/>
          <w:szCs w:val="18"/>
          <w:color w:val="auto"/>
        </w:rPr>
        <w:t>, in the accompanying notes to our Consolidated Financial Statements included elsewhere in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involved in various legal proceedings, claims, investigations and litigation that arise in the ordinary course of our business. For further information regarding our legal proceedings, please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highlight w:val="white"/>
        </w:rPr>
        <w:t>18. Commitments and Contingencies</w:t>
      </w:r>
      <w:r>
        <w:rPr>
          <w:rFonts w:ascii="Times New Roman" w:cs="Times New Roman" w:eastAsia="Times New Roman" w:hAnsi="Times New Roman"/>
          <w:sz w:val="18"/>
          <w:szCs w:val="18"/>
          <w:color w:val="auto"/>
        </w:rPr>
        <w:t xml:space="preserve"> of the Notes to the Consolidated Financial Statements (Part II, Item 8) included in this report, which is incorporated by reference herein.</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20" w:hanging="971"/>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to purchase Class A common stock are listed on Nasdaq under the symbols “QSI” and “QSIAW”,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26, 2025, we had 163,202,105 shares of Class A common stock issued and outstanding held of record by 303 holders, 19,937,500 shares of Class B common stock issued and outstanding held of record by two holders, and 3,833,319 public warrants held of record by two holders and 135,000 private placement warrants issued in connection with HighCape’s initial public offering held of record by three holders, each exercisable for one share of Class A Common Stock at a price of $11.50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public market for our Class B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or Class B common stock to date, and we do not anticipate paying any cash dividends in the foreseeable future.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(i) an option to purchase 543,271 shares of the Company’s common stock with an exercise price of $0.98 per share and (ii) 899,305 restricted stock units to certain of our employees as an “inducement” grant under our 2023 Inducement Equity Incentive Plan pursuant to Rule 5635(c)(4) of the Nasdaq Listing Rules. We intend to file a registration statement on a Form S-8 to register the shares of common stock underlying these inducement awards prior to the time at which the awards become exercisable or settleable,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management believes is relevant to an assessment and understanding of our consolidated results of operations and financial condition. The discussion should be read in conjunction with the Consolidated Financial Statements and Notes thereto contained in this Annual Report on Form 10-K. This discussion contains forward looking statements and involves numerous risks and uncertainties, including, but not limited to, those described in the “Risk Factors” section of this Annual Report on Form 10-K. Actual results may differ materially from those contained in any forward-looking statements. For a discussion on forward-looking statements, see the information set forth in the introductory note to this Annual Report under the caption “Cautionary Note Regarding Forward Looking Statements,” which information is incorporated herein by reference. Unless the context otherwise requires, references to “we”, “us”, “our”, the “Company” or “Quantum-Si” are intended to mean the business and operations of Quantum-Si Incorporated and its consolidated subsidiaries. For discussion and analysis pertaining to the year ended December 31, 2023 overview and highlights as compared to the year ended December 31, 2022, please refer to the Company’s Annual Report on Form 10-K, as filed with the SEC on February 29,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 life sciences company focused on proteomics research, with the mission of transforming single-molecule analysis and democratizing its use by providing researchers and clinicians access to the proteome, the set of proteins expressed within a cell. We have developed a proprietary universal single-molecule detection platform that we are applying to proteomics to enable Next-Generation Protein Sequencing</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(“NGPS”), to sequence proteins in a massively parallel fashion (rather than sequentially, one at a time), which can also be used for the study of nucleic acids. We believe that the ability to sequence proteins in a massively parallel fashion and offer a fast analysis time provides NGPS with the potential to unlock significant biological information through improved resolution and unbiased access to the proteome at a speed and scale that is not available today. Traditionally, proteomic workflows to sequence proteins required days or weeks to complete. Our platform includes our Platinum NGPS instrument, Platinum Analysis Software, and consumable kits for use with our Platinum instrument. 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began a controlled launch of the Platinum instrument and started to take orders in December 2022, and subsequently began a controlled commercial launch of Platinum in January 2023, and then moved to a full commercial launch of Platinum beginning the second quarter of 2024.</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we intend to follow a systematic, phased approach to continue to successfully launch updates and enhancements to our platform which can include improvements to our hardware, software and chemistry that works together to produce the overall platform.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platform offers a differentiated solution in a rapidly evolving proteomics tools market. Within our initial focus market of proteomics, our platform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Developments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macroeconomic climate has experienced, and is continuing to experience, pressure from global developments such as high levels of inflation, global supply chain disruptions and international geopolitical conflicts. We continue to monitor these supply chain, inflation and interest rate factors, as well as the uncertainty resulting from the overall economic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environment. Although we do not expect to be significantly impacted by geopolitical conflicts, we have experienced some constraints in product and material availability and increasing costs required to obtain some materials and supplies as a result of these conflicts on the global economy. As geopolitical conflicts continue or worsen, it may impact our business, financial condition or results of operations. We have taken and will continue to take actions to help mitigate the impact of these economic challenges, but there can be no assurance as to the effectiveness of our efforts going forward.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November 21, 2024, we announced that we committed to an organizational restructuring program designed to streamline and focus our overall corporate resources, as well as align required resources to focus on future product development objectives, including its recently announced Proteus™ platform. As a result, we terminated approximately 23% of our 187 employee workforce. In connection with the restructuring, we recognized one-time cash charges related to severance and other benefits of approximately $2.3 million in 2024 and expect to recognize $0.7 million in the first six months of 2025. In addition, we recognized non-cash expense of approximately $0.1 million in the fourth quarter of 2024 related to stock option modifications. The severance and other benefits related charge, as well as the expense related to stock option modifications are subject to a number of assumptions, and actual results may differ materially. We may also incur additional costs not currently contemplated due to events that may occur as a result of, or that are associated with, the restructuring. We substantially completed the restructuring in the fourth quarter of 2024. For further information regarding our restructuring activities, please refer to </w:t>
      </w:r>
      <w:r>
        <w:rPr>
          <w:rFonts w:ascii="Times New Roman" w:cs="Times New Roman" w:eastAsia="Times New Roman" w:hAnsi="Times New Roman"/>
          <w:sz w:val="18"/>
          <w:szCs w:val="18"/>
          <w:u w:val="single" w:color="auto"/>
          <w:color w:val="0000FF"/>
        </w:rPr>
        <w:t>Note 14. Restructuring</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11, 2023, we filed a universal shelf registration statement on Form S-3 (the “Shelf Registration Statement”), which became effective on August 22, 2023, covering the offering of Class A common stock, preferred stock, debt securities, warrants, rights and units.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11, 2024, we entered into an Equity Distribution Agreement (the “Sales Agreement”) with Canaccord Genuity LLC (“Canaccord”) to sell shares of our Class A common stock, par value $0.0001, having an aggregate offering price of up to $75.0 million, from time to time through an “at-the-market” offering program under which Canaccord will act as sales agent (the “ATM Offering”). We have no obligation to sell any shares under the Sales Agreement and may at any time suspend solicitation and offers under the EDA. The ATM Offering is being made pursuant to our shelf registration and a prospectus supplement related to the ATM Offering dated December 11, 2024. During the year ended December 31, 2024, we sold and issued 23,425,650 shares of our Class A common stock under the ATM Offering, resulting in gross proceeds of $36.2 million. Net proceeds were $34.8 million after commissions and issuance costs of $1.4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December 11, 2024, we exercised its right to terminate the Equity Distribution Agreement (the “Equity Distribution Agreement”), dated August 11, 2023, by and between the Company and Evercore Group L.L.C. (“Evercore”), as sales agent. The Equity Distribution Agreement previously established an “at-the-market” offering program through which we had the right to sell, from time to time, through Evercore, up to an aggregate of $75.0 million of our Class A Common Stock. We sold no shares under the Equity Distribution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we entered into a securities purchase agreement with certain institutional investors pursuant to which we agreed to issue and sell, in a registered direct offering (the “Registered Direct Offering”) an aggregate of 15,625,000 shares of our Class A common stock at a price of $3.20 per Share. The gross proceeds from the Registered Direct Offering were $50.0 million. After deducting estimated placement agents’ fees and other offering expenses payable by the Company, net proceeds were approximately $46.9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Registered Direct Offering, we entered into a placement agency agreement with A.G.P./Alliance Global Partners (the “Placement Agent”), pursuant to which the Placement Agent agreed to serve as the sole placement agent for the Company, on a reasonable best efforts basis. We agreed to pay the Placement Agent an aggregate cash fee equal to 6.0% of the gross proceeds received in the Registered Direct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liabilities and the disclosure of contingent assets and liabilities at the date of the Consolidated Financial Statements, as well as expenses incurred during the reporting periods. Our estimates are based on historical experience and various other factors we believe to be reasonable under the circumstances, the results of which form the basis for making judgments about items not readily apparent from other sources. Actual results may differ from these estimates under different assumptions or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We recognize revenue when or as a customer obtains control of the promised goods and services. The amount of revenue recognized reflects the consideration to which we expect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We have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allocate transaction price to the performance obligations in a contract with a customer based on the relative standalone selling price of each performance obligation. We determine standalone selling price based on the price at which the performance obligation is sold separately. If the standalone selling price is not observable through past transactions, we estimate the standalone selling price taking into account available information and specific factors such as competitive positioning, internal costs, profit objectives, and internally approved pricing guidelines related to the performance obligation.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We typically provide a standard one-year warranty which covers defects in materials, workmanship and manufacturing or performance conditions under normal use and service. The first year of the warranty of the products is considered an assurance-type warranty and is recorded as Cost of revenue within the Consolidated Statements of Operations and Comprehensive Loss. We have determined this standard first-year warranty is not a distinct performance obligation.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non-financing event performance conditions on an accelerated basis is recognized as though each vesting portion of the award was, in substance, a separate award.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fair value of the shares of common stock underlying stock options had been determined by the Board, with input from management and contemporaneous third-party valuations, as there was no public market for the common stock. Given the absence of a public trading market for our common stock, the Board exercised reasonable judgment and considered numerous objective and subjective factors to determine the best estimate of the fair value of our common stock at each option grant date.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the completion of the Business Combination, we measure compensation expense for stock-based awards to employees, non-employees and directors based upon the awards’ initial grant-date fair values. Stock-based compensation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 for stock options, restricted stock units and performance awards is recorded over the requisite service period. For awards with only a service condition, we expense stock-based compensation using the straight-line method over the requisite service period for the entire award. For awards with a market condition, we expense the grant date fair value at the target over the vesting period regardless of the value the award recipients ultimately receive. The fair value of restricted stock without a market condition is estimated using the current market price of our common stock on the date of grant. The fair value of stock option grants with a market condition is estimated at the date of grant using the Monte Carlo simulation model (“Monte Carlo”). The fair values of stock option grants with only a service condition are estimated as of the date of grant by applying the Black-Scholes option valuation model (“Black-Scholes model”). The Black-Scholes model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model is affected by the stock price on the date of the grant as well as assumptions regarding a number of variables. These variables include the expected term of the option, expected risk-free interest rate, the expected volatility of common stock, and expected dividend yield; each of which is described below. The assumptions for expected term of the option and expected volatility of common stock are the two assumptions that significantly affect the grant date fair value.</w:t>
      </w:r>
    </w:p>
    <w:p>
      <w:pPr>
        <w:spacing w:after="0" w:line="70" w:lineRule="exact"/>
        <w:rPr>
          <w:sz w:val="20"/>
          <w:szCs w:val="20"/>
          <w:color w:val="auto"/>
        </w:rPr>
      </w:pPr>
    </w:p>
    <w:p>
      <w:pPr>
        <w:jc w:val="both"/>
        <w:ind w:left="660" w:hanging="328"/>
        <w:spacing w:after="0" w:line="26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is calculated using the weighted-average period that the stock options are expected to be outstanding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exercised. We determine expected term based on historical exercise patterns and our expectation of the time that it will take for employees to exercise options still outstanding. We estimate non-employees’ options based on the contractual term.</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for periods within the expected term of the awards is based on the U.S. Treasury yield curve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at the time of the grant.</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Stock Price Volatility</w:t>
      </w:r>
      <w:r>
        <w:rPr>
          <w:rFonts w:ascii="Times New Roman" w:cs="Times New Roman" w:eastAsia="Times New Roman" w:hAnsi="Times New Roman"/>
          <w:sz w:val="18"/>
          <w:szCs w:val="18"/>
          <w:color w:val="auto"/>
        </w:rPr>
        <w:t>: We determined expected annual equity volatility based on the combination of the historical volatility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the historical volatility of the common stock comparable to our common stock.</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Because we have never paid a dividend and do not expect to begin doing so in the foreseeable future, we assume no dividend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valuing the stock-based awards.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is taken directly from the grant notice issued to employees and non-employees.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Stock options granted to non-employees are accounted for based on their fair value on the measurement date using the Black-Scholes model. For further information regarding our stock-based compensation and equity incentive plans, please refer to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highlight w:val="white"/>
        </w:rPr>
        <w: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11. Stock-based Compensation</w:t>
      </w:r>
      <w:r>
        <w:rPr>
          <w:rFonts w:ascii="Times New Roman" w:cs="Times New Roman" w:eastAsia="Times New Roman" w:hAnsi="Times New Roman"/>
          <w:sz w:val="18"/>
          <w:szCs w:val="18"/>
          <w:color w:val="000000"/>
        </w:rPr>
        <w:t>, in the accompanying notes to our Consolidated Financial Statements included elsewhere in this Annual Report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 During the years ended December 31, 2024 and 2023 we identified $3.2 million and $3.4 million, respectively, of product that no longer had an alternative future use and therefore was included as part of research and development expense. There was no such expense identified for the year ended December 31,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assessment of the recoverability of capitalized inventory is performed during each reporting period and, if needed, we record a reserve for any excess and obsolete inventory to record inventory at its estimated net realizable value in the period it is identified. Inventory excess and obsolescence reserves related to cost of revenue were immaterial for the years ended December 31, 2024 and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regarding our significant accounting policies and estimates, please refer to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rPr>
        <w:t>, in the accompanying notes to our Consolidated Financial Statements included elsewhere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Outstanding warrants include Public Warrants which were issued as one-third of one redeemable warrant per unit during HighCape’s initial public offering on September 9, 2020, and Private Warrants sold to the Sponsor. The Public Warrants and Private Warrants meet the definition of a derivative and we recorded these warrants as long-term liabilities in the Consolidated Balance Sheets at fair value upon the closing of the Business Combination, with subsequent changes in their respective fair values recognized in the Consolidated Statements of Operations and Comprehensive Loss at each reporting date. For further information regarding our warrants, please refer to </w:t>
      </w:r>
      <w:r>
        <w:rPr>
          <w:rFonts w:ascii="Times New Roman" w:cs="Times New Roman" w:eastAsia="Times New Roman" w:hAnsi="Times New Roman"/>
          <w:sz w:val="18"/>
          <w:szCs w:val="18"/>
          <w:u w:val="single" w:color="auto"/>
          <w:color w:val="0000FF"/>
        </w:rPr>
        <w:t>Note 12. Warrant Liabilities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 discussion of recently adopted accounting pronouncements and accounting pronouncements pending adoption, please refer to </w:t>
      </w:r>
      <w:r>
        <w:rPr>
          <w:rFonts w:ascii="Times New Roman" w:cs="Times New Roman" w:eastAsia="Times New Roman" w:hAnsi="Times New Roman"/>
          <w:sz w:val="18"/>
          <w:szCs w:val="18"/>
          <w:u w:val="single" w:color="auto"/>
          <w:color w:val="0000FF"/>
        </w:rPr>
        <w:t>Note 2.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Significant Accounting Policies</w:t>
      </w:r>
      <w:r>
        <w:rPr>
          <w:rFonts w:ascii="Times New Roman" w:cs="Times New Roman" w:eastAsia="Times New Roman" w:hAnsi="Times New Roman"/>
          <w:sz w:val="18"/>
          <w:szCs w:val="18"/>
          <w:color w:val="000000"/>
        </w:rPr>
        <w:t>, in the Consolidated Financial Statements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2024 as Compared to the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December 31, 2024 and 2023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160.8 %</w:t>
            </w:r>
          </w:p>
        </w:tc>
      </w:tr>
      <w:tr>
        <w:trPr>
          <w:trHeight w:val="237"/>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145.5 %</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0"/>
        </w:trPr>
        <w:tc>
          <w:tcPr>
            <w:tcW w:w="4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227.9 %</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7"/>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trading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trading securities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1238.8 %</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7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nm</w:t>
            </w:r>
            <w:r>
              <w:rPr>
                <w:rFonts w:ascii="Times New Roman" w:cs="Times New Roman" w:eastAsia="Times New Roman" w:hAnsi="Times New Roman"/>
                <w:sz w:val="11"/>
                <w:szCs w:val="11"/>
                <w:color w:val="auto"/>
              </w:rPr>
              <w:t>(1)</w:t>
            </w:r>
          </w:p>
        </w:tc>
      </w:tr>
      <w:tr>
        <w:trPr>
          <w:trHeight w:val="28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“nm” indicates amount is not meaningful.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Cost of Revenue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derived from sales of products and services. Product revenue is generated from the following sources: (i) sales of our Platinum® instrument, (ii) consumables, which consist of sales of our library preparation kits, sequencing kit (which includes sequencing reagents and semiconductor chips), and (iii) freight revenue, which is recognized upon shipment. Service revenue is generated from service maintenance contracts including Platinum Analysis Software access, and advanced training for instrument use.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Cost of revenue and Gross profit for the years ended December 31, 2024 and 2023 are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145.5 %</w:t>
            </w:r>
          </w:p>
        </w:tc>
      </w:tr>
      <w:tr>
        <w:trPr>
          <w:trHeight w:val="27"/>
        </w:trPr>
        <w:tc>
          <w:tcPr>
            <w:tcW w:w="4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for the sale of Platinum instruments, related reagent kits and service maintenance contracts increased $2.0 million, or 182.6% as compared to the same period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increased $0.9 million, or 145.5% as compared to the same period in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$1.1 million, or 227.9% as compared to the same period in 2023.</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began a controlled launch of the Platinum instrument and started to take orders in December 2022, and subsequently began a controlled commercial launch of Platinum in January 2023, and then moved to a full commercial launch of Platinum beginning in the second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are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$7.4 million, or 11.0%, for the year ended December 31, 2024 as compared to the same period in 2023. This decrease was primarily due to a $7.3 million decrease in payroll and payroll-related costs, which includes a $0.3 million decrease in stock-based compensation, a $2.2 million decrease in fabrication and outsourced services and a $0.8 million net decrease of other research and development expenses. The decrease in payroll and payroll-related costs were primarily driven by restructuring activities and an increase in personnel costs that were capitalized during the year ended December 31, 2024. These decreases were partially offset by a $2.9 million increase in laboratory supplies expense.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for the years ended December 31, 2024 and 2023 are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7"/>
        </w:trPr>
        <w:tc>
          <w:tcPr>
            <w:tcW w:w="4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by $5.9 million, or 13.2%, for the year ended December 31, 2024 as compared to the same period in 2023. The increase was primarily due to a $4.1 million increase in payroll and payroll-related costs, which includes a $0.7 million increase in stock-based compensation, a $2.1 million increase in legal fees, a $1.0 million increase in outsourced services, a $0.7 million increase in trade show and other marketing-related expenses, a $0.6 million increase in non-income tax expenses and a $0.9 million net increase in other selling, general and administrative expenses. The increase in payroll and payroll-related costs are primarily related to on-going investments made in commercial operations. These increases were partially offset by a decrease of $2.8 million in professional services and consulting fees and a $0.7 million decrease in insurance costs from lower market premiums.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and 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dividend and interest income is derived primarily from fixed income securities and money market mutual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dividend and interest income was derived from mutual funds.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and interest income for the years ended December 31, 2024 and 2023 is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and interest income increased by $1.8 million, or 19.2% for the year ended December 31, 2024 as compared to the same period in 2023. This increase was a result of higher dividends earned on invested balances in marketable securities resulting from higher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Unrealized Gain on Trading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 on trading securities for the years ended December 31, 2024 and 2023 is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trading securities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was no Unrealized gain on trading securities for the year ended December 31, 2024 as compared to a gain of $10.7 million for the same period in 2023. The prior year gain was primarily related to market adjustments of investments in trading securities, which consisted of fixed income mutual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Realized loss on Trading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loss on trading securities for the years ended December 31, 2024 and 2023 is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trading securities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9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Realized loss on trading securities for the year ended December 31, 2024 as compared to a loss of $5.1 million for the same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prior year losses were primarily related to market adjustments of investments in trading securities, which consisted of fixed income mutual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Fair Value of Warrant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 liabilities were recorded at fair value as part of the Business Combination. Change in fair value of warrant liabilities primarily consists of the change in the fair value of our Public Warrants and Private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warrant liabilities for the years ended December 31, 2024 and 2023 is as follows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1238.8 %</w:t>
            </w: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 liabilities increased by $3.4 million, or 1238.8% for the year ended December 31, 2024 as compared to the same period in 2023. Change in fair value of warrant liabilities increased $3.7 million for the year ended December 31, 2024 as compared to an increase of $0.3 million for the same period in 2023. This increase was primarily driven by the change in the underlying trading price of our Class A common stock during the periods reported.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for the years ended December 31, 2024 and 2023 is as follows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4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 (expense) income, net, decreased by $0.4 million, or 105.2%, for the year ended December 31, 2024 as compared to the same period in 2023. For the year ended December 31, 2023, Other income, net, included a $0.4 million gain for the write off of contingent consideration related to the Majelac acquisition. For further details regarding the acquisition of Majelac, please refer to </w:t>
      </w:r>
      <w:r>
        <w:rPr>
          <w:rFonts w:ascii="Times New Roman" w:cs="Times New Roman" w:eastAsia="Times New Roman" w:hAnsi="Times New Roman"/>
          <w:sz w:val="18"/>
          <w:szCs w:val="18"/>
          <w:u w:val="single" w:color="auto"/>
          <w:color w:val="0000FF"/>
        </w:rPr>
        <w:t>Note 3. Acquisition</w:t>
      </w:r>
      <w:r>
        <w:rPr>
          <w:rFonts w:ascii="Times New Roman" w:cs="Times New Roman" w:eastAsia="Times New Roman" w:hAnsi="Times New Roman"/>
          <w:sz w:val="18"/>
          <w:szCs w:val="18"/>
          <w:color w:val="auto"/>
        </w:rPr>
        <w:t>, in the accompanying notes to the Consolidated Financial Statements included elsewhere in the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for operating, investing, and financing activities for the years ended December 31, 2024 and 2023 (in thousands):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operating activities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(87,795)</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(94,036)</w:t>
            </w:r>
          </w:p>
        </w:tc>
      </w:tr>
      <w:tr>
        <w:trPr>
          <w:trHeight w:val="270"/>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143,428</w:t>
            </w:r>
          </w:p>
        </w:tc>
      </w:tr>
      <w:tr>
        <w:trPr>
          <w:trHeight w:val="270"/>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0"/>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49,541</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99" w:lineRule="exact"/>
        <w:rPr>
          <w:sz w:val="20"/>
          <w:szCs w:val="20"/>
          <w:color w:val="auto"/>
        </w:rPr>
      </w:pPr>
    </w:p>
    <w:p>
      <w:pPr>
        <w:sectPr>
          <w:pgSz w:w="11900" w:h="16838" w:orient="portrait"/>
          <w:cols w:equalWidth="0" w:num="2">
            <w:col w:w="7460" w:space="720"/>
            <w:col w:w="3060"/>
          </w:cols>
          <w:pgMar w:left="320" w:top="290" w:right="339" w:bottom="1440" w:gutter="0" w:footer="0" w:header="0"/>
          <w:type w:val="continuous"/>
        </w:sectPr>
      </w:pP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of $87.8 million was primarily due to a net loss of $101.0 million resulting from continued spend on research and development and commercialization efforts, accretion on marketable securities of $8.4 million and a $3.2 million write-down of inventory partially offset by stock-based compensation of $8.9 million, a net increase in cash provided by operating assets and liabilities of $4.6 million due to timing of cash receipts and disbursements, depreciation and amortization of $4.6 million, a change in fair value of warrant liabilities of $3.7 million, and non-cash lease expense of $2.4 million.</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net cash used in operating activities of $94.0 million was primarily due to a net loss of $96.0 million resulting from the continued ramp-up of research and development and commercialization efforts, unrealized net gains on trading securities of $10.7 million, net cash outflows from changes in operating assets and liabilities of $3.2 million due to timing of cash receipts and disbursements and a $3.4 million write-down of inventory, partially offset by stock-based compensation of $8.5 million, realized net losses on trading securities of $5.1 million, depreciation and amortization of $4.2 million and non-cash lease expense of $1.4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provided by investing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$32.7 million as compared to net cash provided by investing activities in $143.4 million for the same period in 2023. The increase in cash used was due primarily to an increase of purchases of marketable securities of $245.6 million partially offset by a $68.9 million increase in proceeds from the sales and maturities of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financing activities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$35.9 million as compared to $0.1 million for the same period in 2023. This increase in cash provided was due primarily to $34.8 million of net proceeds from the issuance of common stock under the ATM Offering. Further information regarding the ATM Offering can be found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Outlook</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with proceeds from the issuance of equity to private investors, as well as with the proceeds received from the closing of the Business Combination. Additionally, we began to generate revenue during 2023 from commercial sales of our Platinum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cash and cash equivalents and investments in marketable securities totaling $209.6 million. Our future capital requirements may vary from those currently planned and will depend on various factors including the pace and success of product commercialization.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ongoing commercialization of Platinum and Platinum Pro as well as our continuing research and development efforts to enhance our instruments may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11, 2023, we filed a universal shelf registration statement on Form S-3 (the “Shelf Registration Statement”), which became effective on August 22, 2023, covering the offering of Class A common stock, preferred stock, debt securities, warrants, rights and units.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11, 2024, we entered into an Equity Distribution Agreement (the “Sales Agreement”) with Canaccord Genuity LLC (“Canaccord”) to sell shares of our Class A common stock, par value $0.0001, having an aggregate offering price of up to $75.0 million, from time to time through an “at-the-market” offering program under which Canaccord will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 as sales agent. We have no obligation to sell any shares under the Sales Agreement and may at any time suspend solicitation and offers under the EDA. The ATM Offering is being made pursuant to our shelf registration and a prospectus supplement related to the ATM Offering dated December 11, 2024. During the year ended December 31, 2024, we sold and issued 23,425,650 shares of our Class A common stock under the ATM Offering, resulting in gross proceeds of $36.2 million. Net proceeds were $34.8 million after commissions and issuance costs of $1.4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December 11, 2024, we exercised its right to terminate the Equity Distribution Agreement (the “Equity Distribution Agreement”), dated August 11, 2023, by and between the Company and Evercore Group L.L.C. (“Evercore”), as sales agent. The Equity Distribution Agreement previously established an “at-the-market” offering program through which we had the right to sell, from time to time, through Evercore, up to an aggregate of $75.0 million of our Class A common stock. We sold no shares under the Equity Distribution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we entered into a securities purchase agreement with certain institutional investors pursuant to which we agreed to issue and sell, in a registered direct offering (the “Registered Direct Offering”) an aggregate of 15,625,000 shares of our Class A common stock at a price of $3.20 per Share. The gross proceeds from the Registered Direct Offering were $50.0 million. After deducting estimated placement agents’ fees and other offering expenses payable by the Company, net proceeds were approximately $46.9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Registered Direct Offering, we entered into a placement agency agreement with A.G.P./Alliance Global Partners (the “Placement Agent”), pursuant to which the Placement Agent agreed to serve as the sole placement agent for the Company, on a reasonable best efforts basis. We agreed to pay the Placement Agent an aggregate cash fee equal to 6.0% of the gross proceeds received in the Registered Direct Offering.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our related party transactions, please refer to </w:t>
      </w:r>
      <w:r>
        <w:rPr>
          <w:rFonts w:ascii="Times New Roman" w:cs="Times New Roman" w:eastAsia="Times New Roman" w:hAnsi="Times New Roman"/>
          <w:sz w:val="18"/>
          <w:szCs w:val="18"/>
          <w:color w:val="0000FF"/>
        </w:rPr>
        <w:t>Note 17. Related Party Transactions</w:t>
      </w:r>
      <w:r>
        <w:rPr>
          <w:rFonts w:ascii="Times New Roman" w:cs="Times New Roman" w:eastAsia="Times New Roman" w:hAnsi="Times New Roman"/>
          <w:sz w:val="18"/>
          <w:szCs w:val="18"/>
          <w:color w:val="auto"/>
        </w:rPr>
        <w:t>, in the accompanying notes to the Consolidated Financial Statements included elsewhere in the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-185420</wp:posOffset>
            </wp:positionV>
            <wp:extent cx="17462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4625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capital expenditures were $4.6 million. We forecast capital expenditures in order to execute on our business plan and maintain growth; however, the actual amount and timing of such capital expenditures will ultimately be determined by the volume of business. We anticipate our future capital expenditures will be at approximately the same level as compared to the year ended December 31, 2024. We have funded and plan to continue funding these capital expenditures with cash and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2032. As of December 31, 2024, the future lease payments, before adjustments for tenant incentives, were approximately $26.7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related to certain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certain intellectual property, some of which may be utilized in our current or future product offerings. To preserve the right to use such intellectual property, we are required to make annual minimum fixed payments totaling approximately $0.2 million as well as royalties based on net sales if the royalties exceed annual minimum fixed payments.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our marketable securities are comprised primarily of investments in money market funds backed by U.S. government issued securities, U.S. Treasury bills, and high-quality corporate commercial paper. The primary objective of our investments is the preservation of capital to fulfill liquidity needs. We do not enter into investments for trading or speculative purposes. Based on the short-term nature of our holdings, future interest rate changes are not expected to have a material impact on our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98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PricewaterhouseCoopers LLP </w:t>
            </w:r>
            <w:r>
              <w:rPr>
                <w:rFonts w:ascii="Times New Roman" w:cs="Times New Roman" w:eastAsia="Times New Roman" w:hAnsi="Times New Roman"/>
                <w:sz w:val="18"/>
                <w:szCs w:val="18"/>
                <w:color w:val="000000"/>
              </w:rPr>
              <w:t>(PCAOB ID: 238)</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2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84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Deloitte &amp; Touche LLP </w:t>
            </w:r>
            <w:r>
              <w:rPr>
                <w:rFonts w:ascii="Times New Roman" w:cs="Times New Roman" w:eastAsia="Times New Roman" w:hAnsi="Times New Roman"/>
                <w:sz w:val="18"/>
                <w:szCs w:val="18"/>
                <w:color w:val="000000"/>
              </w:rPr>
              <w:t>(PCAOB ID: 34)</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79</w:t>
            </w:r>
          </w:p>
        </w:tc>
      </w:tr>
      <w:tr>
        <w:trPr>
          <w:trHeight w:val="48"/>
        </w:trPr>
        <w:tc>
          <w:tcPr>
            <w:tcW w:w="20" w:type="dxa"/>
            <w:vAlign w:val="bottom"/>
          </w:tcPr>
          <w:p>
            <w:pPr>
              <w:spacing w:after="0"/>
              <w:rPr>
                <w:sz w:val="4"/>
                <w:szCs w:val="4"/>
                <w:color w:val="auto"/>
              </w:rPr>
            </w:pPr>
          </w:p>
        </w:tc>
        <w:tc>
          <w:tcPr>
            <w:tcW w:w="342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180" w:type="dxa"/>
            <w:vAlign w:val="bottom"/>
            <w:tcBorders>
              <w:bottom w:val="single" w:sz="8" w:color="CCEEFF"/>
            </w:tcBorders>
            <w:gridSpan w:val="6"/>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80</w:t>
            </w:r>
          </w:p>
        </w:tc>
      </w:tr>
      <w:tr>
        <w:trPr>
          <w:trHeight w:val="202"/>
        </w:trPr>
        <w:tc>
          <w:tcPr>
            <w:tcW w:w="20" w:type="dxa"/>
            <w:vAlign w:val="bottom"/>
          </w:tcPr>
          <w:p>
            <w:pPr>
              <w:spacing w:after="0"/>
              <w:rPr>
                <w:sz w:val="17"/>
                <w:szCs w:val="17"/>
                <w:color w:val="auto"/>
              </w:rPr>
            </w:pPr>
          </w:p>
        </w:tc>
        <w:tc>
          <w:tcPr>
            <w:tcW w:w="984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2023 and 2022</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81</w:t>
            </w:r>
          </w:p>
        </w:tc>
      </w:tr>
      <w:tr>
        <w:trPr>
          <w:trHeight w:val="48"/>
        </w:trPr>
        <w:tc>
          <w:tcPr>
            <w:tcW w:w="20" w:type="dxa"/>
            <w:vAlign w:val="bottom"/>
          </w:tcPr>
          <w:p>
            <w:pPr>
              <w:spacing w:after="0"/>
              <w:rPr>
                <w:sz w:val="4"/>
                <w:szCs w:val="4"/>
                <w:color w:val="auto"/>
              </w:rPr>
            </w:pPr>
          </w:p>
        </w:tc>
        <w:tc>
          <w:tcPr>
            <w:tcW w:w="342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8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(Deficit) for the years ended December 31, 2024, 2023 and 2022</w:t>
            </w: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82</w:t>
            </w:r>
          </w:p>
        </w:tc>
      </w:tr>
      <w:tr>
        <w:trPr>
          <w:trHeight w:val="202"/>
        </w:trPr>
        <w:tc>
          <w:tcPr>
            <w:tcW w:w="20" w:type="dxa"/>
            <w:vAlign w:val="bottom"/>
            <w:tcBorders>
              <w:top w:val="single" w:sz="8" w:color="CCEEFF"/>
            </w:tcBorders>
          </w:tcPr>
          <w:p>
            <w:pPr>
              <w:spacing w:after="0"/>
              <w:rPr>
                <w:sz w:val="17"/>
                <w:szCs w:val="17"/>
                <w:color w:val="auto"/>
              </w:rPr>
            </w:pPr>
          </w:p>
        </w:tc>
        <w:tc>
          <w:tcPr>
            <w:tcW w:w="9100" w:type="dxa"/>
            <w:vAlign w:val="bottom"/>
            <w:tcBorders>
              <w:top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2024, 2023 and 2022</w:t>
            </w:r>
          </w:p>
        </w:tc>
        <w:tc>
          <w:tcPr>
            <w:tcW w:w="7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83</w:t>
            </w:r>
          </w:p>
        </w:tc>
      </w:tr>
      <w:tr>
        <w:trPr>
          <w:trHeight w:val="48"/>
        </w:trPr>
        <w:tc>
          <w:tcPr>
            <w:tcW w:w="20" w:type="dxa"/>
            <w:vAlign w:val="bottom"/>
          </w:tcPr>
          <w:p>
            <w:pPr>
              <w:spacing w:after="0"/>
              <w:rPr>
                <w:sz w:val="4"/>
                <w:szCs w:val="4"/>
                <w:color w:val="auto"/>
              </w:rPr>
            </w:pPr>
          </w:p>
        </w:tc>
        <w:tc>
          <w:tcPr>
            <w:tcW w:w="342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84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2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Quantum-Si Incorporated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Quantum-Si Incorporated and its subsidiaries (the “Company”) as of December 31, 2024, and the related consolidated statements of operations and comprehensive loss, of changes in stockholders’ equity (deficit)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Stock Option Grants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2 and 11 to the consolidated financial statements, the Company measures compensation expense for stock-based awards to employees, non-employees and directors based upon the awards’ initial grant-date fair values. Stock-based compensation expense for stock options is recorded over the requisite service period. The fair values of stock option grants with only a service condition are estimated as of the date of grant by applying the Black-Scholes option valuation model (“Black-Scholes model”). The Black-Scholes model incorporates assumptions as to stock price volatility, the expected life of options, a risk-free interest rate, and dividend yield. The Black-Scholes model is affected by the stock price on the date of the grant, as well as assumptions regarding a number of variables. These variables include the expected term of the option, expected risk-free interest rate, expected volatility of common stock, and expected dividend yield.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for the expected term of the option and expected volatility of common stock are the two assumptions that significantly affect the grant date fair value. The Company’s stock-based compensation expense related to stock options for the year ended December 31, 2024 was $6.4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stock option grants is a critical audit matter are (i) the significant judgment by management when developing the fair value estimate of the stock option grants and (ii) a high degree of auditor judgment, subjectivity, and effort in performing procedures and evaluating management’s significant assumption related to expected volatility.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the stock option grants; (ii) evaluating the appropriateness of the Black-Scholes model; (iii) testing the completeness and accuracy of the underlying data used in the estimate of the fair value of the stock option grants; (iv) testing stock-based compensation expense for a sample of stock options granted by obtaining and inspecting source documents, such as grant award letters and Board of Director minutes; and (v) evaluating the reasonableness of the significant assumption used by management related to expected volatility. Evaluating management’s assumption related to expected volatility involved considering (i) the historical stock prices and volatilities of the Company; (ii) the historical stock prices and volatilities of the peer group data by utilizing data obtained from an independent-third party source; and (iii) whether the assumption was consistent with evidence obtained in other areas of the audit.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 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Quantum-Si Incorporated: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Quantum-Si Incorporated and subsidiaries (the “Company”) as of December 31, 2023, the related consolidated statements of operations and comprehensive loss, changes in convertible preferred stock and stockholders’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each of the two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New York, New York February 29, 2024 (March 3, 2025, as to the effects of the adoption of ASU No. 2023-07, </w:t>
      </w:r>
      <w:r>
        <w:rPr>
          <w:rFonts w:ascii="Times New Roman" w:cs="Times New Roman" w:eastAsia="Times New Roman" w:hAnsi="Times New Roman"/>
          <w:sz w:val="18"/>
          <w:szCs w:val="18"/>
          <w:i w:val="1"/>
          <w:iCs w:val="1"/>
          <w:color w:val="auto"/>
        </w:rPr>
        <w:t>Segment Reporting (Topic 280):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described in Note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2020. In 2024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$124 and $0,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266,310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payroll-related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contracted services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$0.0001 par value; 600,000,000 shares authorized as of December 31, 2024 and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146,953,271 and 121,832,417 shares issued and outstanding as of December 31, 2024</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$0.0001 par value; 27,000,000 shares authorized as of December 31, 2024 and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19,937,500 shares issued and outstanding as of December 31, 2024 and December 31,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767,239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(495,634)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271,619</w:t>
            </w:r>
          </w:p>
        </w:tc>
        <w:tc>
          <w:tcPr>
            <w:tcW w:w="0" w:type="dxa"/>
            <w:vAlign w:val="bottom"/>
          </w:tcPr>
          <w:p>
            <w:pPr>
              <w:spacing w:after="0"/>
              <w:rPr>
                <w:sz w:val="1"/>
                <w:szCs w:val="1"/>
                <w:color w:val="auto"/>
              </w:rPr>
            </w:pPr>
          </w:p>
        </w:tc>
      </w:tr>
      <w:tr>
        <w:trPr>
          <w:trHeight w:val="264"/>
        </w:trPr>
        <w:tc>
          <w:tcPr>
            <w:tcW w:w="8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42,296</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123,841</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trading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trading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 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139,255</w:t>
            </w:r>
          </w:p>
        </w:tc>
      </w:tr>
      <w:tr>
        <w:trPr>
          <w:trHeight w:val="257"/>
        </w:trPr>
        <w:tc>
          <w:tcPr>
            <w:tcW w:w="6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gain (loss):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 on marketable securities, net of tax</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gain, net of tax</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88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80" w:type="dxa"/>
            <w:vAlign w:val="bottom"/>
            <w:vMerge w:val="restart"/>
          </w:tcPr>
          <w:p>
            <w:pPr>
              <w:spacing w:after="0"/>
              <w:rPr>
                <w:sz w:val="16"/>
                <w:szCs w:val="16"/>
                <w:color w:val="auto"/>
              </w:rPr>
            </w:pPr>
          </w:p>
        </w:tc>
        <w:tc>
          <w:tcPr>
            <w:tcW w:w="182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Class B common stock</w:t>
            </w:r>
          </w:p>
        </w:tc>
        <w:tc>
          <w:tcPr>
            <w:tcW w:w="80" w:type="dxa"/>
            <w:vAlign w:val="bottom"/>
            <w:vMerge w:val="restart"/>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188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5"/>
                <w:szCs w:val="15"/>
                <w:color w:val="auto"/>
              </w:rPr>
            </w:pPr>
          </w:p>
        </w:tc>
        <w:tc>
          <w:tcPr>
            <w:tcW w:w="8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January 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118,025,410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744,252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477,034</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upon exercise of stock</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1,921,824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0" w:type="dxa"/>
            <w:vAlign w:val="bottom"/>
          </w:tcPr>
          <w:p>
            <w:pPr>
              <w:spacing w:after="0"/>
              <w:rPr>
                <w:sz w:val="1"/>
                <w:szCs w:val="1"/>
                <w:color w:val="auto"/>
              </w:rPr>
            </w:pPr>
          </w:p>
        </w:tc>
      </w:tr>
      <w:tr>
        <w:trPr>
          <w:trHeight w:val="25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Majelac Technologies LLC Acquisition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3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0" w:type="dxa"/>
            <w:vAlign w:val="bottom"/>
          </w:tcPr>
          <w:p>
            <w:pPr>
              <w:spacing w:after="0"/>
              <w:rPr>
                <w:sz w:val="1"/>
                <w:szCs w:val="1"/>
                <w:color w:val="auto"/>
              </w:rPr>
            </w:pPr>
          </w:p>
        </w:tc>
      </w:tr>
      <w:tr>
        <w:trPr>
          <w:trHeight w:val="25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(132,442)</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(132,442)</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120,006,757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358,706</w:t>
            </w: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upon exercise of stock</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1,825,660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3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0" w:type="dxa"/>
            <w:vAlign w:val="bottom"/>
          </w:tcPr>
          <w:p>
            <w:pPr>
              <w:spacing w:after="0"/>
              <w:rPr>
                <w:sz w:val="1"/>
                <w:szCs w:val="1"/>
                <w:color w:val="auto"/>
              </w:rPr>
            </w:pPr>
          </w:p>
        </w:tc>
      </w:tr>
      <w:tr>
        <w:trPr>
          <w:trHeight w:val="25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(95,960)</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121,832,417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271,619</w:t>
            </w: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upon exercise of stock</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598,689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upon vesting of restricted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from at-the-market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offering, net of commissions and issuance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23,425,650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34,789</w:t>
            </w:r>
          </w:p>
        </w:tc>
        <w:tc>
          <w:tcPr>
            <w:tcW w:w="0" w:type="dxa"/>
            <w:vAlign w:val="bottom"/>
          </w:tcPr>
          <w:p>
            <w:pPr>
              <w:spacing w:after="0"/>
              <w:rPr>
                <w:sz w:val="1"/>
                <w:szCs w:val="1"/>
                <w:color w:val="auto"/>
              </w:rPr>
            </w:pPr>
          </w:p>
        </w:tc>
      </w:tr>
      <w:tr>
        <w:trPr>
          <w:trHeight w:val="23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 on marketable securities,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of tax</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Refund of issuance costs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5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(101,007)</w:t>
            </w:r>
          </w:p>
        </w:tc>
        <w:tc>
          <w:tcPr>
            <w:tcW w:w="0" w:type="dxa"/>
            <w:vAlign w:val="bottom"/>
          </w:tcPr>
          <w:p>
            <w:pPr>
              <w:spacing w:after="0"/>
              <w:rPr>
                <w:sz w:val="1"/>
                <w:szCs w:val="1"/>
                <w:color w:val="auto"/>
              </w:rPr>
            </w:pPr>
          </w:p>
        </w:tc>
      </w:tr>
      <w:tr>
        <w:trPr>
          <w:trHeight w:val="26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146,953,271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(596,641)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215,420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(101,007)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(95,960)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(132,442)</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lease expense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trading securities, net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16,162</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Realized loss on trading securities,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on marketable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Write-down of inventory</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Goodwill impairment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9,483</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(6,243)</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stock consideration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11,206</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(10,033)</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w:t>
            </w: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w:t>
            </w: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(87,795)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(94,036)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(90,560)</w:t>
            </w:r>
          </w:p>
        </w:tc>
      </w:tr>
      <w:tr>
        <w:trPr>
          <w:trHeight w:val="37"/>
        </w:trPr>
        <w:tc>
          <w:tcPr>
            <w:tcW w:w="66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(10,741)</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Internally developed software - capitalized costs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marketable securities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148,760</w:t>
            </w: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143,428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137,185</w:t>
            </w:r>
          </w:p>
        </w:tc>
      </w:tr>
      <w:tr>
        <w:trPr>
          <w:trHeight w:val="37"/>
        </w:trPr>
        <w:tc>
          <w:tcPr>
            <w:tcW w:w="66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6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from “at-the-market” offering, net of commissions and issuance</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vesting of restricted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offering costs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contingent consideration - business acquisition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deferred consideration - business acquisition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2"/>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Refund of issuance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6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6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48,534</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35,785</w:t>
            </w:r>
          </w:p>
        </w:tc>
      </w:tr>
      <w:tr>
        <w:trPr>
          <w:trHeight w:val="37"/>
        </w:trPr>
        <w:tc>
          <w:tcPr>
            <w:tcW w:w="66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49,241</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3"/>
        </w:trPr>
        <w:tc>
          <w:tcPr>
            <w:tcW w:w="6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received from exchange of research and development tax credits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purchased but not paid</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offering costs payable</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equity issuance - business acquisition</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bl>
    <w:p>
      <w:pPr>
        <w:spacing w:after="0" w:line="200" w:lineRule="exact"/>
        <w:rPr>
          <w:sz w:val="20"/>
          <w:szCs w:val="20"/>
          <w:color w:val="auto"/>
        </w:rPr>
      </w:pPr>
    </w:p>
    <w:p>
      <w:pPr>
        <w:sectPr>
          <w:pgSz w:w="11900" w:h="16838" w:orient="portrait"/>
          <w:cols w:equalWidth="0" w:num="1">
            <w:col w:w="11240"/>
          </w:cols>
          <w:pgMar w:left="320" w:top="290" w:right="339" w:bottom="285"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1240"/>
          </w:cols>
          <w:pgMar w:left="320" w:top="290" w:right="339" w:bottom="285"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a life sciences company focused on proteomics research,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it is applying to proteomics to enable Next-Generation Protein Sequencing</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(“NGPS”), to sequence proteins in a massively parallel fashion (rather than sequentially, one at a time), which can also be used for the study of nucleic acids. The Company believes that the ability to sequence proteins in a massively parallel fashion and offer a fast analysis time provides NGPS with the potential to unlock significant biological information through improved resolution and unbiased access to the proteome at a speed and scale that is not available today. Traditionally, proteomic workflows to sequence proteins required days or weeks to complete. Our platform includes our Platinum NGPS instrument, Platinum Analysis Software, and consumable kits for use with our Platinum instrument.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with proceeds from the issuance of equity to private investors, as well as with the proceeds received from the closing of the Business Combination. The Company has incurred significant losses and negative cash flows from operations in all periods since inception and had an accumulated deficit of $596.6 million as of December 31, 2024. The Company has incurred significant operating losses, including net losses of $101.0 million, $96.0 million and $132.4 million for the years ended December 31, 2024, 2023 and 2022 respectively. As of December 31, 2024, the Company had cash, cash equivalents and investments in marketable securities of $209.6 million. Management believes that the Company’s current cash, cash equivalents and marketable securities, together with revenue from the sales of its products and services, will be sufficient to fund its planned operations for at least the next twelve months from the date of the issuance of the accompanying Consolidated Financial Statements.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such time as the Company can generate significant revenue from product sales, if ever, it expects to finance its operations through private and public equity offerings, debt financings, and/or potential future collaboration, license and development agreements. However, there can be no assurance that the Company will be able to complete any such transactions on acceptable terms or otherwise, and the Company may be unable to obtain sufficient additional capital when needed.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Sustained levels of high inflation caused the U.S. Federal Reserve and other central banks to increase interest rates throughout 2022 and 2023. Although the U.S. Federal Reserve lowered interest rates slightly in 2024, it is not known whether additional action will be taken to lower interest rates and if this decrease, and any other decreases, will have an impact on inflation. While these rate fluctuations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was not significantly impacted by geopolitical conflicts, such as those in Ukraine or Israel and Gaza, the Company has experienced some constraints in product and material availability and increasing costs required to obtain some materials and supplies as a result of these conflicts on the global economy. To date, the business has not been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materially impacted by the conflicts, however, as the conflicts continue or worsen, it may impact the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w:t>
      </w:r>
      <w:r>
        <w:rPr>
          <w:rFonts w:ascii="Times New Roman" w:cs="Times New Roman" w:eastAsia="Times New Roman" w:hAnsi="Times New Roman"/>
          <w:sz w:val="17"/>
          <w:szCs w:val="17"/>
          <w:b w:val="1"/>
          <w:bCs w:val="1"/>
          <w:color w:val="auto"/>
        </w:rPr>
        <w:t>ummary of Significant Accounting Policie</w:t>
      </w:r>
      <w:r>
        <w:rPr>
          <w:rFonts w:ascii="Times New Roman" w:cs="Times New Roman" w:eastAsia="Times New Roman" w:hAnsi="Times New Roman"/>
          <w:sz w:val="18"/>
          <w:szCs w:val="18"/>
          <w:b w:val="1"/>
          <w:bCs w:val="1"/>
          <w:color w:val="auto"/>
        </w:rPr>
        <w: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the Company to make estimates and assumptions about future events that affect the amounts recorded in its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68" w:lineRule="exact"/>
        <w:rPr>
          <w:sz w:val="20"/>
          <w:szCs w:val="20"/>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for acquisitions;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for leases;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with respect to deferred tax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warrant liabilities;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associated with revenue recognition;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the fair value used in the calculation of the 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Risk</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Financial instruments that potentially subject the Company to concentration of credit risk consist principally of cash and cash equivalents and marketable securities. As of December 31, 2024 and 2023, the Company’s marketable securities consist of mutual funds, U.S. Treasury securities and commercial paper. For further information regarding marketable securities, please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highlight w:val="white"/>
        </w:rPr>
        <w:t>4. Investments in Marketable Securities</w:t>
      </w:r>
      <w:r>
        <w:rPr>
          <w:rFonts w:ascii="Times New Roman" w:cs="Times New Roman" w:eastAsia="Times New Roman" w:hAnsi="Times New Roman"/>
          <w:sz w:val="18"/>
          <w:szCs w:val="18"/>
          <w:color w:val="auto"/>
          <w:highlight w:val="white"/>
        </w:rPr>
        <w:t>. The Company also maintains</w:t>
      </w:r>
      <w:r>
        <w:rPr>
          <w:rFonts w:ascii="Times New Roman" w:cs="Times New Roman" w:eastAsia="Times New Roman" w:hAnsi="Times New Roman"/>
          <w:sz w:val="18"/>
          <w:szCs w:val="18"/>
          <w:color w:val="auto"/>
        </w:rPr>
        <w:t xml:space="preserve">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sources certain key materials and components utilized in the Company’s products from single or limited suppliers. Historically, the Company has not experienced significant issues sourcing these materials and components. However, if these suppliers were not able to supply the requested amount of materials or components, it could take a considerable length of time to obtain alternative sources, which could affect the Company’s development efforts and commercial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Chief Operating Decision Maker (the “CODM”), its Chief Executive Officer, reviews financial information presented on a consolidated basis for purposes of assessing financial performance, making operating decisions and allocating resources. Accordingly, the Company has determined that it operates as a single reportable segment. For further discussion related to segment reporting, please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highlight w:val="white"/>
        </w:rPr>
        <w:t>16. Segment Information</w:t>
      </w:r>
      <w:r>
        <w:rPr>
          <w:rFonts w:ascii="Times New Roman" w:cs="Times New Roman" w:eastAsia="Times New Roman" w:hAnsi="Times New Roman"/>
          <w:sz w:val="18"/>
          <w:szCs w:val="18"/>
          <w:color w:val="auto"/>
          <w:highlight w:val="white"/>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international operations, the local currency has been determined to be the functional currency. The results of its non-U.S. dollar-based operations are translated to U.S. dollars at the average exchange rates during the period. Assets and liabilities are translated at the rate of exchange prevailing on the balance sheet date. Equity is translated at the prevailing rate of exchange at the date of the equity transaction. The translational effects of revaluing non-functional currency assets and liabilities were immaterial for the years ended December 31, 2024, 2023 and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realizes foreign currency gains/(losses) in the normal course of business based on movement in the applicable exchange rates. As of December 31, 2024 and 2023 and for the years ended December 31, 2024, 2023 and 2022, the effect of foreign currency translation and transactions on the Company’s Consolidated Financial Statements was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highly liquid investments purchased with a maturity of three months or less are cash equivalents. As of December 31, 2024 and 2023, cash and cash equivalents consist of a mix of cash and short-term money market accounts, U.S. Treasury securities and commercial paper.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net are stated at the amount the Company expects to collect from customers based on their outstanding invoices. The Company reviews accounts receivable regularly to determine if any receivable may not be collectible. The Company estimates the amount of the allowance for doubtful accounts necessary to reduce accounts receivable to its estimated net realizable value by analyzing the status of significant past due receivables and current and historical bad debt trends. The Company writes off accounts receivable against the allowance when it determines a balance is uncollectible and ceases collection efforts. As of the December 31, 2024, the Company recorded a $0.1 million allowance against accounts receivable. There was no such allowance as of December 31, 2023. The Company did not write off any accounts receivable balances during the years ended December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of its investments in marketable securities as available for use in current operations and therefore classifies these securities within current assets in the Consolidated Balance Sheets.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Company’s investments in marketable securities were classified as trading securities and consisted of ownership interests in fixed income mutual funds. As of December 31, 2024 and 2023 the Company’s marketable securities were classified as available-for-sale securities, carried at fair value, with the unrealized holding gains/(losses), net of income taxes, reflected in accumulated other comprehensive income/(loss) until realized. Regardless of the intent to sell a security, the Company performs additional analysis on all securities with unrealized losses to evaluate losses associated with the creditworthiness of the security. Credit losses are recorded when the Company does not expect to receive cash flows sufficient to recover the amortized cost basis of a security. For the purposes of computing realized and unrealized gains and losses, cost and fair value are determined on a specific identification basis. Purchase premiums and discounts on marketable debt securities are amortized or accreted into the cost basis over the life of the related security as adjustments to the yield using the effective-interest method.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on marketable securities are recognized as income when declared and are recorded as Dividend income in the Consolidated Statements of Operations and Comprehensive Loss. Interest income is recognized when earned.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related to marketable securities, please refer to </w:t>
      </w:r>
      <w:r>
        <w:rPr>
          <w:rFonts w:ascii="Times New Roman" w:cs="Times New Roman" w:eastAsia="Times New Roman" w:hAnsi="Times New Roman"/>
          <w:sz w:val="18"/>
          <w:szCs w:val="18"/>
          <w:u w:val="single" w:color="auto"/>
          <w:color w:val="0000FF"/>
        </w:rPr>
        <w:t>Note 4. Investments in Marketable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Inventory valuation is established based on a number of factors including, but not limited to, finished goods not meeting product specifications, product excess and obsolescence, or application of the lower of cost or net realizable value concepts. The determination of events requiring the establishment of inventory valuation, together with the calculation of the amount of such adjustments may require judgment. The Company performs an assessment of the recoverability of capitalized inventory during each reporting period and, if needed, records a write-down of inventory to its estimated net realizable value in the period it is identified. For further discussion related to inventory, please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highlight w:val="white"/>
        </w:rPr>
        <w:t>6. Inventory, Net</w:t>
      </w:r>
      <w:r>
        <w:rPr>
          <w:rFonts w:ascii="Times New Roman" w:cs="Times New Roman" w:eastAsia="Times New Roman" w:hAnsi="Times New Roman"/>
          <w:sz w:val="18"/>
          <w:szCs w:val="18"/>
          <w:color w:val="auto"/>
          <w:highlight w:val="white"/>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Prepaid expenses and other current assets include amounts paid in advance for operating expenses as well as monies to be received from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Consolidated Statements of Operations and Comprehensive Loss in the annual period the corresponding expenses were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Property and equipment are stated at cost less accumulated depreciation </w:t>
      </w:r>
      <w:r>
        <w:rPr>
          <w:rFonts w:ascii="Times New Roman" w:cs="Times New Roman" w:eastAsia="Times New Roman" w:hAnsi="Times New Roman"/>
          <w:sz w:val="17"/>
          <w:szCs w:val="17"/>
          <w:color w:val="auto"/>
        </w:rPr>
        <w:t>and amortization</w:t>
      </w:r>
      <w:r>
        <w:rPr>
          <w:rFonts w:ascii="Times New Roman" w:cs="Times New Roman" w:eastAsia="Times New Roman" w:hAnsi="Times New Roman"/>
          <w:sz w:val="18"/>
          <w:szCs w:val="18"/>
          <w:color w:val="auto"/>
        </w:rPr>
        <w:t>. Depreciation expense is computed using the straight-line method over the estimated useful lives of the related assets. Leasehold improvements are amortized over the shorter of the asset’s useful life or the life of the lease term.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useful lives of property and equipment are as follows:</w:t>
            </w:r>
          </w:p>
        </w:tc>
        <w:tc>
          <w:tcPr>
            <w:tcW w:w="4080" w:type="dxa"/>
            <w:vAlign w:val="bottom"/>
          </w:tcPr>
          <w:p>
            <w:pPr>
              <w:spacing w:after="0"/>
              <w:rPr>
                <w:sz w:val="20"/>
                <w:szCs w:val="20"/>
                <w:color w:val="auto"/>
              </w:rPr>
            </w:pPr>
          </w:p>
        </w:tc>
      </w:tr>
      <w:tr>
        <w:trPr>
          <w:trHeight w:val="48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0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7"/>
        </w:trPr>
        <w:tc>
          <w:tcPr>
            <w:tcW w:w="7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production equipment</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4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years</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Expenditures for major renewals and improvements are capitalized. Expenditures for repairs and maintenance are expensed as incurred. Costs for property and equipment not yet placed into service have been recorded as construction in process and will be depreciated in accordance with the above guidelines once placed into service. When assets are retired or otherwise disposed of, the cost of these assets and related accumulated depreciation and amortization is eliminated from the balance sheet, and any resulting gains or losses are included in the Consolidated Statements of Operations and Comprehensive Loss in the period of disposal.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internal use software development costs related to its SaaS platform incurred during the application development stage when management with the relevant authority authorizes and commits to the funding of the project, it is probable the project will be completed, and the software will be used as intended. The Company also capitalizes costs related to specific upgrades and enhancements when it is probable the expenditure will result in additional functionality. Costs related to preliminary project activities and to post-implementation activities are expensed as incurred. Internal use software is amortized on a straight-line basis over its estimated useful life, which is generally two years. Management evaluates the useful lives of these assets on an annual basis and tests for impairment whenever events or changes in circumstances occur that could impact the recoverability of the assets. Capitalized costs are recorded as Internally developed software in the Consolidated Balance Sheets. Amortization expense related to internally developed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software was $0.6 million and $0.2 million for the years ended December 31, 2024 and 2023, respectively. There was no internally developed software or related amortization expense recorded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 the Company determines a triggering event has occurred. When a triggering event has occurred, each impairment test is based on a comparison of the future expected undiscounted cash flows to the recorded value of the asset. If the recorded value of the asset is less than the undiscounted cash flows, the asset is written down to its estimated fair value. No impairments were recorded for the years ended December 31,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right-of-use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lease agreements contain tenant improvement incentives and allowances, rent holidays, or rent escalation clauses. For tenant improvement incentives, if the incentive is determined to be a leasehold improvement owned by the lessee and the Company is reasonably certain to use the incentive, the Company generally records the incentive as a reduction to the fixed lease payments liability as a reduction to lease cost. Reimbursable construction costs incurred are recorded as leasehold improvements and are amortized over the term of the lease. The Company records rental expense related to rent holidays and rent escalation clauses on a straight-line basis over the term of the lease. The Company uses the date of initial possession as the commencement date for lease incentives, which is generally when the Company is given right of access to the space and begins to make improvements in preparation for intended use.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inception, leases are evaluated and classified as operating or finance for financial reporting purposes. Operating leases that are short term in nature and have month-to-month payment terms are expensed as incurred in Research and development expenses or in Selling, general and administrative expenses in the Consolidated Statements of Operations and Comprehensive Loss. The Company’s lease agreements contain variable lease costs for common area maintenance, utilities, taxes and insurance, which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possible impairment annually during the fourth quarter as of October 1 or when events or circumstances indicate the carrying amount may not be recoverable.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Majelac Technologies LLC (“Majelac”) was fully integrated into the Company after the acquisition. As a result, the Company operates as a single reporting unit. Accordingly, all of the goodwill is associated with the entire Company. The Company performed its annual goodwill impairment test during the fourth quarter of 2022 quantitatively evaluating its reporting unit. The Company determined the fair value of its reporting unit using a combination of the income and market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approaches. The Company placed a 100% weighting on the market approach method, as the results of the income approach were not representative of the fair value of the Company. The determination of fair value using a market approach requires management to make significant assumptions related to the determination of an appropriate group of peer companies, and market revenue multiples from within the selected group of peer companies. As of October 1, 2022, the carrying value of the net asset of the Company’s reporting unit exceeded its enterprise wide fair value and the Company recognized a goodwill impairment charge, fully impairing goodwill of $9.5 million in the Consolidated Statements of Operations and Comprehensive Loss for the year ended December 31, 2022. There was no impairment of goodwill recorded for the years ended December 31, 2024 or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outstanding warrants include publicly 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Public Warrants and Private Warrants meet the definition of a derivative and the Company recorded these warrants as long-term liabilities in the Consolidated Balance Sheets at fair value upon the closing of the Business Combination, with subsequent changes in their respective fair values recognized in the Consolidated Statements of Operations and Comprehensive Loss at each reporting date. For further discussion related to the Public Warrants and Private Warrants, please refer to </w:t>
      </w:r>
      <w:r>
        <w:rPr>
          <w:rFonts w:ascii="Times New Roman" w:cs="Times New Roman" w:eastAsia="Times New Roman" w:hAnsi="Times New Roman"/>
          <w:sz w:val="18"/>
          <w:szCs w:val="18"/>
          <w:u w:val="single" w:color="auto"/>
          <w:color w:val="0000FF"/>
        </w:rPr>
        <w:t>Note 12. Warrant Liabilities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provides a free one-year assurance-type warranty to customers with the initial purchase of a Platinum instrument. The cost of the warranty is accrued upon the initial sale of an instrument in Accrued expenses and other current liabilities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The Company has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allocates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considers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The Company typically provides a standard one</w:t>
      </w:r>
      <w:r>
        <w:rPr>
          <w:rFonts w:ascii="Times New Roman" w:cs="Times New Roman" w:eastAsia="Times New Roman" w:hAnsi="Times New Roman"/>
          <w:sz w:val="17"/>
          <w:szCs w:val="17"/>
          <w:color w:val="auto"/>
        </w:rPr>
        <w:t>-year</w:t>
      </w:r>
      <w:r>
        <w:rPr>
          <w:rFonts w:ascii="Times New Roman" w:cs="Times New Roman" w:eastAsia="Times New Roman" w:hAnsi="Times New Roman"/>
          <w:sz w:val="18"/>
          <w:szCs w:val="18"/>
          <w:color w:val="auto"/>
        </w:rPr>
        <w:t xml:space="preserve"> warranty which covers defects in materials, workmanship and manufacturing or performance conditions under normal use and service. The first year of the warranty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products is considered an assurance-type warranty and is recorded as Cost of revenue within the Consolidated Statements of Operations and Comprehensive Loss. The Company has determined the standard first-year warranty is not a distinct performance obligation.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type of revenue. The Company believes product revenue and service revenue aggregate the payor types by nature, amount, timing and uncertainty of its revenue streams. Total revenue generated from domestic and international sales was $1.2 million and $1.8 million, respectively, for the year ended December 31, 2024. Total revenue generated from domestic and international sales was $0.8 million and $0.3 million, respectively, for the year ended December 31, 2023. There was no revenue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primarily consists of billings and payments received in advance of revenue recognition from service maintenance contracts including software subscription and advanced training, and is reduced as the revenue recognition criteria are met. Deferred revenue also includes advanced training provided to customers until the service has been performed. Deferred revenue that will be recognized as revenue within the succeeding 12-month period is recorded as current and is included within Accrued expenses and other current liabilities in the Company’s Consolidated Balance Sheets. The portion of deferred revenue where revenue is expected to be recognized beyond twelve months from the reporting date is recorded as non-current deferred revenue and is included in Other long-term liabilities in the Company’s Consolidated Balance Sheets.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deferred revenue of $0.2 million included within Accrued expenses and other current liabilities in the Company’s Consolidated Balance Sheets. As of December 31, 2024, amounts included within Other long-term liabilities in the Company’s Consolidated Balance Sheets were immaterial. The Company expects to recognize approximately 90% of its remaining performance obligations as revenue during the year ending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Shipping and handling costs associated with outbound freight after control of a product has transferred to a customer are accounted for as fulfillment costs and are included in Cost of revenue in the Consolidated Statements of Operations and Comprehensive Loss. Shipping and handling costs billed to customers are considered part of the transaction price and are recognized as revenue with the underlying product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and are primarily related to the development of new products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 Advertising costs are expensed as incurred. Advertising expenses were immaterial for the years ended December 31,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Class A and Class B common stock of the Company outstanding during the period, without consideration of potentially dilutive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common stockholders by the weighted average number of Class A and Class B common shares plus the common equivalent shares of the period, including any dilutive effect from such shares. The Company’s diluted net loss per share is the same as basic net loss per share for 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periods presented, since the effect of potentially dilutive securities is anti-dilutive. </w:t>
      </w:r>
      <w:r>
        <w:rPr>
          <w:rFonts w:ascii="Times New Roman" w:cs="Times New Roman" w:eastAsia="Times New Roman" w:hAnsi="Times New Roman"/>
          <w:sz w:val="17"/>
          <w:szCs w:val="17"/>
          <w:color w:val="auto"/>
        </w:rPr>
        <w:t>For further discussion, please refer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u w:val="single" w:color="auto"/>
          <w:color w:val="0000FF"/>
        </w:rPr>
        <w:t>Note 13. Net Loss Per Share</w:t>
      </w:r>
      <w:r>
        <w:rPr>
          <w:rFonts w:ascii="Times New Roman" w:cs="Times New Roman" w:eastAsia="Times New Roman" w:hAnsi="Times New Roman"/>
          <w:sz w:val="18"/>
          <w:szCs w:val="18"/>
          <w:color w:val="auto"/>
          <w:highlight w:val="white"/>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restricted stock and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non-financing event performance conditions on an accelerated basis is recognized as though each vesting portion of the award was, in substance, a separate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restricted stock is estimated using the current market price of the Company’s common stock on the date of grant.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fair value of the shares of common stock underlying stock options had historically been determined by the Board, with input from management and contemporaneous third-party valuations, as there was no public market for the common stock. Given the absence of a public trading market for the Company’s common stock, the Board exercised reasonable judgment and considered numerous objective and subjective factors to determine the best estimate of the fair value of the Company’s common stock at each option grant date.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the completion of the Business Combination, the Company measures compensation expense for stock-based awards to employees, non-employees and directors based upon the awards’ initial grant-date fair values. Stock-based compensation expense for stock options, restricted stock units and performance awards is recorded over the requisite service period. For awards with only a service condition, the Company expenses stock-based compensation using the straight-line method over the requisite service period for the entire award. For awards with a market condition, the Company expenses the grant date fair value at the target over the vesting period regardless of the value the award recipients ultimately receive. The fair value of restricted stock without a market condition is estimated using the current market price of the Company’s common stock on the date of grant. The fair value of stock option grants with a market condition is estimated at the date of grant using the Monte Carlo simulation model (“Monte Carlo”). The fair values of stock option grants with only a service condition are estimated as of the date of grant by applying the Black-Scholes option valuation model (“Black-Scholes model”). The Black-Scholes model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model is affected by the stock price on the date of the grant as well as assumptions regarding a number of variables. These variables include the expected term of the option, expected risk-free interest rate, the expected volatility of common stock, and expected dividend yield; each of which is described below. The assumptions for expected term of the option and expected volatility of common stock are the two assumptions that significantly affect the grant date fair value.</w:t>
      </w:r>
    </w:p>
    <w:p>
      <w:pPr>
        <w:spacing w:after="0" w:line="70" w:lineRule="exact"/>
        <w:rPr>
          <w:sz w:val="20"/>
          <w:szCs w:val="20"/>
          <w:color w:val="auto"/>
        </w:rPr>
      </w:pPr>
    </w:p>
    <w:p>
      <w:pPr>
        <w:jc w:val="both"/>
        <w:ind w:left="820" w:hanging="326"/>
        <w:spacing w:after="0" w:line="267"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is calculated using the weighted-average period that the stock options are expected to be outstanding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exercised. The Company determines expected term based on historical exercise patterns and its expectation of the time that it will take for employees to exercise options still outstanding. The Company estimates non-employees’ options based on the contractual term.</w:t>
      </w:r>
    </w:p>
    <w:p>
      <w:pPr>
        <w:spacing w:after="0" w:line="65" w:lineRule="exact"/>
        <w:rPr>
          <w:rFonts w:ascii="Times New Roman" w:cs="Times New Roman" w:eastAsia="Times New Roman" w:hAnsi="Times New Roman"/>
          <w:sz w:val="18"/>
          <w:szCs w:val="18"/>
          <w:color w:val="auto"/>
        </w:rPr>
      </w:pPr>
    </w:p>
    <w:p>
      <w:pPr>
        <w:ind w:left="820" w:hanging="326"/>
        <w:spacing w:after="0" w:line="284"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for periods within the expected term of the awards is based on the U.S. Treasury yield curve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at the time of the grant.</w:t>
      </w:r>
    </w:p>
    <w:p>
      <w:pPr>
        <w:spacing w:after="0" w:line="50" w:lineRule="exact"/>
        <w:rPr>
          <w:rFonts w:ascii="Times New Roman" w:cs="Times New Roman" w:eastAsia="Times New Roman" w:hAnsi="Times New Roman"/>
          <w:sz w:val="18"/>
          <w:szCs w:val="18"/>
          <w:color w:val="auto"/>
        </w:rPr>
      </w:pPr>
    </w:p>
    <w:p>
      <w:pPr>
        <w:ind w:left="820" w:hanging="326"/>
        <w:spacing w:after="0" w:line="284"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Stock Price Volatility</w:t>
      </w:r>
      <w:r>
        <w:rPr>
          <w:rFonts w:ascii="Times New Roman" w:cs="Times New Roman" w:eastAsia="Times New Roman" w:hAnsi="Times New Roman"/>
          <w:sz w:val="18"/>
          <w:szCs w:val="18"/>
          <w:color w:val="auto"/>
        </w:rPr>
        <w:t>: The Company determined expected annual equity volatility based on the combination of the historical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common stock and the historical volatility of the common stock comparable to the Company’s common stock.</w:t>
      </w:r>
    </w:p>
    <w:p>
      <w:pPr>
        <w:spacing w:after="0" w:line="50" w:lineRule="exact"/>
        <w:rPr>
          <w:rFonts w:ascii="Times New Roman" w:cs="Times New Roman" w:eastAsia="Times New Roman" w:hAnsi="Times New Roman"/>
          <w:sz w:val="18"/>
          <w:szCs w:val="18"/>
          <w:color w:val="auto"/>
        </w:rPr>
      </w:pPr>
    </w:p>
    <w:p>
      <w:pPr>
        <w:ind w:left="820" w:hanging="326"/>
        <w:spacing w:after="0" w:line="284"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Because the Company has never paid a dividend and does not expect to begin doing so in the foreseeable future,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assumes no dividend yield in valuing the stock-based awards.</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is taken directly from the grant notice issued to employees and non-employees.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some or all of the net deferred tax assets will not be realized.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applicable. As of both December 31, 2024 and 2023, no accrued interest and penalties associated with any uncertain tax positions were recorded in the Consolidated Balance Sheets. The Company recognized an immaterial amount of interest and penalties in the Statements of Operations and Comprehensive Income for the year ended December 31, 2024. There were no interest and penalties recognized in the Statements of Operations and Comprehensive Income for the years ended December 31, 2023 and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(“DISE”), which requires additional disclosure of the nature of expenses included in the income statement. The ASU requires disclosures about specific types of expenses included in the expense captions presented on the face of the income statement as well as disclosures about selling expenses. The amendments in this update are effective for annual reporting periods beginning after December 15, 2026 and interim reporting periods beginning after December 15, 2027, with early adoption permitted. The ASU is required to be applied prospectively with the option for retrospective application. The Company is currently evaluating the impact ASU 2024-03 may have on its Consolidated Financial Statements and disclosures.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the FASB issued ASU No. 2024-02, Codification Improvements - Amendments to Remove References to the Concepts Statements, which contains amendments to the Codification that remove references to various Concepts Statements. The amendments in ASU 2024-02 are not intended to result in significant accounting changes for most entities. The amendments in this update are effective for fiscal years beginning after December 15, 2024, with early adoption permitted. The Company is currently evaluating the impact ASU 2024-02 may have on its Consolidated Financial Statements and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amendments are effective for fiscal years beginning after December 31, 2024, with early adoption permitted. The Company did not early adopt the new standard. The new standard is expected to apply prospectively, but retrospective application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The Company is currently evaluating the impact ASU 2023-09 may have on its Consolidated Financial Statements and disclosures.</w:t>
      </w: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Segment Reporting (Topic 280): Improvements to Reportable Segment Disclosures, which requires enhanced disclosures about significant segment expenses. In addition, the ASU clarified that single reportable segment entities must apply Topic 280 in its entirety. The ASU does not change how an entity identifies its operating segments, aggregates those operating segments, or applies the quantitative thresholds to determine its reportable segments. The Company adopted ASU 2023-07 during the year ended December 31, 2024. The impact of ASU 2023-07 was not material to the Company’s Consolidated Financial Statements and disclosures. For further details regarding the Company’s reportable segment, please refer to </w:t>
      </w:r>
      <w:r>
        <w:rPr>
          <w:rFonts w:ascii="Times New Roman" w:cs="Times New Roman" w:eastAsia="Times New Roman" w:hAnsi="Times New Roman"/>
          <w:sz w:val="18"/>
          <w:szCs w:val="18"/>
          <w:u w:val="single" w:color="auto"/>
          <w:color w:val="0000FF"/>
        </w:rPr>
        <w:t>Note 16. Segment 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-142875</wp:posOffset>
            </wp:positionV>
            <wp:extent cx="2540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Majelac Technologies LLC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and conditions of an Asset Purchase Agreement by and among the Company, Majelac Technologies LLC (“Majelac”), and certain other parties, on November 5, 2021 (the “Majelac Closing Date”), the Company acquired certain assets and assumed certain liabilities of Majelac, a privately-owned company providing semiconductor chip assembly and packaging capabilities located in Pennsylvania. The acquisition brought semiconductor chip assembly and packaging capabilities in-house to secure the Company’s supply chain and support its commercialization efforts. Prior to the acquisition, Majelac was a vendor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total purchase price of $10.4 million consists of $4.6 million in cash and 535,715 shares of Class A common stock, valued at $4.2 million, issued to Majelac at the close of the acquisition; approximately $0.5 million additional cash paid six months after the Majelac Closing Date; additional 59,523 shares of Class A common stock valued at $0.5 million were issued to Majelac 12 months after the Majelac Closing Date; additional milestone-based consideration of up to $0.8 million, which was fair valued at $0.5 million at the Majelac Closing Date. On May 4, 2022, the Company paid Majelac </w:t>
      </w:r>
      <w:r>
        <w:rPr>
          <w:rFonts w:ascii="Times New Roman" w:cs="Times New Roman" w:eastAsia="Times New Roman" w:hAnsi="Times New Roman"/>
          <w:sz w:val="17"/>
          <w:szCs w:val="17"/>
          <w:color w:val="auto"/>
        </w:rPr>
        <w:t>$0.4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million (fair value of $0.3 million at the Majelac Closing Date) for the first of two milestones that was met.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total purchase price, $9.5 million was attributable to goodwill. During the fourth quarter ended December 31, 2022, the Company concluded the goodwill from the Majelac acquisition was fully impaired and recorded a charge of $9.5 million in the Consolidated Statements of Operations and Comprehensive Loss.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the Company determined the estimated fair value of the contingent consideration was de minimis as the probability of the second milestone being met by November 1, 2023 was remote. There was no subsequent change in the third or fourth quarter of 2023. As a result, the Company recorded a gain of $0.4 million during the year ended December 31, 2023 in Other income, net, in the Consolidated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 in Marketable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Company’s investments in marketable securities were determined to be trading securities and were comprised of fixed income mutual funds, reported at fair value, with gains or losses resulting from changes in fair value recognized within Unrealized gain on trading securities and Realized gain (loss) on trading securities in the Consolidated Statements of Operations and Comprehensive Loss. In the fourth quarter of 2023, these trading securities were sold. The Company reinvested the funds received from the sale in marketable securities deemed to be available-for-sale securities. Gross unrealized gains or losses resulting from changes in available-for-sale securities for the year ended December 31, 2024 were $0.1 million. Gross unrealized gains or losses resulting from changes in available-for-sale securities for the year ended December 31, 2023 were deemed immaterial.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and interest income from marketable securities related to the Company’s available-for-sale securities for the years ended December 31, 2024 and 2023, and unrealized gain (loss) on trading securities and realized loss on trading securities related to the Company’s trading securities for the years ended December 31, 2023 and 2022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 from marketable securities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marketable securities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trading securities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trading securities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available-for-sale securities recorded within Marketable securities in the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wp:posOffset>
            </wp:positionV>
            <wp:extent cx="39433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Net Gains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Gains</w:t>
            </w:r>
          </w:p>
        </w:tc>
        <w:tc>
          <w:tcPr>
            <w:tcW w:w="32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76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108,047</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108,110</w:t>
            </w:r>
          </w:p>
        </w:tc>
      </w:tr>
      <w:tr>
        <w:trPr>
          <w:trHeight w:val="270"/>
        </w:trPr>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52,252</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160,362</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74"/>
        </w:trPr>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4"/>
        </w:trPr>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Net Gains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Gains</w:t>
            </w:r>
          </w:p>
        </w:tc>
        <w:tc>
          <w:tcPr>
            <w:tcW w:w="32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76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82,625</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r>
      <w:tr>
        <w:trPr>
          <w:trHeight w:val="270"/>
        </w:trPr>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123,854</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-2639695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-2296795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-1953895</wp:posOffset>
            </wp:positionV>
            <wp:extent cx="7132320"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-899160</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-556895</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-213995</wp:posOffset>
            </wp:positionV>
            <wp:extent cx="7132320" cy="196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290" w:right="339" w:bottom="1440" w:gutter="0" w:footer="0" w:header="0"/>
          <w:type w:val="continuous"/>
        </w:sectPr>
      </w:pP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values of the Company’s available-for-sale securities included within Marketable securities in the Consolidated Balance Sheets as of December 31, 2024 and 2023, by remaining contractual maturity, are as follows (in thousands):</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39344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76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108,110</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108,110</w:t>
            </w:r>
          </w:p>
        </w:tc>
      </w:tr>
      <w:tr>
        <w:trPr>
          <w:trHeight w:val="270"/>
        </w:trPr>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52,252</w:t>
            </w: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160,362</w:t>
            </w: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60"/>
        </w:trPr>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4"/>
        </w:trPr>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76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r>
      <w:tr>
        <w:trPr>
          <w:trHeight w:val="270"/>
        </w:trPr>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w:t>
            </w: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-2767965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-2425065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-2082165</wp:posOffset>
            </wp:positionV>
            <wp:extent cx="7132320" cy="196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-899160</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-556260</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-213995</wp:posOffset>
            </wp:positionV>
            <wp:extent cx="7132320" cy="1974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200"/>
          </w:cols>
          <w:pgMar w:left="320" w:top="290"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6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Valuations based on quoted prices in active markets for identical assets or liabilities that an entity has the ability to access.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Valuations based on quoted prices for similar assets or liabilities, quoted prices for identical assets or liabilities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Valuations based on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expenses and other current liabilities approximates their fair values due to the short-term or on demand nature of these instruments. At December 31, 2024 and 2023, the Company’s investment portfolio included available-for-sale securities which were comprised of money market funds, U.S. treasury bills and commercial paper. The Company has U.S. Treasury bills and commercial papers that are classified as Level 2 due to the fair value for these instruments being determined by utilizing observable inputs in similar assets or identical assets in non-active markets. The fair value of certain of the U.S. Treasury bills transferred to Level 2 from Level 1 of the fair value hierarchy due to trading activity, observability and accessibility of the pricing information from the most active market of the investment.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are recorded as Warrant liabilities in the Consolidated Balance Sheets. The warrant liabilities are measured at fair value at inception and on a recurring basis, with changes in fair value presented as Change in fair value of warrant liabilities in the Consolidated Statements of Operations and Comprehensive Loss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Warrants and Private Warrants were carried at fair value as of December 31, 2024 and 2023.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December 31, 2024, the significant assumptions used in preparing the binomial lattice model for valuing the Private Warrants liability include (i) volatility of 194.3%, (ii) risk-free interest rate of 4.20%, (iii) strike price of $11.50, (iv) fair value of common stock of $2.70, and (v) expected life of 1.4 years. As of December 31, 2023, the significant assumptions used in preparing the binomial lattice model for valuing the Private Warrants liability include (i) volatility of 92.1%, (ii) risk-free interest rate of 4.10%, (iii) strike price of $11.50, (iv) fair value of common stock of $2.01, and (v) expected life of 2.4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fair value hierarchy for assets and liabilities measured at fair value as of December 31, 2024 and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16,919</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108,110</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108,110</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52,252</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52,252</w:t>
            </w:r>
          </w:p>
        </w:tc>
      </w:tr>
      <w:tr>
        <w:trPr>
          <w:trHeight w:val="26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160,362</w:t>
            </w: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197,621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Inventory, Net</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Inventory, net, consists of the following as of December 31, 2024 and 2023 (in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6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charges for inventory write-downs of $3.2 million and $3.4 million, respectively, in Research and Development expenses in the Consolidated Statements of Operations and Comprehensive Loss. There were no such inventory write-downs for the year ended 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 Net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6"/>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production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is included within Cost of revenue, Research and development and Selling, general and administrative expenses in the Consolidated Statements of Operations and Comprehensive Loss. For the years ended December 31, 2024, 2023 and 2022, depreciation and amortization expense was $4.6 million, $4.2 million and $2.6 million, respectively. For the year ended December 31, 2024, the Company recorded losses on disposals of $0.4 million relating to property and equipment of $3.2 million with accumulated depreciation and amortization of $2.8 million. For each of the years ended December 31, 2023 and 2022, the company recorded losses on disposals of $0.1 million relating to property and equipment of $0.3 million with accumulated depreciation and amortization of $0.2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Leases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costs for the years ended December 31, 2024 and 2023 are as follows (in thousands):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6"/>
        </w:trPr>
        <w:tc>
          <w:tcPr>
            <w:tcW w:w="8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 maturities of the operating lease liabilities and a reconciliation to the present value of lease liabilities were as follows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38"/>
        </w:trPr>
        <w:tc>
          <w:tcPr>
            <w:tcW w:w="9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 Payments</w:t>
            </w:r>
          </w:p>
        </w:tc>
      </w:tr>
      <w:tr>
        <w:trPr>
          <w:trHeight w:val="27"/>
        </w:trPr>
        <w:tc>
          <w:tcPr>
            <w:tcW w:w="9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4,527</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4,585</w:t>
            </w:r>
          </w:p>
        </w:tc>
      </w:tr>
      <w:tr>
        <w:trPr>
          <w:trHeight w:val="27"/>
        </w:trPr>
        <w:tc>
          <w:tcPr>
            <w:tcW w:w="9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4,549</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2,975</w:t>
            </w:r>
          </w:p>
        </w:tc>
      </w:tr>
      <w:tr>
        <w:trPr>
          <w:trHeight w:val="27"/>
        </w:trPr>
        <w:tc>
          <w:tcPr>
            <w:tcW w:w="9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2,806</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7,247</w:t>
            </w:r>
          </w:p>
        </w:tc>
      </w:tr>
      <w:tr>
        <w:trPr>
          <w:trHeight w:val="27"/>
        </w:trPr>
        <w:tc>
          <w:tcPr>
            <w:tcW w:w="9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9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remaining undiscounted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26,689</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(4,637)</w:t>
            </w:r>
          </w:p>
        </w:tc>
      </w:tr>
      <w:tr>
        <w:trPr>
          <w:trHeight w:val="27"/>
        </w:trPr>
        <w:tc>
          <w:tcPr>
            <w:tcW w:w="9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Less: Lease incentives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(9,104)</w:t>
            </w:r>
          </w:p>
        </w:tc>
      </w:tr>
      <w:tr>
        <w:trPr>
          <w:trHeight w:val="237"/>
        </w:trPr>
        <w:tc>
          <w:tcPr>
            <w:tcW w:w="9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12,948</w:t>
            </w:r>
          </w:p>
        </w:tc>
      </w:tr>
      <w:tr>
        <w:trPr>
          <w:trHeight w:val="27"/>
        </w:trPr>
        <w:tc>
          <w:tcPr>
            <w:tcW w:w="9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(3,698)</w:t>
            </w:r>
          </w:p>
        </w:tc>
      </w:tr>
      <w:tr>
        <w:trPr>
          <w:trHeight w:val="263"/>
        </w:trPr>
        <w:tc>
          <w:tcPr>
            <w:tcW w:w="9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9,250</w:t>
            </w:r>
          </w:p>
        </w:tc>
      </w:tr>
      <w:tr>
        <w:trPr>
          <w:trHeight w:val="20"/>
        </w:trPr>
        <w:tc>
          <w:tcPr>
            <w:tcW w:w="9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bl>
    <w:p>
      <w:pPr>
        <w:spacing w:after="0" w:line="319"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lease incentives that are estimated to be realized in 2026 and 2027 for the costs of leasehold improvements.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cash flow information related to the Company’s right-of-use assets and lease liabilities for the years ended December 31, 2024 and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paid to settle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31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50" w:lineRule="exact"/>
        <w:rPr>
          <w:sz w:val="20"/>
          <w:szCs w:val="20"/>
          <w:color w:val="auto"/>
        </w:rPr>
      </w:pPr>
    </w:p>
    <w:p>
      <w:pPr>
        <w:jc w:val="both"/>
        <w:ind w:left="180" w:hanging="172"/>
        <w:spacing w:after="0" w:line="235" w:lineRule="auto"/>
        <w:tabs>
          <w:tab w:leader="none" w:pos="197"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year ended December 31, 2024 includes an increase in right-of-use assets due to the change in estimated timing of receipt of reimbursements for tenant improvements related to our New Haven, Connecticut lease. On September 13, 2022, the Company filed a lawsuit against the landlord related to these tenant improvements. For further details regarding this lawsuit, please refer to </w:t>
      </w:r>
      <w:r>
        <w:rPr>
          <w:rFonts w:ascii="Times New Roman" w:cs="Times New Roman" w:eastAsia="Times New Roman" w:hAnsi="Times New Roman"/>
          <w:sz w:val="18"/>
          <w:szCs w:val="18"/>
          <w:u w:val="single" w:color="auto"/>
          <w:color w:val="0000FF"/>
        </w:rPr>
        <w:t>Note 18. Commitments and Co</w:t>
      </w:r>
      <w:r>
        <w:rPr>
          <w:rFonts w:ascii="Times New Roman" w:cs="Times New Roman" w:eastAsia="Times New Roman" w:hAnsi="Times New Roman"/>
          <w:sz w:val="18"/>
          <w:szCs w:val="18"/>
          <w:u w:val="single" w:color="auto"/>
          <w:color w:val="0000FF"/>
          <w:highlight w:val="white"/>
        </w:rPr>
        <w:t>ntingencies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has incurred and recognized total leasehold improvements of approximately $1.2 million and $1.6 million, respectively, related to reimbursable construction costs included in construction in progress within Property and equipment, net,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2024 and 2023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1"/>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11, 2023, the Company filed a universal shelf registration statement on Form S-3 (the “Shelf Registration Statement”), which became effective on August 22, 2023, covering the offering of Class A common stock, preferred stock, debt securities, warrants, rights and units.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11, 2024, the Company entered into an Equity Distribution Agreement (the “Sales Agreement”) with Canaccord Genuity LLC (“Canaccord”) to sell shares of the Company’s Class A common stock, par value $0.0001, having an aggregate offering price of up to $75.0 million, from time to time through an “at-the-market” offering program under which Canaccord will act as sales agent (the “ATM Offering”). The Company has no obligation to sell any shares under the Sales Agreement and may at any time suspend solicitation and offers under the EDA. The ATM Offering is being made pursuant to the Company’s Shelf Registration Statement and a prospectus supplement related to the ATM Offering dated December 11, 2024. During the year ended December 31, 2024, the Company sold and issued 23,425,650 shares of the Company’s Class A common stock under the ATM Offering, resulting in gross proceeds of $36.2 million. Net proceeds were $34.8 million after commissions and issuance costs of $1.4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2024, the Company also exercised its right to terminate the Equity Distribution Agreement (the “Equity Distribution Agreement”), dated August 11, 2023, by and between the Company and Evercore Group L.L.C. (“Evercore”), as sales agent. The Equity Distribution Agreement previously established an “at-the-market” offering program through which the Company had the right to sell, from time to time, through Evercore, up to an aggregate of $75.0 million of the Company’s Class A common stock. The Company sold no shares under the Equity Distribution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600,000,000 shares of Class A common stock at $0.0001 par value per share, of which a total of 146,953,271 and 121,832,417 shares were outstanding,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Class A common stock will be entitled to cast one vote per Class A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will not be entitled to cumulate their votes in the election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out of funds legally available therefore,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27,000,000 shares of Class B common stock at $0.0001 par value per share, of which a total of 19,937,500 shares were outstanding for both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Class B common stock will be entitled to cast 20 votes per share of Class B common stock.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B common stock will not be entitled to cumulate their votes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1,000,000 shares of preferred stock at $0.0001 par value per share. There were no preferred shares outstanding for both years.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Any shares of preferred stock which may be redeemed, purchased or acquired by the Company may be reissued except as otherwise provided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December 31, 2024, there were 14,699,942 shares available for future grant under the 2021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Inducement Equity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8, 2023,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On August 23, 2024, the Company amended the 2023 Inducement Plan to reserve an additional 3,000,000 shares of its Class A common stock under the 2023 Inducement Plan. The terms and conditions of the 2023 Inducement Plan, as amended, are substantially similar to those of the 2021 Plan. As of December 31, 2024, there were 1,645,515 shares remaining available for issuance under the 2023 Inducement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an aggregate of 2,282,600 stock option awards to participants during the year ended December 31, 2024, with vesting subject to the participant’s continued employment with or continued service provided to the Company through the applicable vesting dates.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an aggregate of 10,138,730 stock option awards to participants, with vesting subject to the participant’s continued employment with or continued service provided to the Company through the applicable vesting dates and, in specific instances, certain market conditions. These stock option awards included 2,000,000 stock options granted to the Chief Financial Officer which are subject to service and/or certain market conditions. The stock option awards granted to the Chief Financial Officer included 1,000,000 stock options issued from the 2021 Plan and 1,000,000 inducement stock options issued from the 2023 Inducement Plan which are subject to a service condition and certain market conditions. The service condition requires the Chief Financial Officer’s continued employment with the Company through the applicable vesting dates. The market conditions require the Company’s Class A common stock trade above a specified level for a defined period of time. The fair value of awards with market conditions was estimated at the grant date using the Monte Carlo simulation model.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14,271,330 stock option awards to participants with vesting subject to the participant’s continued employment with the Company through the applicable vesting dates and, in specific instances, certain market conditions. These stock option awards included 6,950,000 stock options granted to the Chief Executive Officer which are subject to service and/or certain market conditions and 2,000,000 stock options granted to the prior President and Chief Operating Officer, of which 1,708,334 were forfeited on August 31, 2023 upon the termination of his employment with the Company. The stock options granted to the Chief Executive Officer include 4,170,000 stock options issued from the 2021 Plan and 2,780,000 inducement stock options granted outside of the 2021 Plan. The service condition requires the Chief Executive Officer’s continued employment with the Company through the applicable vesting dates. The market conditions require the Company’s Class A common stock trade above a specified level for a defined period of time. The fair value of awards with market conditions was estimated at the grant date using the Monte Carlo simulation model.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stock options for the years ended December 31, 2024, 2023 and 2022 was $6.4 million, $7.1 million and $7.3 million, respectively. The Company estimates and records the compensation cost associated with the grants described above with an offsetting entry to paid-in capital. The Company utilized the Black-Scholes model for determining the estimated fair value for service or performance-based stock-based awards. The Black-Scholes model requires the use of subjective assumptions which determine the fair value of stock-based awards. The assumptions used to value option grants to employees and non-employees for the years ended December 31, 2024, 2023 and 2022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 – 5.0</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5.0 – 6.2</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5.5 – 6.4</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Pr>
          <w:p>
            <w:pPr>
              <w:spacing w:after="0"/>
              <w:rPr>
                <w:sz w:val="21"/>
                <w:szCs w:val="21"/>
                <w:color w:val="auto"/>
              </w:rPr>
            </w:pPr>
          </w:p>
        </w:tc>
        <w:tc>
          <w:tcPr>
            <w:tcW w:w="15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3.4% – 5.2%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3.4% – 4.4%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1.7% – 4.2%</w:t>
            </w: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tcBorders>
              <w:bottom w:val="single" w:sz="8" w:color="CCEEFF"/>
            </w:tcBorders>
            <w:gridSpan w:val="4"/>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82% - 91%</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62% - 64%</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58% - 64%</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value/share at grant date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5"/>
              </w:rPr>
              <w:t>1.51</w:t>
            </w:r>
          </w:p>
        </w:tc>
      </w:tr>
      <w:tr>
        <w:trPr>
          <w:trHeight w:val="52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in the table below:</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4"/>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2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0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c>
          <w:tcPr>
            <w:tcW w:w="12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22,511,900</w:t>
            </w:r>
          </w:p>
        </w:tc>
        <w:tc>
          <w:tcPr>
            <w:tcW w:w="102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2,282,600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(598,689)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(3,277,407)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6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20,803,142</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4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9,014,076</w:t>
            </w:r>
          </w:p>
        </w:tc>
        <w:tc>
          <w:tcPr>
            <w:tcW w:w="102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17,936,135</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stock options that vested during the years ended December 31, 2024 and 2023 was approximately $6.4 million and $7.8 million,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stock-based compensation related to stock options was $11.4 million, which is expected to be recognized over a remaining weighted average vesting period of 2.3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Modification of Performance 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above, in November 2022 and May 2023, the Company granted 2,780,000 and 1,000,000 performance-based stock option awards to its Chief Executive Officer and Chief Financial Officer, respectively. The vesting of these awards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subject to continued service to the Company and certain market conditions. The market conditions require the Company’s Class A common stock trade above specified levels for certain periods of time. The fair values of the awards were estimated at the grant date using the Monte Carlo simulation model.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is approximately $2.4 million within Selling, general and administrative operating expenses in the Consolidated Statements of Operations and Comprehensive Loss. Incremental stock-based compensation expense for the year ended December 31, 2024 was $0.6 million. There were no such modifications to performance-based stock option awards for the years ended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granted 9,216,559 restricted stock unit (“RSU”)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granted 786,938 restricted stock unit (“RSU”)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66,666 restricted stock unit (“RSU”) awards. On February 8, 2022, John Stark, the Company’s former Chief Executive Officer and member of its board of directors, stepped down from all of his positions with the Company. As a result of Mr. Stark not meeting the service conditions of certain awards previously granted to him, 1,731,371 RSU awards were forfeited, resulting in a reversal of stock-based compensation for the year ended December 31, 2022 of $4.7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related to RSU awards for the years ended December 31, 2024, 2023 and 2022 was $2.4 million, $1.4 million and $3.9 million,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and weighted average grant date fair values of restricted non-vested common stock at the beginning and end of 2024, as well as restricted stock units granted, vested, and forfeited during the year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280" w:type="dxa"/>
            <w:vAlign w:val="bottom"/>
          </w:tcPr>
          <w:p>
            <w:pPr>
              <w:spacing w:after="0"/>
              <w:rPr>
                <w:sz w:val="18"/>
                <w:szCs w:val="18"/>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38"/>
        </w:trPr>
        <w:tc>
          <w:tcPr>
            <w:tcW w:w="7280" w:type="dxa"/>
            <w:vAlign w:val="bottom"/>
          </w:tcPr>
          <w:p>
            <w:pPr>
              <w:spacing w:after="0"/>
              <w:rPr>
                <w:sz w:val="20"/>
                <w:szCs w:val="20"/>
                <w:color w:val="auto"/>
              </w:rPr>
            </w:pPr>
          </w:p>
        </w:tc>
        <w:tc>
          <w:tcPr>
            <w:tcW w:w="1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Underlying RSUs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72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at December 31, 2023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9,216,559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72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3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at December 31, 2024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7,179,009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72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years ended December 31, 2024 and 2023 was approximately $2.6 million and $14.4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is allocated to Research and development and Selling, general and administrative operating expenses in the Consolidated Statements of Operations and Comprehensive Loss. Stock-based compensation expense for the years ended December 31, 2024, 2023 and 2022 is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related tax benefits of the stock-based compensation expense have been recognized and no related tax benefits have been realized from the exercise of stock options due to the Company’s net operating loss carryforwards.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stock-based compensation related to restricted stock was $9.3 million, which is expected to be recognized over the remaining weighted average vesting period of 3.3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there was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while the warrants are exercisable, the Company may redeem not less than all of the outstanding Public Warrants:</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the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Warrants do not meet the criteria to be classified in stockholders’ equity as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long-term liabilities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135,000 Private Warrants outstanding as of December 31, 2024 and 2023.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the other conditions of such redemption are met, as described above. If the Private Warrants are held by a holder other than the Sponsor or any of its permitted transferees, the Private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Warrants will be redeemable by the Company in all redemption scenarios applicable to the Public Warrants and exercisable by such holders on the same basis as the Public Warrants.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long-term liabilities in the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warrant liabilities was $5.0 million and $1.3 million as of December 31, 2024 and 2023, respectively. The Company recognized a loss of $3.7 million and $0.3 million for the years ended December 31, 2024 and 2023, respectively, and a gain of $6.2 million for the year ended December 31, 2022, as a Change in fair value of warrant liabilities in the Consolidated Statements of Operations and Comprehensive Loss. There were no exercises or redemptions of the Public Warrants or Private Warrants during the years ended December 31, 2024, 2023 or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details regarding the warrant liabilities, please refer to </w:t>
      </w:r>
      <w:r>
        <w:rPr>
          <w:rFonts w:ascii="Times New Roman" w:cs="Times New Roman" w:eastAsia="Times New Roman" w:hAnsi="Times New Roman"/>
          <w:sz w:val="18"/>
          <w:szCs w:val="18"/>
          <w:u w:val="single" w:color="auto"/>
          <w:color w:val="0000FF"/>
        </w:rPr>
        <w:t>Note 5. Fair Value of Financial Instruments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-119380</wp:posOffset>
            </wp:positionV>
            <wp:extent cx="2540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presents both basic earnings per share (“EPS”) and diluted EPS. Basic and diluted net loss per share was the same for each period presented as the inclusion of all common share equivalents would have been anti-dilutive.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calculations for the years ended December 31, 2024, 2023 and 2022 of basic and diluted net loss per share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 for basic and diluted EPS - loss attributable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139,255</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and diluted EPS - weighted-average common stock</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139,255</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was the same on a basic and diluted basis, as the inclusion of all potential common equivalent shares outstanding would have been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 dilutive shares were excluded from the calculation of diluted net loss per share because their effect would be anti-dilutive for the years ended December 31, 2024,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20,803,142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19,427,755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7,179,009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2,018,449</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r>
      <w:tr>
        <w:trPr>
          <w:trHeight w:val="237"/>
        </w:trPr>
        <w:tc>
          <w:tcPr>
            <w:tcW w:w="66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31,950,470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27,327,388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25,414,523</w:t>
            </w: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committed to organizational restructurings during the first and third quarters of 2023 and the fourth quarter of 2024, designed to decrease its costs and create a more streamlined organization to support its business. Restructuring liabilities were $0.7 million and $0.5 million as of December 31, 2024 and 2023, respectively. These liabilities are included in Accrued expenses and other current liabilities in the Consolidated Balance Sheets.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restructuring costs, primarily for cash severance and other severance costs, are allocated to the following operating expense categories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Selling,</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and</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general and</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4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40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7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incurred</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7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r>
      <w:tr>
        <w:trPr>
          <w:trHeight w:val="26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 of December 31, 2024</w:t>
            </w:r>
          </w:p>
        </w:tc>
        <w:tc>
          <w:tcPr>
            <w:tcW w:w="26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Restructuring charges incurred and Cash payments and other adjustments include non-cash charges related to stock-based compensation expenses.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restructuring activities were complete as of December 31, 2024. The Company does not expect to incur material additional charges associated with these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income before provision for income taxes for the years ended December 31, 2024, 2023 and 2022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loss before provision for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before provision for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reconciling the Company’s provision for income taxes at the statutory rate and the Company’s (provision) benefit for income taxes at the effective rate, a notional 21% tax rate was applied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2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generated in current year</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 change</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change</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(27.4)</w:t>
            </w:r>
          </w:p>
        </w:tc>
      </w:tr>
      <w:tr>
        <w:trPr>
          <w:trHeight w:val="26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the statutory federal income tax rate in 2024, 2023 and 2022 is primarily attributable to the effect of losses sustained which required a valuation allowance.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December 31, 2024, 2023 and 2022 consists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Company’s deferred tax assets and liabilities as of December 31, 2024 and 2023 related to the following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143,304</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to the amount that is more likely than not to be realized based on an assessment of positive and negative evidence, including estimates of future taxable income necessary to realize future deductible amounts. A significant piece of objective negative evidence evaluated was the cumulative loss incurred over the three-year period ended December 31, 2024. Such objective evidence limits the ability to consider other subjective evidence such as its projections for future growth. On the basis of this evaluation, as of December 31, 2024, 2023 and 2022, the Company recorded a valuation allowance of $156.5 million, $139.5 million, and $119.0 million, respectively. The valuation allowance increased by $17.0 million, $20.5 million, and $36.3 million, for the years ended December 31, 2024, 2023 and 2022, respectively, primarily due to changes in capitalized R&amp;D expenditures, net operating loss carry forwards, research and development credits, and capitalization of certain intangibles.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accumulated federal and state net operating loss (“NOL”) carryforwards of $388.3 million and $331.2 million, respectively. Of the $388.3 million of federal NOL carryforwards, $65.5 million was generated before January 1, 2018 and is subject to the 20-year carryover period (“pre-Tax Act losses”) and begin to expire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2033. The remaining $322.8 million can be carried forward indefinitely but is subject to the 80% taxable income limitation. Of the $331.2 million of state NOL carryforwards, $11.4 million can be carried forward indefinitely with the remaining beginning to expire in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federal and Connecticut research and development credit carryforwards totaling $8.1 million and $4.5 million, respectively. The federal research and development credits begin to expire in 2033 unless previously utilized. The Connecticut research and development credits do not expire.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Sections 382 and 383 of the Internal Revenue Code (“IRC”), annual use of the Company’s NOL and credit carryforwards may be limited in the event a cumulative change of ownership of more than 50% occurs within a three-year period. Since the Company’s formation, the Company has raised capital through the issuance of capital stock, which on its own or combined with the purchasing stockholders’ subsequent disposition of those shares, may have resulted in such an ownership change, or could result in an ownership change.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occurrence of an ownership change under Section 382 as outlined above, utilization of the Company’s NOL and research and development credit carryforwards are subject to an annual limitation, which is determined by first multiplying the value of the Company’s stock at the time of the ownership change by the applicable long-term tax-exempt rate, which could be subject to additional adjustments, as required. Any limitation may result in expiration of a portion of the NOL or research and development credit carryforwards before utilization. The Company has completed an analysis through December 31, 2024 and no such ownership change has occurred however an ownership change may occur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The first step is to evaluate the tax position for recognition by determining if the weight of available evidence indicates that it is more likely than not that the tax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 of examinations by tax authorities in determining the adequacy of its provision for income taxes.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 as of December 31, 2024, 2023 and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gross unrecognized tax benefits of $1.7 million, which would affect the effective tax rate if recognized subject to valuation allowance. The Company does not anticipate any significant changes in its unrecognized tax benefits over the next 12 months. The Company’s policy is to recognize the interest expense and/or penalties related to income tax matters as a component of income tax expense. As of both December 31, 2024 and 2023, no accrued interest and penalties associated with any uncertain tax positions were recorded in the Consolidated Balance Sheets. The Company recognized an immaterial amount of interest and penalties in the Statements of Operations and Comprehensive Income for the year ended December 31, 2024. There were no interest and penalties recognized in the Statements of Operations and Comprehensive Income for the years ended December 31, 2023 and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taxation in the United States, various states within the United States and France. The Company was notified in November 2024</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the Internal Revenue Service will be examining their December 31, 2022 Federal income tax return. The audit had not commenced as of December 31, 2024. The Company has not been notified that it is under audit by any state or foreign taxing authorities, however, due to the presence of NOL carryforwards, all of the income tax years remain open for examination in each of these jurisdictions.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a result of legislation in the state of Connecticut, companies have the opportunity to exchange certain research and development tax credit carryforwards for a cash payment of 65% of the research and development tax credit. The research and development expenses that qualify for Connecticut credits are limited to those costs incurred within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Connecticut. The Company has elected to participate in the exchange program and, as a result, has recognized net benefits of $0.2 million for each of the years ended December 31, 2024, 2023 and 2022, which are included in Research and development in the Consolidated Statements of Operations and Comprehensive Loss. As of each of the years ended December 31, 2024 and 2023, the Company recorded $0.2 million of the research and development tax credit receivables in Prepaid expenses and other current assets on the Company’s Consolidated Balance Sheets. As of December 31, 2024, all refunds for years prior to 2024 have been received by the company. As of December 31, 2024 the company recorded a receivable in the amount of $0.2 million related to refunds for the year ended December 31, 2024.</w:t>
      </w:r>
    </w:p>
    <w:p>
      <w:pPr>
        <w:spacing w:after="0" w:line="18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Deferred income taxes are not required for undistributed earnings of the Company’s foreign subsidiary given the federal election to treat the entity as a United States Subsidiary. Additionally, no withholding taxes are due under the current treaty.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life sciences company focused on proteomics research, with the mission of transforming single-molecule analysis and democratizing its use by providing researchers and clinicians access to the proteome, the set of proteins expressed within a cell. Our platform includes our Platinum NGPS instrument, Platinum Analysis Software, and consumable kits for use with our Platinum instrument.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utilizes the Company’s long-range plan, which includes product development roadmaps and long-range financial models, as a key input to resource allocation. The CODM makes decisions on resource allocation, assesses the performance of the business, and monitors budget versus actual results on a consolidated basis using loss from operations as reported on the Consolidated Statements of Operations and Comprehensive Loss. Net loss and the change in cash and cash equivalents and marketable securities are also measures that are considered in monitoring budget versus actual results.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expenses within loss from operations, as well as within net loss, include research and development, and selling, general and administrative expenses, which are each separately presented on the Company’s Consolidated Statements of Operations and Comprehensive Loss.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generated from domestic and international sales for the years ended December 31, 2024, 2023 and 2022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9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a party to the Amended and Restated Technology Services Agreement (the “ARTSA”), most recently amended on November 11, 2020, by and among 4Catalyzer Corporation (“4C”), the Company and other participant companies controlled by Dr. Jonathan Rothberg, the Chairman of the Company’s Board of Directors.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incurred expenses of $0.3 million, $0.5 million and $0.6 million, which included $0.1 million, $0.1 million and $0.2 million under month-to-month sublease arrangements for office and laboratory spaces from 4C, during the years ended December 31, 2024, 2023 and 2022, respectively. These amounts are included in Selling, general and administrative expenses in the Consolidated Statements of Operations and Comprehensive Loss. Amounts advanced and due to 4C were deemed immaterial as of December 31, 2024. There were no such amounts as of December 31, 2023. There were no amounts advanced and due from 4C as of December 31, 2024. Amounts advanced and due from 4C were deemed immaterial as of December 31,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ARTSA also provided for the participant companies to provide other services to each other. The Company also had transactions with other entities under common ownership, which included payments made to third parties on behalf of the Company and payments made by the Company to third parties on behalf of the other entities. There were no amounts payable to or from the Company as of December 31, 2024 and 2023.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recorded a final payment of $1.1 million under the Collaboration for all services rendered included in Selling, general and administrative expenses in the Consolidated Statements of Operations and Comprehensive Loss. There were no such amounts recorded for the years ended December 31, 2024 and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1, 2022, the Company entered into a Protein Engineering Collaboration (the “New Collaboration”) with Protein Evolution, Inc. (“PEI”) to develop technology and methods in the field of nanobodies and potentially other binders to produce novel biological reagents and related data. Dr. Rothberg serves as a member of the board of directors of PEI and the Rothberg family are controlling stockholders of PEI. As of December 31, 2024, there was no amount due from PEI to the Company related to the New Collaboration. As of December 31, 2023, the amount due to the Company was $0.3 million. The New Collaboration was terminated effective May 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November 1, 2022, the Company entered into an Advisory Agreement with Dr. Rothberg (the “Advisory Agreement”), pursuant to which Dr. Rothberg previously served as Chairman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in March 2023, the Company granted Dr. Rothberg an option to purchase 250,000 shares of Class A common stock pursuant to the 2021 Plan. In connection with the Advisory Agreement, Dr. Rothberg’s title was changed from Executive Chairman to Chairman of the Board. Subsequently, in May 2024, Dr. Rothberg’s title was changed from Chairman of the Board to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related to certain intellectual property: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certain intellectual property, some of which may be utilized in its current or future product offerings. To preserve the right to use such intellectual property, the Company is required to make annual minimum fixed payments totaling approximately $0.2 million as well as royalties based on net sales if the royalties exceed annual minimum fixed payments. As of December 31, 2024 and 2023, the Company recorded $0.2 million and $0.1 million related to royalties in Accrued expenses and other current liabilities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Contributions to the 401(k) plan are discretionary. The Company did not make any matching contributions to the 401(k) plan for the years ended December 31, 2024 and 2023.</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accrues contingent liabilities to the extent the liability is probable and estimable.</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May 16, 2024, a punitive class action lawsuit was filed in the Delaware Court of Chancery, styled </w:t>
      </w:r>
      <w:r>
        <w:rPr>
          <w:rFonts w:ascii="Times New Roman" w:cs="Times New Roman" w:eastAsia="Times New Roman" w:hAnsi="Times New Roman"/>
          <w:sz w:val="18"/>
          <w:szCs w:val="18"/>
          <w:i w:val="1"/>
          <w:iCs w:val="1"/>
          <w:color w:val="auto"/>
        </w:rPr>
        <w:t>Farzad v. HighCape Capital, et al.</w:t>
      </w:r>
      <w:r>
        <w:rPr>
          <w:rFonts w:ascii="Times New Roman" w:cs="Times New Roman" w:eastAsia="Times New Roman" w:hAnsi="Times New Roman"/>
          <w:sz w:val="18"/>
          <w:szCs w:val="18"/>
          <w:color w:val="auto"/>
        </w:rPr>
        <w:t xml:space="preserve"> (the “Delaware Stockholder Litigation”). The Delaware Stockholder Litigation asserts breach of fiduciary duty claims against the former officers and directors of HighCape, including Kevin Rakin, Matt Zuga, David Colpman, Robert Taub and Antony Loebel, HighCape Capital Acquisition LLC and HighCape Capital L.P., aiding and abetting breach of fiduciary duty claims against Foresite Capital Management, LLC and Dr. Rothberg, and unjust enrichment claims against all defendants related to the Business Combination. The Delaware Stockholder Litigation complaint alleges that the transactions contemplated by the Business Combination were a product of an unfair process which was allegedly impacted by conflicts of interest, resulting in mispricing of the Business Combination. The complaint seeks, among other things, unspecified damages and attorneys’ fees and costs. On July 29, 2024, the defendants filed motions to dismiss the Delaware Stockholder Litigation complaint. On October 8, 2024, the plaintiff filed a motion to compel discovery from the HighCape defendants. Then, on October 25, 2024, the plaintiff and the HighCape defendants met and conferred in an attempt to resolve the motion to compel. The plaintiff’s counsel also indicated they would be filing an amended complaint in response to the motions to dismiss. Quantum-Si, as part of the Business Combination, had previously agreed to identify certain of the defendants related to actions such as the Delaware Stockholder Litigation. There is no assurance that defendants will be successful in the defense of the litigation or that insurance will be available or adequate to fund any potential settlement or judgment or the litigation costs of the action. Further, since the Quantum-Si has indemnified certain of the defendants, there is no guarantee that insurance available to Quantum-Si will be available or adequate to fund any potential settlement or judgment or related costs associated with the indemnified parties. At the time of this filing, the outcome of this matter is not estimable or probable.</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2023, the Company informed the contract manufacturer that had manufactured the Platinum and another development product, Carbon™, that it intended to wind down the relationship and transition to a different contract manufacturer. In October 2023, the former contract manufacturer filed a complaint against the Company in the State of Texas alleging breach of contract and made claims for economic damage and attorney costs. In January 2024, the suit was withdrawn and refiled in the State of Minnesota alleging similar claims. The Company denied all liability and countersued alleging claims of negligence. In February 2025, the court ordered mandatory non-binding settlement conference to take place on June 11, 2025. Although it is not possible to determine the potential financial exposure associated with the alleged claim at this time given its early stage, the Company believes it has a meritorious defense and intends to vigorously defend against all claims asserted in the complaint. At the time of this filing, the outcome of this matter is not estimable or probable.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2021, the Company signed a 10-year lease for approximately 67,000 square feet of space in New Haven, Connecticut. The lease commenced on January 8, 2022 with rent payments beginning on July 7, 2022. Under the lease, the landlord agreed to reimburse the Company for up to $9.1 million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On January 10, 2025, the landlord filed a Motion for Summary Judgment, and the Company submitted a brief in opposition on February 14, 2025. Oral argument on the motion for summary judgment will be held in March 2025, and the trial is expected to commence in September 2025. The Company accounted for these lease incentives as an offset to the lease liability recorded at the inception of the lease. In September 2024, the Company determined there was a change in the estimated timing of receipt of reimbursements for the improvements. This resulted in an increase of the carrying value of the right-of-use asset and the corresponding lease liabilities of $1.0 million. Although the Company believes it is contractually entitled to the $9.1 million of lease incentives, based on the current status of the litigation, the Company cannot determine the likely outcome or estimate the impact on such carrying values.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Consolidated Statements of Operations and Comprehensive Loss in connection with the indemnification provisions have not been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the Company entered into a securities purchase agreement with certain institutional investors pursuant to which the Company agreed to issue and sell, in a registered direct offering (the “Registered Direct Offering”) an aggregate of 15,625,000 shares of the Company’s Class A common stock at a price of $3.20 per Share. The gross proceeds to the Company from the Registered Direct Offering were $50.0 million. After deducting estimated placement agents’ fees and other offering expenses payable by the Company, net proceeds were approximately $46.9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Registered Direct Offering, the Company entered into a placement agency agreement with A.G.P./Alliance Global Partners (the “Placement Agent”), pursuant to which the Placement Agent agreed to serve as the sole placement agent for the Company, on a reasonable best efforts basis. The Company agreed to pay the Placement Agent an aggregate cash fee equal to 6.0% of the gross proceeds received in the Registered Direct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previously disclosed on the Company’s Current Report on Form 8-K filed on June 7, 2024, on June 4, 2024, the Audit Committee of the Company’s Board of Directors dismissed Deloitte &amp; Touche LLP (“Deloitte”) and appointed PricewaterhouseCoopers LLP (“PwC”) as the Company’s independent registered public accounting firm for the fiscal year ended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2023 and 2022 and the subsequent interim period through June 4, 2024, there were no disagreements (as defined in Item 304(a)(1)(iv) of Regulation S-K and the related instructions to Item 304 of Regulation S-K) with Deloitte on any matter of accounting principles or practices, financial statement disclosure or auditing scope or procedure, which disagreements, if not resolved to the satisfaction of Deloitte, would have caused Deloitte to make reference to the subject matter of the disagreements in its audit reports on the Company’s consolidated financial statements for such years.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2023 and 2022 and in the subsequent interim period through June 4, 2024, there were no reportable events (as defined in Item 304(a)(1)(v) of Regulation S-K), except as follows:</w:t>
      </w:r>
    </w:p>
    <w:p>
      <w:pPr>
        <w:spacing w:after="0" w:line="162" w:lineRule="exact"/>
        <w:rPr>
          <w:sz w:val="20"/>
          <w:szCs w:val="20"/>
          <w:color w:val="auto"/>
        </w:rPr>
      </w:pPr>
    </w:p>
    <w:p>
      <w:pPr>
        <w:jc w:val="both"/>
        <w:ind w:left="660" w:hanging="328"/>
        <w:spacing w:after="0" w:line="258"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weaknesses in our internal control over financial reporting were disclosed in our 2022 filings with the Securities and Exchange Commission (1) related to inaccurate accounting for the Public Warrants and Private Warrants issued in connection with HighCape’s initial public offering and (2) Legacy Quantum-Si outsourced its accounting and financial reporting to a third-party service provider and did not have its own finance function or finance or accounting professionals that had the requisite experience or were in a position to appropriately perform the supervision and review of the information received from that third-party service provider.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reportable events were discussed among the Audit Committee and Deloitte. Deloitte has been authorized by the Company to respond fully to the inquiries of PwC, the successor independent registered public accounting firm, concerning these reportable events.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2023 and 2022 and the subsequent interim period through June 4, 2024, neither the Company nor anyone on its behalf has consulted with PwC with respect to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PwC concluded was an important factor considered by the Company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304(a)(1)(v) of Regulation 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refer to the Company’s Current Report on Form 8-K filed on June 7, 2024.</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our disclosure controls and procedures were effective as of 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principal executive officer and principal financial officer, we conducted an evaluation of the effectiveness of our internal control over financial reporting as of December 31, 2024 based on the guidelines established in the Internal Control—Integrated Framework (2013 framework) issued by the Committee of Sponsoring Organizations of the Treadway Commission (“COSO”). Internal control over financial reporting includes policies and procedures that provide reasonable assurance regarding the reliability of financial reporting and the preparation of financial statements for external reporting purposes in accordance with U.S. generally accepted accounting principles.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results of its evaluation, management concluded our internal control over financial reporting was effective as of December 31,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because we are a “non-accelerated filer,” and may take advantage of certain exemptions from various reporting requirements that are applicable to public companies that are accelerated filers, including, but not limited to, not being required to comply with the auditor attestation requirements of Section 404(b) of the Sarbanes-Oxley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December 31, 2024, none of our officers or directors adopted, modified or terminated any such trading arrangements.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headings “Management and Corporate Governance” and “Code of Conduct and Ethics” in our proxy statement for the 2025 annual meeting of stockholders (the “2025 Proxy Statement”).</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heading “Executive Compensation” in our 2025 Proxy Statement.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headings “Security Ownership of Certain Beneficial Owners and Management” and “Equity Compensation Plan Information” in our 2025 Proxy Statement.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headings “Certain Relationships and Related Person Transactions” and “Management and Corporate Governance” in our 2025 Proxy Statement.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heading “Ratification of Appointment of Independent Registered Public Accounting Firm” in our 2025 Proxy Statement.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820" w:hanging="245"/>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(included in Item 8 of this Annual Report on Form 10-K):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and the Reports of PricewaterhouseCoopers LLP and Deloitte &amp;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Touche LLP, Independent Registered Public Accounting Firms, are included in Part II, Item 8 of this Annual Report on Form 10-K:</w:t>
      </w:r>
    </w:p>
    <w:p>
      <w:pPr>
        <w:spacing w:after="0" w:line="207" w:lineRule="exact"/>
        <w:rPr>
          <w:sz w:val="20"/>
          <w:szCs w:val="20"/>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Firms - Pricewaterhouse Coopers LLC and Deloitte &amp; Touche LLP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2024 and 2023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Loss for the years ended December 31, 2024, 2023 and 2022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Stockholders’ Equity (Deficit) for the years ended December 31, 2024, 2023 and 2022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Financial Statement Schedules.</w:t>
      </w:r>
    </w:p>
    <w:p>
      <w:pPr>
        <w:spacing w:after="0" w:line="225" w:lineRule="exact"/>
        <w:rPr>
          <w:sz w:val="20"/>
          <w:szCs w:val="20"/>
          <w:color w:val="auto"/>
        </w:rPr>
      </w:pPr>
    </w:p>
    <w:p>
      <w:pPr>
        <w:ind w:left="580" w:firstLine="72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the Notes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exhibits required by Item 601 of Regulation S-K are listed in paragraph (b) below.</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or are incorporated by reference to exhibits filed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11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by</w:t>
            </w:r>
          </w:p>
        </w:tc>
        <w:tc>
          <w:tcPr>
            <w:tcW w:w="11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1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Herein from</w:t>
            </w:r>
          </w:p>
        </w:tc>
        <w:tc>
          <w:tcPr>
            <w:tcW w:w="1160" w:type="dxa"/>
            <w:vAlign w:val="bottom"/>
          </w:tcPr>
          <w:p>
            <w:pPr>
              <w:spacing w:after="0"/>
              <w:rPr>
                <w:sz w:val="18"/>
                <w:szCs w:val="18"/>
                <w:color w:val="auto"/>
              </w:rPr>
            </w:pPr>
          </w:p>
        </w:tc>
      </w:tr>
      <w:tr>
        <w:trPr>
          <w:trHeight w:val="216"/>
        </w:trPr>
        <w:tc>
          <w:tcPr>
            <w:tcW w:w="10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Form or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38"/>
        </w:trPr>
        <w:tc>
          <w:tcPr>
            <w:tcW w:w="10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94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1060" w:type="dxa"/>
            <w:vAlign w:val="bottom"/>
            <w:gridSpan w:val="6"/>
            <w:shd w:val="clear" w:color="auto" w:fill="CCEEFF"/>
          </w:tcPr>
          <w:p>
            <w:pPr>
              <w:jc w:val="center"/>
              <w:ind w:right="100"/>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59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Business Combination Agreement, dated as of February 18, 2021, by and</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11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2/18/2021</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among Quantum-Si Incorporated (formerly HighCape Capital Acquisition</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2.1)</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 Clay Merger Sub, Inc., and Q-SI Operations Inc. (formerly Quantum-Si</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1"/>
        </w:trPr>
        <w:tc>
          <w:tcPr>
            <w:tcW w:w="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Incorporated)</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03"/>
        </w:trPr>
        <w:tc>
          <w:tcPr>
            <w:tcW w:w="640" w:type="dxa"/>
            <w:vAlign w:val="bottom"/>
            <w:gridSpan w:val="4"/>
          </w:tcPr>
          <w:p>
            <w:pPr>
              <w:jc w:val="center"/>
              <w:ind w:left="250"/>
              <w:spacing w:after="0" w:line="202"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Second Amended and Restated Certificate of Incorporation of Quantum-Si</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Form 10-Q</w:t>
            </w:r>
          </w:p>
        </w:tc>
        <w:tc>
          <w:tcPr>
            <w:tcW w:w="11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8/7/2024</w:t>
            </w:r>
          </w:p>
        </w:tc>
      </w:tr>
      <w:tr>
        <w:trPr>
          <w:trHeight w:val="236"/>
        </w:trPr>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Incorporated, as amended.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3.1)</w:t>
            </w:r>
          </w:p>
        </w:tc>
        <w:tc>
          <w:tcPr>
            <w:tcW w:w="1160" w:type="dxa"/>
            <w:vAlign w:val="bottom"/>
          </w:tcPr>
          <w:p>
            <w:pPr>
              <w:spacing w:after="0"/>
              <w:rPr>
                <w:sz w:val="20"/>
                <w:szCs w:val="20"/>
                <w:color w:val="auto"/>
              </w:rPr>
            </w:pPr>
          </w:p>
        </w:tc>
      </w:tr>
      <w:tr>
        <w:trPr>
          <w:trHeight w:val="27"/>
        </w:trPr>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640" w:type="dxa"/>
            <w:vAlign w:val="bottom"/>
            <w:gridSpan w:val="4"/>
            <w:shd w:val="clear" w:color="auto" w:fill="CCEEFF"/>
          </w:tcPr>
          <w:p>
            <w:pPr>
              <w:jc w:val="center"/>
              <w:ind w:left="250"/>
              <w:spacing w:after="0" w:line="202"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3.2</w:t>
              </w:r>
            </w:hyperlink>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Certificate of Amendment to the Second Amended and Restated Certificate of</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1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5/16/2023</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Incorporation of the Registrant, as filed with the Secretary of State of the State</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3.1)</w:t>
            </w:r>
          </w:p>
        </w:tc>
        <w:tc>
          <w:tcPr>
            <w:tcW w:w="1160" w:type="dxa"/>
            <w:vAlign w:val="bottom"/>
            <w:tcBorders>
              <w:top w:val="single" w:sz="8" w:color="CCEEFF"/>
            </w:tcBorders>
            <w:shd w:val="clear" w:color="auto" w:fill="CCEEFF"/>
          </w:tcPr>
          <w:p>
            <w:pPr>
              <w:spacing w:after="0"/>
              <w:rPr>
                <w:sz w:val="18"/>
                <w:szCs w:val="18"/>
                <w:color w:val="auto"/>
              </w:rPr>
            </w:pPr>
          </w:p>
        </w:tc>
      </w:tr>
      <w:tr>
        <w:trPr>
          <w:trHeight w:val="241"/>
        </w:trPr>
        <w:tc>
          <w:tcPr>
            <w:tcW w:w="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Delaware on May 12, 2023.</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894"/>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ind w:left="446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25"/>
        </w:trPr>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6"/>
          </w:tcPr>
          <w:p>
            <w:pPr>
              <w:jc w:val="center"/>
              <w:ind w:left="250"/>
              <w:spacing w:after="0"/>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Amended and Restated Bylaws of Quantum-Si Incorporated</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Form 10-K</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3/1/2021</w:t>
            </w:r>
          </w:p>
        </w:tc>
      </w:tr>
      <w:tr>
        <w:trPr>
          <w:trHeight w:val="237"/>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(Exhibit 3.2)</w:t>
            </w: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640" w:type="dxa"/>
            <w:vAlign w:val="bottom"/>
            <w:gridSpan w:val="6"/>
            <w:shd w:val="clear" w:color="auto" w:fill="CCEEFF"/>
          </w:tcPr>
          <w:p>
            <w:pPr>
              <w:jc w:val="center"/>
              <w:ind w:left="250"/>
              <w:spacing w:after="0" w:line="202"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Description of Securities</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9"/>
              </w:rPr>
              <w:t>Form 10-K</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2/29/2024</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CCEEFF"/>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(Exhibit 4.1)</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40" w:type="dxa"/>
            <w:vAlign w:val="bottom"/>
            <w:gridSpan w:val="6"/>
          </w:tcPr>
          <w:p>
            <w:pPr>
              <w:jc w:val="center"/>
              <w:ind w:left="250"/>
              <w:spacing w:after="0" w:line="202"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Specimen Class A Common Stock Certificate</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S-4/A</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5/11/2021</w:t>
            </w:r>
          </w:p>
        </w:tc>
      </w:tr>
      <w:tr>
        <w:trPr>
          <w:trHeight w:val="237"/>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(Exhibit 4.1)</w:t>
            </w: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640" w:type="dxa"/>
            <w:vAlign w:val="bottom"/>
            <w:gridSpan w:val="6"/>
            <w:shd w:val="clear" w:color="auto" w:fill="CCEEFF"/>
          </w:tcPr>
          <w:p>
            <w:pPr>
              <w:jc w:val="center"/>
              <w:ind w:left="250"/>
              <w:spacing w:after="0" w:line="202"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4.3</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Warrant Agreement, dated as of September 3, 2020, by and between Quantum-</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9"/>
              </w:rPr>
              <w:t>9/9/2020</w:t>
            </w: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 Incorporated (formerly HighCape Capital Acquisition Corp.) and Continental</w:t>
            </w:r>
          </w:p>
        </w:tc>
        <w:tc>
          <w:tcPr>
            <w:tcW w:w="2300" w:type="dxa"/>
            <w:vAlign w:val="bottom"/>
            <w:tcBorders>
              <w:top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(Exhibit 4.1)</w:t>
            </w:r>
          </w:p>
        </w:tc>
        <w:tc>
          <w:tcPr>
            <w:tcW w:w="1260" w:type="dxa"/>
            <w:vAlign w:val="bottom"/>
            <w:tcBorders>
              <w:top w:val="single" w:sz="8" w:color="CCEEFF"/>
            </w:tcBorders>
            <w:shd w:val="clear" w:color="auto" w:fill="CCEEFF"/>
          </w:tcPr>
          <w:p>
            <w:pPr>
              <w:spacing w:after="0"/>
              <w:rPr>
                <w:sz w:val="18"/>
                <w:szCs w:val="18"/>
                <w:color w:val="auto"/>
              </w:rPr>
            </w:pPr>
          </w:p>
        </w:tc>
      </w:tr>
      <w:tr>
        <w:trPr>
          <w:trHeight w:val="241"/>
        </w:trPr>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Transfer &amp; Trust Company</w:t>
            </w:r>
          </w:p>
        </w:tc>
        <w:tc>
          <w:tcPr>
            <w:tcW w:w="2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3"/>
        </w:trPr>
        <w:tc>
          <w:tcPr>
            <w:tcW w:w="680" w:type="dxa"/>
            <w:vAlign w:val="bottom"/>
            <w:gridSpan w:val="7"/>
          </w:tcPr>
          <w:p>
            <w:pPr>
              <w:jc w:val="center"/>
              <w:ind w:left="190"/>
              <w:spacing w:after="0" w:line="20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PIPE Investor Subscription Agreement for institutional investors, dated</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2/18/2021</w:t>
            </w:r>
          </w:p>
        </w:tc>
      </w:tr>
      <w:tr>
        <w:trPr>
          <w:trHeight w:val="218"/>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February 18, 2021, by and between Quantum-Si Incorporated (formerly</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10.1)</w:t>
            </w:r>
          </w:p>
        </w:tc>
        <w:tc>
          <w:tcPr>
            <w:tcW w:w="12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HighCape Capital Acquisition Corp.) and the subscriber parties thereto</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680" w:type="dxa"/>
            <w:vAlign w:val="bottom"/>
            <w:gridSpan w:val="7"/>
            <w:shd w:val="clear" w:color="auto" w:fill="CCEEFF"/>
          </w:tcPr>
          <w:p>
            <w:pPr>
              <w:jc w:val="center"/>
              <w:ind w:left="190"/>
              <w:spacing w:after="0" w:line="20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10.2</w:t>
              </w:r>
            </w:hyperlink>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PIPE Investor Subscription Agreement for accredited investors, dated</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8"/>
              </w:rPr>
              <w:t>Form 8-K/A</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2/19/2021</w:t>
            </w: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 of February 18, 2021, by and between Quantum-Si Incorporated (formerly</w:t>
            </w:r>
          </w:p>
        </w:tc>
        <w:tc>
          <w:tcPr>
            <w:tcW w:w="2300" w:type="dxa"/>
            <w:vAlign w:val="bottom"/>
            <w:tcBorders>
              <w:top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10.2)</w:t>
            </w:r>
          </w:p>
        </w:tc>
        <w:tc>
          <w:tcPr>
            <w:tcW w:w="1260" w:type="dxa"/>
            <w:vAlign w:val="bottom"/>
            <w:tcBorders>
              <w:top w:val="single" w:sz="8" w:color="CCEEFF"/>
            </w:tcBorders>
            <w:shd w:val="clear" w:color="auto" w:fill="CCEEFF"/>
          </w:tcPr>
          <w:p>
            <w:pPr>
              <w:spacing w:after="0"/>
              <w:rPr>
                <w:sz w:val="18"/>
                <w:szCs w:val="18"/>
                <w:color w:val="auto"/>
              </w:rPr>
            </w:pPr>
          </w:p>
        </w:tc>
      </w:tr>
      <w:tr>
        <w:trPr>
          <w:trHeight w:val="241"/>
        </w:trPr>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HighCape Capital Acquisition Corp.) and the subscriber parties thereto</w:t>
            </w:r>
          </w:p>
        </w:tc>
        <w:tc>
          <w:tcPr>
            <w:tcW w:w="2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3"/>
        </w:trPr>
        <w:tc>
          <w:tcPr>
            <w:tcW w:w="680" w:type="dxa"/>
            <w:vAlign w:val="bottom"/>
            <w:gridSpan w:val="7"/>
          </w:tcPr>
          <w:p>
            <w:pPr>
              <w:jc w:val="center"/>
              <w:ind w:left="190"/>
              <w:spacing w:after="0" w:line="20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Subscription Agreement, dated as of February 18, 2021, by and</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8"/>
              </w:rPr>
              <w:t>Form 8-K/A</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2/19/2021</w:t>
            </w:r>
          </w:p>
        </w:tc>
      </w:tr>
      <w:tr>
        <w:trPr>
          <w:trHeight w:val="218"/>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between Quantum-Si Incorporated (formerly HighCape Capital Acquisition</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10.3)</w:t>
            </w:r>
          </w:p>
        </w:tc>
        <w:tc>
          <w:tcPr>
            <w:tcW w:w="12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 and the Foresite Funds</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680" w:type="dxa"/>
            <w:vAlign w:val="bottom"/>
            <w:gridSpan w:val="7"/>
            <w:shd w:val="clear" w:color="auto" w:fill="CCEEFF"/>
          </w:tcPr>
          <w:p>
            <w:pPr>
              <w:jc w:val="center"/>
              <w:ind w:left="190"/>
              <w:spacing w:after="0" w:line="20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Transaction Support Agreement, dated as of February 19, 2021, by and among</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2/22/2021</w:t>
            </w: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Quantum-Si Incorporated (formerly HighCape Capital Acquisition Corp.), and</w:t>
            </w:r>
          </w:p>
        </w:tc>
        <w:tc>
          <w:tcPr>
            <w:tcW w:w="2300" w:type="dxa"/>
            <w:vAlign w:val="bottom"/>
            <w:tcBorders>
              <w:top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10.1)</w:t>
            </w:r>
          </w:p>
        </w:tc>
        <w:tc>
          <w:tcPr>
            <w:tcW w:w="126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certain supporting stockholders of Q-SI Operations Inc. (formerly Quantum-Si</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Incorporated)</w:t>
            </w:r>
          </w:p>
        </w:tc>
        <w:tc>
          <w:tcPr>
            <w:tcW w:w="2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3"/>
        </w:trPr>
        <w:tc>
          <w:tcPr>
            <w:tcW w:w="680" w:type="dxa"/>
            <w:vAlign w:val="bottom"/>
            <w:gridSpan w:val="7"/>
          </w:tcPr>
          <w:p>
            <w:pPr>
              <w:jc w:val="center"/>
              <w:ind w:left="190"/>
              <w:spacing w:after="0" w:line="20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Sponsor Letter Agreement, dated as of February 18, 2021, by and among</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2/18/2021</w:t>
            </w:r>
          </w:p>
        </w:tc>
      </w:tr>
      <w:tr>
        <w:trPr>
          <w:trHeight w:val="218"/>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HighCape Capital Acquisition LLC, Deerfield Partners, L.P., Quantum-Si</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10.4)</w:t>
            </w:r>
          </w:p>
        </w:tc>
        <w:tc>
          <w:tcPr>
            <w:tcW w:w="12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(formerly HighCape Capital Acquisition Corp.) and Q-SI</w:t>
            </w: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Inc. (formerly Quantum-Si Incorporated)</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800" w:type="dxa"/>
            <w:vAlign w:val="bottom"/>
            <w:gridSpan w:val="9"/>
            <w:shd w:val="clear" w:color="auto" w:fill="CCEEFF"/>
          </w:tcPr>
          <w:p>
            <w:pPr>
              <w:jc w:val="center"/>
              <w:ind w:left="90"/>
              <w:spacing w:after="0" w:line="20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Advisory Agreement, dated as of November 1, 2022, by and between Quantum-</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9"/>
              </w:rPr>
              <w:t>Form 10-K</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3/17/2023</w:t>
            </w:r>
          </w:p>
        </w:tc>
      </w:tr>
      <w:tr>
        <w:trPr>
          <w:trHeight w:val="244"/>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 Incorporated and Jonathan M. Rothberg, Ph.D.</w:t>
            </w:r>
          </w:p>
        </w:tc>
        <w:tc>
          <w:tcPr>
            <w:tcW w:w="2300" w:type="dxa"/>
            <w:vAlign w:val="bottom"/>
            <w:tcBorders>
              <w:top w:val="single" w:sz="8" w:color="CCEEFF"/>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(Exhibit 10.6+)</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00" w:type="dxa"/>
            <w:vAlign w:val="bottom"/>
            <w:gridSpan w:val="9"/>
          </w:tcPr>
          <w:p>
            <w:pPr>
              <w:jc w:val="center"/>
              <w:ind w:left="90"/>
              <w:spacing w:after="0" w:line="20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140" w:type="dxa"/>
            <w:vAlign w:val="bottom"/>
          </w:tcPr>
          <w:p>
            <w:pPr>
              <w:spacing w:after="0"/>
              <w:rPr>
                <w:sz w:val="17"/>
                <w:szCs w:val="17"/>
                <w:color w:val="auto"/>
              </w:rPr>
            </w:pP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Offer Letter of Employment, dated as of October 2, 2022, by and between</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10/4/2022</w:t>
            </w:r>
          </w:p>
        </w:tc>
      </w:tr>
      <w:tr>
        <w:trPr>
          <w:trHeight w:val="237"/>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Quantum-Si Incorporated and Jeffrey Hawkins</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10.1)</w:t>
            </w: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800" w:type="dxa"/>
            <w:vAlign w:val="bottom"/>
            <w:gridSpan w:val="9"/>
            <w:shd w:val="clear" w:color="auto" w:fill="CCEEFF"/>
          </w:tcPr>
          <w:p>
            <w:pPr>
              <w:jc w:val="center"/>
              <w:ind w:left="90"/>
              <w:spacing w:after="0" w:line="20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1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Offer Letter of Employment, dated as of April 27, 2023, by and between</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9"/>
              </w:rPr>
              <w:t>5/2/2023</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Quantum-Si Incorporated and Jeffry Keyes</w:t>
            </w:r>
          </w:p>
        </w:tc>
        <w:tc>
          <w:tcPr>
            <w:tcW w:w="2300" w:type="dxa"/>
            <w:vAlign w:val="bottom"/>
            <w:tcBorders>
              <w:top w:val="single" w:sz="8" w:color="CCEEFF"/>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10.1)</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00" w:type="dxa"/>
            <w:vAlign w:val="bottom"/>
            <w:gridSpan w:val="8"/>
          </w:tcPr>
          <w:p>
            <w:pPr>
              <w:jc w:val="center"/>
              <w:ind w:left="190"/>
              <w:spacing w:after="0" w:line="20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Offer Letter of Employment, dated as of November 4, 2020, by and between Q-</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9"/>
              </w:rPr>
              <w:t>Form 10-K</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9"/>
              </w:rPr>
              <w:t>3/1/2022</w:t>
            </w:r>
          </w:p>
        </w:tc>
      </w:tr>
      <w:tr>
        <w:trPr>
          <w:trHeight w:val="218"/>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 Operations Inc. (formerly Quantum-Si Incorporated) and Christian LaPointe,</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(Exhibit 10.12+)</w:t>
            </w:r>
          </w:p>
        </w:tc>
        <w:tc>
          <w:tcPr>
            <w:tcW w:w="12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Ph.D., as supplemented by the Letter Agreement, dated as of February 16, 2021,</w:t>
            </w: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and between Q-SI Operations Inc. and Christian LaPointe, Ph.D.</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700" w:type="dxa"/>
            <w:vAlign w:val="bottom"/>
            <w:gridSpan w:val="8"/>
            <w:shd w:val="clear" w:color="auto" w:fill="CCEEFF"/>
          </w:tcPr>
          <w:p>
            <w:pPr>
              <w:jc w:val="center"/>
              <w:ind w:left="170"/>
              <w:spacing w:after="0" w:line="202" w:lineRule="exact"/>
              <w:rPr>
                <w:sz w:val="20"/>
                <w:szCs w:val="20"/>
                <w:color w:val="auto"/>
              </w:rPr>
            </w:pPr>
            <w:r>
              <w:rPr>
                <w:rFonts w:ascii="Times New Roman" w:cs="Times New Roman" w:eastAsia="Times New Roman" w:hAnsi="Times New Roman"/>
                <w:sz w:val="18"/>
                <w:szCs w:val="18"/>
                <w:color w:val="0000FF"/>
                <w:w w:val="98"/>
              </w:rPr>
              <w:t>10.10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Technology and Services Exchange Agreement, dated as of February 17, 2021,</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9"/>
              </w:rPr>
              <w:t>Form 10-Q</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7"/>
              </w:rPr>
              <w:t>11/15/2021</w:t>
            </w: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and among Q-SI Operations Inc. (formerly Quantum-Si Incorporated) and the</w:t>
            </w:r>
          </w:p>
        </w:tc>
        <w:tc>
          <w:tcPr>
            <w:tcW w:w="2300" w:type="dxa"/>
            <w:vAlign w:val="bottom"/>
            <w:tcBorders>
              <w:top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10.1)</w:t>
            </w:r>
          </w:p>
        </w:tc>
        <w:tc>
          <w:tcPr>
            <w:tcW w:w="1260" w:type="dxa"/>
            <w:vAlign w:val="bottom"/>
            <w:tcBorders>
              <w:top w:val="single" w:sz="8" w:color="CCEEFF"/>
            </w:tcBorders>
            <w:shd w:val="clear" w:color="auto" w:fill="CCEEFF"/>
          </w:tcPr>
          <w:p>
            <w:pPr>
              <w:spacing w:after="0"/>
              <w:rPr>
                <w:sz w:val="18"/>
                <w:szCs w:val="18"/>
                <w:color w:val="auto"/>
              </w:rPr>
            </w:pPr>
          </w:p>
        </w:tc>
      </w:tr>
      <w:tr>
        <w:trPr>
          <w:trHeight w:val="241"/>
        </w:trPr>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participants named therein</w:t>
            </w:r>
          </w:p>
        </w:tc>
        <w:tc>
          <w:tcPr>
            <w:tcW w:w="2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3"/>
        </w:trPr>
        <w:tc>
          <w:tcPr>
            <w:tcW w:w="700" w:type="dxa"/>
            <w:vAlign w:val="bottom"/>
            <w:gridSpan w:val="8"/>
          </w:tcPr>
          <w:p>
            <w:pPr>
              <w:jc w:val="center"/>
              <w:ind w:left="170"/>
              <w:spacing w:after="0" w:line="202"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Protein Engineering Collaboration Agreement, dated as of March 13, 2023, by</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9"/>
              </w:rPr>
              <w:t>Form 10-K</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3/17/2023</w:t>
            </w:r>
          </w:p>
        </w:tc>
      </w:tr>
      <w:tr>
        <w:trPr>
          <w:trHeight w:val="237"/>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between Quantum-Si Incorporated and Protein Evolution, Inc.</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(Exhibit 10.14)</w:t>
            </w: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940" w:type="dxa"/>
            <w:vAlign w:val="bottom"/>
            <w:gridSpan w:val="10"/>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10.</w:t>
              </w:r>
            </w:hyperlink>
            <w:r>
              <w:rPr>
                <w:rFonts w:ascii="Times New Roman" w:cs="Times New Roman" w:eastAsia="Times New Roman" w:hAnsi="Times New Roman"/>
                <w:sz w:val="18"/>
                <w:szCs w:val="18"/>
                <w:u w:val="single" w:color="auto"/>
                <w:color w:val="0000EE"/>
                <w:w w:val="99"/>
              </w:rPr>
              <w:t>12.1+</w:t>
            </w:r>
          </w:p>
        </w:tc>
        <w:tc>
          <w:tcPr>
            <w:tcW w:w="6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Quantum-Si Incorporated 2021 Equity Incentive Plan</w:t>
            </w:r>
          </w:p>
        </w:tc>
        <w:tc>
          <w:tcPr>
            <w:tcW w:w="2300" w:type="dxa"/>
            <w:vAlign w:val="bottom"/>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6/15/2021</w:t>
            </w:r>
          </w:p>
        </w:tc>
      </w:tr>
      <w:tr>
        <w:trPr>
          <w:trHeight w:val="244"/>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CCEEFF"/>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(Exhibit 10.13.1)</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2"/>
        </w:trPr>
        <w:tc>
          <w:tcPr>
            <w:tcW w:w="940" w:type="dxa"/>
            <w:vAlign w:val="bottom"/>
            <w:gridSpan w:val="10"/>
          </w:tcPr>
          <w:p>
            <w:pPr>
              <w:jc w:val="center"/>
              <w:spacing w:after="0" w:line="202"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10.</w:t>
              </w:r>
            </w:hyperlink>
            <w:r>
              <w:rPr>
                <w:rFonts w:ascii="Times New Roman" w:cs="Times New Roman" w:eastAsia="Times New Roman" w:hAnsi="Times New Roman"/>
                <w:sz w:val="18"/>
                <w:szCs w:val="18"/>
                <w:u w:val="single" w:color="auto"/>
                <w:color w:val="0000EE"/>
                <w:w w:val="99"/>
              </w:rPr>
              <w:t>12.2+</w:t>
            </w:r>
          </w:p>
        </w:tc>
        <w:tc>
          <w:tcPr>
            <w:tcW w:w="6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Stock Option Agreement under 2021 Equity Incentive Plan</w:t>
            </w:r>
          </w:p>
        </w:tc>
        <w:tc>
          <w:tcPr>
            <w:tcW w:w="2300" w:type="dxa"/>
            <w:vAlign w:val="bottom"/>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6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6/15/2021</w:t>
            </w:r>
          </w:p>
        </w:tc>
      </w:tr>
      <w:tr>
        <w:trPr>
          <w:trHeight w:val="236"/>
        </w:trPr>
        <w:tc>
          <w:tcPr>
            <w:tcW w:w="16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(Exhibit 10.13.2)</w:t>
            </w:r>
          </w:p>
        </w:tc>
        <w:tc>
          <w:tcPr>
            <w:tcW w:w="1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9"/>
            <w:shd w:val="clear" w:color="auto" w:fill="CCEEFF"/>
          </w:tcPr>
          <w:p>
            <w:pPr>
              <w:jc w:val="cente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10.</w:t>
              </w:r>
            </w:hyperlink>
            <w:r>
              <w:rPr>
                <w:rFonts w:ascii="Times New Roman" w:cs="Times New Roman" w:eastAsia="Times New Roman" w:hAnsi="Times New Roman"/>
                <w:sz w:val="18"/>
                <w:szCs w:val="18"/>
                <w:u w:val="single" w:color="auto"/>
                <w:color w:val="0000EE"/>
                <w:w w:val="99"/>
              </w:rPr>
              <w:t>12.3+</w:t>
            </w: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Restricted Stock Unit Agreement under 2021 Equity Incentive Plan</w:t>
            </w:r>
          </w:p>
        </w:tc>
        <w:tc>
          <w:tcPr>
            <w:tcW w:w="28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2/29/2024</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3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10.13.3+)</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940" w:type="dxa"/>
            <w:vAlign w:val="bottom"/>
            <w:gridSpan w:val="9"/>
          </w:tcPr>
          <w:p>
            <w:pPr>
              <w:jc w:val="center"/>
              <w:spacing w:after="0" w:line="202"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10.</w:t>
              </w:r>
            </w:hyperlink>
            <w:r>
              <w:rPr>
                <w:rFonts w:ascii="Times New Roman" w:cs="Times New Roman" w:eastAsia="Times New Roman" w:hAnsi="Times New Roman"/>
                <w:sz w:val="18"/>
                <w:szCs w:val="18"/>
                <w:u w:val="single" w:color="auto"/>
                <w:color w:val="0000EE"/>
                <w:w w:val="99"/>
              </w:rPr>
              <w:t>13.1+</w:t>
            </w: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Q-SI Operations Inc. 2013 Employee, Director and Consultant Equity Incentive</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6/15/2021</w:t>
            </w:r>
          </w:p>
        </w:tc>
      </w:tr>
      <w:tr>
        <w:trPr>
          <w:trHeight w:val="237"/>
        </w:trPr>
        <w:tc>
          <w:tcPr>
            <w:tcW w:w="1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as amended</w:t>
            </w: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(Exhibit 10.14.1)</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940" w:type="dxa"/>
            <w:vAlign w:val="bottom"/>
            <w:gridSpan w:val="9"/>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10.</w:t>
              </w:r>
            </w:hyperlink>
            <w:r>
              <w:rPr>
                <w:rFonts w:ascii="Times New Roman" w:cs="Times New Roman" w:eastAsia="Times New Roman" w:hAnsi="Times New Roman"/>
                <w:sz w:val="18"/>
                <w:szCs w:val="18"/>
                <w:u w:val="single" w:color="auto"/>
                <w:color w:val="0000EE"/>
                <w:w w:val="99"/>
              </w:rPr>
              <w:t>13.2+</w:t>
            </w: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Stock Option Agreement under 2013 Employee, Director and</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6/15/2021</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3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Consultant Equity Incentive Plan, as amended</w:t>
            </w: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(Exhibit 10.14.2)</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940" w:type="dxa"/>
            <w:vAlign w:val="bottom"/>
            <w:gridSpan w:val="9"/>
          </w:tcPr>
          <w:p>
            <w:pPr>
              <w:jc w:val="center"/>
              <w:spacing w:after="0" w:line="202"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10.</w:t>
              </w:r>
            </w:hyperlink>
            <w:r>
              <w:rPr>
                <w:rFonts w:ascii="Times New Roman" w:cs="Times New Roman" w:eastAsia="Times New Roman" w:hAnsi="Times New Roman"/>
                <w:sz w:val="18"/>
                <w:szCs w:val="18"/>
                <w:u w:val="single" w:color="auto"/>
                <w:color w:val="0000EE"/>
                <w:w w:val="99"/>
              </w:rPr>
              <w:t>13.3+</w:t>
            </w: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Restricted Stock Unit Agreement under 2013 Employee, Director and</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6/15/2021</w:t>
            </w:r>
          </w:p>
        </w:tc>
      </w:tr>
      <w:tr>
        <w:trPr>
          <w:trHeight w:val="237"/>
        </w:trPr>
        <w:tc>
          <w:tcPr>
            <w:tcW w:w="1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Consultant Equity Incentive Plan, as amended</w:t>
            </w: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(Exhibit 10.14.3)</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00" w:type="dxa"/>
            <w:vAlign w:val="bottom"/>
            <w:gridSpan w:val="8"/>
            <w:shd w:val="clear" w:color="auto" w:fill="CCEEFF"/>
          </w:tcPr>
          <w:p>
            <w:pPr>
              <w:jc w:val="center"/>
              <w:ind w:left="90"/>
              <w:spacing w:after="0" w:line="202"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14+</w:t>
            </w: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Performance-Based Non-Qualified Stock Option Agreement</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S-8</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11/10/2022</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99.1)</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00" w:type="dxa"/>
            <w:vAlign w:val="bottom"/>
            <w:gridSpan w:val="8"/>
          </w:tcPr>
          <w:p>
            <w:pPr>
              <w:jc w:val="center"/>
              <w:ind w:left="90"/>
              <w:spacing w:after="0" w:line="202"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15+</w:t>
            </w: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Nonemployee Director Compensation Policy</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2/29/2024</w:t>
            </w:r>
          </w:p>
        </w:tc>
      </w:tr>
      <w:tr>
        <w:trPr>
          <w:trHeight w:val="237"/>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(Exhibit 10.16+)</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00" w:type="dxa"/>
            <w:vAlign w:val="bottom"/>
            <w:gridSpan w:val="8"/>
            <w:shd w:val="clear" w:color="auto" w:fill="CCEEFF"/>
          </w:tcPr>
          <w:p>
            <w:pPr>
              <w:jc w:val="center"/>
              <w:ind w:left="90"/>
              <w:spacing w:after="0" w:line="202"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16+</w:t>
            </w: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Indemnification Agreement</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6/15/2021</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10.16)</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7"/>
          </w:tcPr>
          <w:p>
            <w:pPr>
              <w:jc w:val="center"/>
              <w:ind w:left="130"/>
              <w:spacing w:after="0" w:line="202"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Amended and Restated Registration Rights Agreement, dated as of June 10,</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6/15/2021</w:t>
            </w:r>
          </w:p>
        </w:tc>
      </w:tr>
      <w:tr>
        <w:trPr>
          <w:trHeight w:val="218"/>
        </w:trPr>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 by and among Quantum-Si Incorporated (formerly HighCape Capital</w:t>
            </w: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10.17)</w:t>
            </w:r>
          </w:p>
        </w:tc>
        <w:tc>
          <w:tcPr>
            <w:tcW w:w="12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Corp.) and certain of its securityholders</w:t>
            </w:r>
          </w:p>
        </w:tc>
        <w:tc>
          <w:tcPr>
            <w:tcW w:w="28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ind w:left="130"/>
              <w:spacing w:after="0" w:line="202"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Lease Agreement between Quantum-Si Incorporated and BP3-SD5 5510</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6/24/2021</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Morehouse Drive LLC, dated June 18, 2021</w:t>
            </w: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10.1)</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7"/>
          </w:tcPr>
          <w:p>
            <w:pPr>
              <w:jc w:val="center"/>
              <w:ind w:left="130"/>
              <w:spacing w:after="0" w:line="202"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Lease Agreement between Quantum-Si Incorporated and Winchester Office</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1/24/2022</w:t>
            </w:r>
          </w:p>
        </w:tc>
      </w:tr>
      <w:tr>
        <w:trPr>
          <w:trHeight w:val="237"/>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 dated December 28, 2021</w:t>
            </w: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10.1)</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00" w:type="dxa"/>
            <w:vAlign w:val="bottom"/>
            <w:gridSpan w:val="8"/>
            <w:shd w:val="clear" w:color="auto" w:fill="CCEEFF"/>
          </w:tcPr>
          <w:p>
            <w:pPr>
              <w:jc w:val="center"/>
              <w:ind w:left="90"/>
              <w:spacing w:after="0" w:line="202"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Quantum-Si Incorporated Executive Severance Plan, effective November 1,</w:t>
            </w:r>
          </w:p>
        </w:tc>
        <w:tc>
          <w:tcPr>
            <w:tcW w:w="2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1240" w:type="dxa"/>
            <w:vAlign w:val="bottom"/>
            <w:shd w:val="clear" w:color="auto" w:fill="CCEEFF"/>
          </w:tcPr>
          <w:p>
            <w:pPr>
              <w:spacing w:after="0"/>
              <w:rPr>
                <w:sz w:val="17"/>
                <w:szCs w:val="17"/>
                <w:color w:val="auto"/>
              </w:rPr>
            </w:pPr>
          </w:p>
        </w:tc>
      </w:tr>
      <w:tr>
        <w:trPr>
          <w:trHeight w:val="244"/>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00" w:type="dxa"/>
            <w:vAlign w:val="bottom"/>
            <w:gridSpan w:val="8"/>
          </w:tcPr>
          <w:p>
            <w:pPr>
              <w:jc w:val="center"/>
              <w:ind w:left="70"/>
              <w:spacing w:after="0" w:line="202"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10.</w:t>
              </w:r>
            </w:hyperlink>
            <w:r>
              <w:rPr>
                <w:rFonts w:ascii="Times New Roman" w:cs="Times New Roman" w:eastAsia="Times New Roman" w:hAnsi="Times New Roman"/>
                <w:sz w:val="18"/>
                <w:szCs w:val="18"/>
                <w:u w:val="single" w:color="auto"/>
                <w:color w:val="0000FF"/>
                <w:w w:val="99"/>
              </w:rPr>
              <w:t>21.1+</w:t>
            </w: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2023 Inducement Equity Incentive Plan, as amended</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11/12/2024</w:t>
            </w:r>
          </w:p>
        </w:tc>
      </w:tr>
      <w:tr>
        <w:trPr>
          <w:trHeight w:val="237"/>
        </w:trPr>
        <w:tc>
          <w:tcPr>
            <w:tcW w:w="16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(Exhibit 10.3+)</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00" w:type="dxa"/>
            <w:vAlign w:val="bottom"/>
            <w:gridSpan w:val="8"/>
            <w:shd w:val="clear" w:color="auto" w:fill="CCEEFF"/>
          </w:tcPr>
          <w:p>
            <w:pPr>
              <w:jc w:val="center"/>
              <w:ind w:left="70"/>
              <w:spacing w:after="0" w:line="202"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10.</w:t>
              </w:r>
            </w:hyperlink>
            <w:r>
              <w:rPr>
                <w:rFonts w:ascii="Times New Roman" w:cs="Times New Roman" w:eastAsia="Times New Roman" w:hAnsi="Times New Roman"/>
                <w:sz w:val="18"/>
                <w:szCs w:val="18"/>
                <w:u w:val="single" w:color="auto"/>
                <w:color w:val="0000FF"/>
                <w:w w:val="99"/>
              </w:rPr>
              <w:t>21.2+</w:t>
            </w: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Restricted Stock Agreement under the 2023 Inducement Equity</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11/12/2024</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Incentive Plan</w:t>
            </w: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(Exhibit 10.3.1+)</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00" w:type="dxa"/>
            <w:vAlign w:val="bottom"/>
            <w:gridSpan w:val="8"/>
          </w:tcPr>
          <w:p>
            <w:pPr>
              <w:jc w:val="center"/>
              <w:ind w:left="70"/>
              <w:spacing w:after="0" w:line="202"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10.</w:t>
              </w:r>
            </w:hyperlink>
            <w:r>
              <w:rPr>
                <w:rFonts w:ascii="Times New Roman" w:cs="Times New Roman" w:eastAsia="Times New Roman" w:hAnsi="Times New Roman"/>
                <w:sz w:val="18"/>
                <w:szCs w:val="18"/>
                <w:u w:val="single" w:color="auto"/>
                <w:color w:val="0000EE"/>
                <w:w w:val="99"/>
              </w:rPr>
              <w:t>21.3+</w:t>
            </w: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Stock Option Agreement under the 2023 Inducement Equity Incentive</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S-8</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7/20/2023</w:t>
            </w:r>
          </w:p>
        </w:tc>
      </w:tr>
      <w:tr>
        <w:trPr>
          <w:trHeight w:val="237"/>
        </w:trPr>
        <w:tc>
          <w:tcPr>
            <w:tcW w:w="1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99.2)</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00" w:type="dxa"/>
            <w:vAlign w:val="bottom"/>
            <w:gridSpan w:val="8"/>
            <w:shd w:val="clear" w:color="auto" w:fill="CCEEFF"/>
          </w:tcPr>
          <w:p>
            <w:pPr>
              <w:jc w:val="center"/>
              <w:ind w:left="90"/>
              <w:spacing w:after="0" w:line="202" w:lineRule="exact"/>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22+</w:t>
            </w: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Letter of Employment, dated as of August 12, 2024, by and between Quantum-</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11/12/2024</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 Incorporated and John Vieceli</w:t>
            </w: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(Exhibit 10.1+)</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00" w:type="dxa"/>
            <w:vAlign w:val="bottom"/>
            <w:gridSpan w:val="8"/>
          </w:tcPr>
          <w:p>
            <w:pPr>
              <w:jc w:val="center"/>
              <w:ind w:left="90"/>
              <w:spacing w:after="0" w:line="202"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23+</w:t>
            </w: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Offer Letter of Employment, dated as of August 22, 2024, by and between</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11/12/2024</w:t>
            </w:r>
          </w:p>
        </w:tc>
      </w:tr>
      <w:tr>
        <w:trPr>
          <w:trHeight w:val="237"/>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Quantum-Si Incorporated and Todd Bennett</w:t>
            </w: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(Exhibit 10.2+)</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ind w:left="130"/>
              <w:spacing w:after="0" w:line="202"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Sales Agreement, dated December 11, 2024, by and between Quantum-Si</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12/11/2024</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Incorporated and Canaccord Genuity LLC</w:t>
            </w: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10.1)</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7"/>
          </w:tcPr>
          <w:p>
            <w:pPr>
              <w:jc w:val="center"/>
              <w:ind w:left="130"/>
              <w:spacing w:after="0" w:line="202" w:lineRule="exact"/>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Securities Purchase Agreement, by and among the Company and the</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1/6/2025</w:t>
            </w:r>
          </w:p>
        </w:tc>
      </w:tr>
      <w:tr>
        <w:trPr>
          <w:trHeight w:val="237"/>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Purchasers</w:t>
            </w: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10.1)</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ind w:left="130"/>
              <w:spacing w:after="0" w:line="202"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Placement Agency Agreement between the Company and the Placement Agent</w:t>
            </w:r>
          </w:p>
        </w:tc>
        <w:tc>
          <w:tcPr>
            <w:tcW w:w="2840" w:type="dxa"/>
            <w:vAlign w:val="bottom"/>
            <w:shd w:val="clear" w:color="auto" w:fill="CCEEFF"/>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1/6/2025</w:t>
            </w:r>
          </w:p>
        </w:tc>
      </w:tr>
      <w:tr>
        <w:trPr>
          <w:trHeight w:val="243"/>
        </w:trPr>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CCEEFF"/>
              <w:bottom w:val="single" w:sz="8" w:color="CCEEFF"/>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10.2)</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80" w:type="dxa"/>
            <w:vAlign w:val="bottom"/>
            <w:gridSpan w:val="6"/>
          </w:tcPr>
          <w:p>
            <w:pPr>
              <w:jc w:val="center"/>
              <w:ind w:left="190"/>
              <w:spacing w:after="0" w:line="20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1</w:t>
              </w:r>
            </w:hyperlink>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Letter from Deloitte &amp; Touche LLP, dated June 7, 2024.</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6/7/2024</w:t>
            </w:r>
          </w:p>
        </w:tc>
      </w:tr>
      <w:tr>
        <w:trPr>
          <w:trHeight w:val="237"/>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16.1)</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20" w:type="dxa"/>
            <w:vAlign w:val="bottom"/>
            <w:gridSpan w:val="4"/>
            <w:shd w:val="clear" w:color="auto" w:fill="CCEEFF"/>
          </w:tcPr>
          <w:p>
            <w:pPr>
              <w:spacing w:after="0"/>
              <w:rPr>
                <w:sz w:val="17"/>
                <w:szCs w:val="17"/>
                <w:color w:val="auto"/>
              </w:rPr>
            </w:pPr>
          </w:p>
        </w:tc>
        <w:tc>
          <w:tcPr>
            <w:tcW w:w="360" w:type="dxa"/>
            <w:vAlign w:val="bottom"/>
            <w:gridSpan w:val="2"/>
            <w:shd w:val="clear" w:color="auto" w:fill="CCEEFF"/>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Insider Trading Policy, effective February 2025</w:t>
            </w:r>
          </w:p>
        </w:tc>
        <w:tc>
          <w:tcPr>
            <w:tcW w:w="2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1240" w:type="dxa"/>
            <w:vAlign w:val="bottom"/>
            <w:shd w:val="clear" w:color="auto" w:fill="CCEEFF"/>
          </w:tcPr>
          <w:p>
            <w:pPr>
              <w:spacing w:after="0"/>
              <w:rPr>
                <w:sz w:val="17"/>
                <w:szCs w:val="17"/>
                <w:color w:val="auto"/>
              </w:rPr>
            </w:pPr>
          </w:p>
        </w:tc>
      </w:tr>
      <w:tr>
        <w:trPr>
          <w:trHeight w:val="48"/>
        </w:trPr>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2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320" w:type="dxa"/>
            <w:vAlign w:val="bottom"/>
            <w:gridSpan w:val="4"/>
          </w:tcPr>
          <w:p>
            <w:pPr>
              <w:spacing w:after="0"/>
              <w:rPr>
                <w:sz w:val="17"/>
                <w:szCs w:val="17"/>
                <w:color w:val="auto"/>
              </w:rPr>
            </w:pPr>
          </w:p>
        </w:tc>
        <w:tc>
          <w:tcPr>
            <w:tcW w:w="360" w:type="dxa"/>
            <w:vAlign w:val="bottom"/>
            <w:gridSpan w:val="2"/>
          </w:tcPr>
          <w:p>
            <w:pPr>
              <w:jc w:val="center"/>
              <w:ind w:right="40"/>
              <w:spacing w:after="0" w:line="20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List of Subsidiaries</w:t>
            </w:r>
          </w:p>
        </w:tc>
        <w:tc>
          <w:tcPr>
            <w:tcW w:w="2840" w:type="dxa"/>
            <w:vAlign w:val="bottom"/>
          </w:tcPr>
          <w:p>
            <w:pPr>
              <w:jc w:val="center"/>
              <w:ind w:left="910"/>
              <w:spacing w:after="0" w:line="202" w:lineRule="exact"/>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3/17/2023</w:t>
            </w:r>
          </w:p>
        </w:tc>
      </w:tr>
      <w:tr>
        <w:trPr>
          <w:trHeight w:val="236"/>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8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(Exhibit 21.1)</w:t>
            </w:r>
          </w:p>
        </w:tc>
        <w:tc>
          <w:tcPr>
            <w:tcW w:w="12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20" w:type="dxa"/>
            <w:vAlign w:val="bottom"/>
            <w:gridSpan w:val="4"/>
            <w:shd w:val="clear" w:color="auto" w:fill="CCEEFF"/>
          </w:tcPr>
          <w:p>
            <w:pPr>
              <w:spacing w:after="0"/>
              <w:rPr>
                <w:sz w:val="17"/>
                <w:szCs w:val="17"/>
                <w:color w:val="auto"/>
              </w:rPr>
            </w:pPr>
          </w:p>
        </w:tc>
        <w:tc>
          <w:tcPr>
            <w:tcW w:w="360" w:type="dxa"/>
            <w:vAlign w:val="bottom"/>
            <w:gridSpan w:val="2"/>
            <w:shd w:val="clear" w:color="auto" w:fill="CCEEFF"/>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Consent of PricewaterhouseCoopers LLP</w:t>
            </w:r>
          </w:p>
        </w:tc>
        <w:tc>
          <w:tcPr>
            <w:tcW w:w="2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1240" w:type="dxa"/>
            <w:vAlign w:val="bottom"/>
            <w:shd w:val="clear" w:color="auto" w:fill="CCEEFF"/>
          </w:tcPr>
          <w:p>
            <w:pPr>
              <w:spacing w:after="0"/>
              <w:rPr>
                <w:sz w:val="17"/>
                <w:szCs w:val="17"/>
                <w:color w:val="auto"/>
              </w:rPr>
            </w:pPr>
          </w:p>
        </w:tc>
      </w:tr>
      <w:tr>
        <w:trPr>
          <w:trHeight w:val="48"/>
        </w:trPr>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2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320" w:type="dxa"/>
            <w:vAlign w:val="bottom"/>
            <w:gridSpan w:val="4"/>
          </w:tcPr>
          <w:p>
            <w:pPr>
              <w:spacing w:after="0"/>
              <w:rPr>
                <w:sz w:val="17"/>
                <w:szCs w:val="17"/>
                <w:color w:val="auto"/>
              </w:rPr>
            </w:pPr>
          </w:p>
        </w:tc>
        <w:tc>
          <w:tcPr>
            <w:tcW w:w="36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Consent of Deloitte &amp; Touche LLP</w:t>
            </w:r>
          </w:p>
        </w:tc>
        <w:tc>
          <w:tcPr>
            <w:tcW w:w="28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1240" w:type="dxa"/>
            <w:vAlign w:val="bottom"/>
          </w:tcPr>
          <w:p>
            <w:pPr>
              <w:spacing w:after="0"/>
              <w:rPr>
                <w:sz w:val="17"/>
                <w:szCs w:val="17"/>
                <w:color w:val="auto"/>
              </w:rPr>
            </w:pPr>
          </w:p>
        </w:tc>
      </w:tr>
      <w:tr>
        <w:trPr>
          <w:trHeight w:val="48"/>
        </w:trPr>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320" w:type="dxa"/>
            <w:vAlign w:val="bottom"/>
            <w:gridSpan w:val="4"/>
            <w:shd w:val="clear" w:color="auto" w:fill="CCEEFF"/>
          </w:tcPr>
          <w:p>
            <w:pPr>
              <w:spacing w:after="0"/>
              <w:rPr>
                <w:sz w:val="17"/>
                <w:szCs w:val="17"/>
                <w:color w:val="auto"/>
              </w:rPr>
            </w:pPr>
          </w:p>
        </w:tc>
        <w:tc>
          <w:tcPr>
            <w:tcW w:w="360" w:type="dxa"/>
            <w:vAlign w:val="bottom"/>
            <w:gridSpan w:val="2"/>
            <w:shd w:val="clear" w:color="auto" w:fill="CCEEFF"/>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FF"/>
              </w:rPr>
              <w:t>24.</w:t>
            </w:r>
            <w:r>
              <w:rPr>
                <w:rFonts w:ascii="Times New Roman" w:cs="Times New Roman" w:eastAsia="Times New Roman" w:hAnsi="Times New Roman"/>
                <w:sz w:val="18"/>
                <w:szCs w:val="18"/>
                <w:u w:val="single" w:color="auto"/>
                <w:color w:val="0000FF"/>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Power of Attorney (included in the signature page)</w:t>
            </w:r>
          </w:p>
        </w:tc>
        <w:tc>
          <w:tcPr>
            <w:tcW w:w="2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1240" w:type="dxa"/>
            <w:vAlign w:val="bottom"/>
            <w:shd w:val="clear" w:color="auto" w:fill="CCEEFF"/>
          </w:tcPr>
          <w:p>
            <w:pPr>
              <w:spacing w:after="0"/>
              <w:rPr>
                <w:sz w:val="17"/>
                <w:szCs w:val="17"/>
                <w:color w:val="auto"/>
              </w:rPr>
            </w:pPr>
          </w:p>
        </w:tc>
      </w:tr>
      <w:tr>
        <w:trPr>
          <w:trHeight w:val="48"/>
        </w:trPr>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2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320" w:type="dxa"/>
            <w:vAlign w:val="bottom"/>
            <w:gridSpan w:val="4"/>
          </w:tcPr>
          <w:p>
            <w:pPr>
              <w:spacing w:after="0"/>
              <w:rPr>
                <w:sz w:val="17"/>
                <w:szCs w:val="17"/>
                <w:color w:val="auto"/>
              </w:rPr>
            </w:pPr>
          </w:p>
        </w:tc>
        <w:tc>
          <w:tcPr>
            <w:tcW w:w="36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Certification of the Principal Executive Officer pursuant to Section 302 of the</w:t>
            </w:r>
          </w:p>
        </w:tc>
        <w:tc>
          <w:tcPr>
            <w:tcW w:w="28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1240" w:type="dxa"/>
            <w:vAlign w:val="bottom"/>
          </w:tcPr>
          <w:p>
            <w:pPr>
              <w:spacing w:after="0"/>
              <w:rPr>
                <w:sz w:val="17"/>
                <w:szCs w:val="17"/>
                <w:color w:val="auto"/>
              </w:rPr>
            </w:pPr>
          </w:p>
        </w:tc>
      </w:tr>
      <w:tr>
        <w:trPr>
          <w:trHeight w:val="236"/>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8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w:t>
            </w:r>
          </w:p>
        </w:tc>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shd w:val="clear" w:color="auto" w:fill="CCEEFF"/>
          </w:tcPr>
          <w:p>
            <w:pPr>
              <w:spacing w:after="0"/>
              <w:rPr>
                <w:sz w:val="17"/>
                <w:szCs w:val="17"/>
                <w:color w:val="auto"/>
              </w:rPr>
            </w:pPr>
          </w:p>
        </w:tc>
      </w:tr>
      <w:tr>
        <w:trPr>
          <w:trHeight w:val="243"/>
        </w:trPr>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6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20" w:type="dxa"/>
            <w:vAlign w:val="bottom"/>
            <w:gridSpan w:val="4"/>
          </w:tcPr>
          <w:p>
            <w:pPr>
              <w:jc w:val="center"/>
              <w:ind w:left="270"/>
              <w:spacing w:after="0" w:line="202" w:lineRule="exact"/>
              <w:rPr>
                <w:sz w:val="20"/>
                <w:szCs w:val="20"/>
                <w:color w:val="auto"/>
              </w:rPr>
            </w:pPr>
            <w:r>
              <w:rPr>
                <w:rFonts w:ascii="Times New Roman" w:cs="Times New Roman" w:eastAsia="Times New Roman" w:hAnsi="Times New Roman"/>
                <w:sz w:val="18"/>
                <w:szCs w:val="18"/>
                <w:color w:val="0000EE"/>
                <w:w w:val="96"/>
              </w:rPr>
              <w:t>32*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Certifications of the Chief Executive Officer and Chief Financial Officer</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640" w:type="dxa"/>
            <w:vAlign w:val="bottom"/>
            <w:gridSpan w:val="5"/>
            <w:shd w:val="clear" w:color="auto" w:fill="CCEEFF"/>
          </w:tcPr>
          <w:p>
            <w:pPr>
              <w:jc w:val="center"/>
              <w:ind w:left="230"/>
              <w:spacing w:after="0" w:line="202" w:lineRule="exact"/>
              <w:rPr>
                <w:sz w:val="20"/>
                <w:szCs w:val="20"/>
                <w:color w:val="auto"/>
              </w:rPr>
            </w:pPr>
            <w:r>
              <w:rPr>
                <w:rFonts w:ascii="Times New Roman" w:cs="Times New Roman" w:eastAsia="Times New Roman" w:hAnsi="Times New Roman"/>
                <w:sz w:val="18"/>
                <w:szCs w:val="18"/>
                <w:color w:val="0000FF"/>
                <w:w w:val="99"/>
              </w:rPr>
              <w:t>97+</w:t>
            </w:r>
          </w:p>
        </w:tc>
        <w:tc>
          <w:tcPr>
            <w:tcW w:w="320" w:type="dxa"/>
            <w:vAlign w:val="bottom"/>
            <w:shd w:val="clear" w:color="auto" w:fill="CCEEFF"/>
          </w:tcPr>
          <w:p>
            <w:pPr>
              <w:spacing w:after="0"/>
              <w:rPr>
                <w:sz w:val="17"/>
                <w:szCs w:val="17"/>
                <w:color w:val="auto"/>
              </w:rPr>
            </w:pPr>
          </w:p>
        </w:tc>
        <w:tc>
          <w:tcPr>
            <w:tcW w:w="62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Clawback Policy, effective as of August 3, 2023</w:t>
            </w:r>
          </w:p>
        </w:tc>
        <w:tc>
          <w:tcPr>
            <w:tcW w:w="2740" w:type="dxa"/>
            <w:vAlign w:val="bottom"/>
            <w:shd w:val="clear" w:color="auto" w:fill="CCEEFF"/>
          </w:tcPr>
          <w:p>
            <w:pPr>
              <w:ind w:left="1520"/>
              <w:spacing w:after="0" w:line="202" w:lineRule="exact"/>
              <w:rPr>
                <w:sz w:val="20"/>
                <w:szCs w:val="20"/>
                <w:color w:val="auto"/>
              </w:rPr>
            </w:pPr>
            <w:r>
              <w:rPr>
                <w:rFonts w:ascii="Times New Roman" w:cs="Times New Roman" w:eastAsia="Times New Roman" w:hAnsi="Times New Roman"/>
                <w:sz w:val="18"/>
                <w:szCs w:val="18"/>
                <w:color w:val="auto"/>
              </w:rPr>
              <w:t>Form 10-K</w:t>
            </w:r>
          </w:p>
        </w:tc>
        <w:tc>
          <w:tcPr>
            <w:tcW w:w="1340" w:type="dxa"/>
            <w:vAlign w:val="bottom"/>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2/29/2024</w:t>
            </w:r>
          </w:p>
        </w:tc>
      </w:tr>
      <w:tr>
        <w:trPr>
          <w:trHeight w:val="243"/>
        </w:trPr>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620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CCEEFF"/>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(Exhibit 97)</w:t>
            </w: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70"/>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5"/>
        </w:trPr>
        <w:tc>
          <w:tcPr>
            <w:tcW w:w="96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2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1"/>
        </w:trPr>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XBRL document)</w:t>
            </w:r>
          </w:p>
        </w:tc>
        <w:tc>
          <w:tcPr>
            <w:tcW w:w="27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620" w:type="dxa"/>
            <w:vAlign w:val="bottom"/>
            <w:gridSpan w:val="4"/>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shd w:val="clear" w:color="auto" w:fill="CCEEFF"/>
          </w:tcPr>
          <w:p>
            <w:pPr>
              <w:spacing w:after="0"/>
              <w:rPr>
                <w:sz w:val="21"/>
                <w:szCs w:val="21"/>
                <w:color w:val="auto"/>
              </w:rPr>
            </w:pPr>
          </w:p>
        </w:tc>
      </w:tr>
      <w:tr>
        <w:trPr>
          <w:trHeight w:val="27"/>
        </w:trPr>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hanging="332"/>
        <w:spacing w:after="0" w:line="282" w:lineRule="auto"/>
        <w:tabs>
          <w:tab w:leader="none" w:pos="3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62"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340" w:hanging="332"/>
        <w:spacing w:after="0" w:line="261"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Annual Report on Form 10-K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10-K), irrespective of any general incorporation language contained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 2025</w:t>
      </w:r>
    </w:p>
    <w:p>
      <w:pPr>
        <w:spacing w:after="0" w:line="61" w:lineRule="exact"/>
        <w:rPr>
          <w:sz w:val="20"/>
          <w:szCs w:val="20"/>
          <w:color w:val="auto"/>
        </w:rPr>
      </w:pPr>
    </w:p>
    <w:p>
      <w:pPr>
        <w:ind w:left="536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35560</wp:posOffset>
            </wp:positionV>
            <wp:extent cx="33858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Jeffrey Hawkins and Jeffry Keyes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substitutes or substitute, may lawfully do or cause to be done by virtue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 or her name.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Jeffrey Hawkins</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Hawkins</w:t>
            </w:r>
          </w:p>
        </w:tc>
        <w:tc>
          <w:tcPr>
            <w:tcW w:w="490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Jeffry Keyes</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Keyes</w:t>
            </w:r>
          </w:p>
        </w:tc>
        <w:tc>
          <w:tcPr>
            <w:tcW w:w="490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Charles Kummeth</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Kummeth</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Paula Dowdy</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Paula Dowdy</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Ruth Fattori</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Ruth Fattori</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Amir Jafri</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Amir Jafri</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John Patrick Kenny</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Patrick Kenny</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Brigid A. Makes</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Brigid A. Makes</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Scott Mendel</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Mendel</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Kevin Rakin</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Rakin</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Jonathan M. Rothberg, Ph.D.</w:t>
            </w:r>
          </w:p>
        </w:tc>
        <w:tc>
          <w:tcPr>
            <w:tcW w:w="4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 Rothberg, Ph.D.</w:t>
            </w:r>
          </w:p>
        </w:tc>
        <w:tc>
          <w:tcPr>
            <w:tcW w:w="4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240"/>
          </w:cols>
          <w:pgMar w:left="320" w:top="290"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92"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color w:val="auto"/>
        </w:rPr>
        <w:t>AMENDED AND RESTATED QUANTUM-SI INCORPORATED</w:t>
      </w:r>
    </w:p>
    <w:p>
      <w:pPr>
        <w:spacing w:after="0" w:line="32"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color w:val="auto"/>
        </w:rPr>
        <w:t>EXECUTIVE SEVERANCE PLAN</w:t>
      </w:r>
    </w:p>
    <w:p>
      <w:pPr>
        <w:spacing w:after="0" w:line="2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color w:val="auto"/>
        </w:rPr>
        <w:t>PLAN DOCUMENT AND SUMMARY PLAN DESCRIPTION</w:t>
      </w:r>
    </w:p>
    <w:p>
      <w:pPr>
        <w:spacing w:after="0" w:line="229"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color w:val="auto"/>
        </w:rPr>
        <w:t>Effective as of November 1, 2024</w:t>
      </w:r>
    </w:p>
    <w:p>
      <w:pPr>
        <w:spacing w:after="0" w:line="265" w:lineRule="exact"/>
        <w:rPr>
          <w:sz w:val="20"/>
          <w:szCs w:val="20"/>
          <w:color w:val="auto"/>
        </w:rPr>
      </w:pPr>
    </w:p>
    <w:p>
      <w:pPr>
        <w:jc w:val="both"/>
        <w:ind w:left="5" w:right="100" w:firstLine="644"/>
        <w:spacing w:after="0" w:line="253" w:lineRule="auto"/>
        <w:tabs>
          <w:tab w:leader="none" w:pos="1193"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Establishment of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Quantum-Si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establishes an unfunded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plan (this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that is intended to be a welfare benefit plan within the meaning of Section 3(1) of ERISA. This Plan, originally adopted on June 29, 2021</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is in effect for Participants who experience certain terminations of employment occurring after the Effective Date and before the termination of this Plan. This Plan supersedes any and all</w:t>
      </w:r>
    </w:p>
    <w:p>
      <w:pPr>
        <w:jc w:val="both"/>
        <w:ind w:left="5" w:right="100" w:hanging="4"/>
        <w:spacing w:after="0" w:line="243" w:lineRule="auto"/>
        <w:tabs>
          <w:tab w:leader="none" w:pos="26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plans and separation policies applying to Participants that may have been in effect before the Effective Date with respect to any termination that would, under the terms of this Plan, constitute a termination by the Company without Cause or by Participant for Good Reason, and</w:t>
      </w:r>
    </w:p>
    <w:p>
      <w:pPr>
        <w:spacing w:after="0" w:line="1" w:lineRule="exact"/>
        <w:rPr>
          <w:rFonts w:ascii="Times New Roman" w:cs="Times New Roman" w:eastAsia="Times New Roman" w:hAnsi="Times New Roman"/>
          <w:sz w:val="22"/>
          <w:szCs w:val="22"/>
          <w:color w:val="auto"/>
        </w:rPr>
      </w:pPr>
    </w:p>
    <w:p>
      <w:pPr>
        <w:ind w:left="5" w:right="120" w:hanging="5"/>
        <w:spacing w:after="0" w:line="261" w:lineRule="auto"/>
        <w:tabs>
          <w:tab w:leader="none" w:pos="35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any agreements between any Participant and the Company that provide for severance payments and benefits.</w:t>
      </w:r>
    </w:p>
    <w:p>
      <w:pPr>
        <w:spacing w:after="0" w:line="371" w:lineRule="exact"/>
        <w:rPr>
          <w:rFonts w:ascii="Times New Roman" w:cs="Times New Roman" w:eastAsia="Times New Roman" w:hAnsi="Times New Roman"/>
          <w:sz w:val="22"/>
          <w:szCs w:val="22"/>
          <w:color w:val="auto"/>
        </w:rPr>
      </w:pPr>
    </w:p>
    <w:p>
      <w:pPr>
        <w:jc w:val="both"/>
        <w:ind w:left="5" w:right="100" w:firstLine="643"/>
        <w:spacing w:after="0" w:line="260" w:lineRule="auto"/>
        <w:tabs>
          <w:tab w:leader="none" w:pos="1193"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purpose of this Plan is to establish the conditions under which Participants will receive the 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benefits described herein if their employment with the Company (or its successor in a Change in Control (as defined below)) terminates under the circumstances specified herein. The severance payments and benefits paid under this Plan are intended to assist employees in making a transition to new employment and are not intended to be a reward for prior service with the Company.</w:t>
      </w:r>
    </w:p>
    <w:p>
      <w:pPr>
        <w:spacing w:after="0" w:line="177" w:lineRule="exact"/>
        <w:rPr>
          <w:rFonts w:ascii="Times New Roman" w:cs="Times New Roman" w:eastAsia="Times New Roman" w:hAnsi="Times New Roman"/>
          <w:sz w:val="20"/>
          <w:szCs w:val="20"/>
          <w:b w:val="1"/>
          <w:bCs w:val="1"/>
          <w:color w:val="auto"/>
        </w:rPr>
      </w:pPr>
    </w:p>
    <w:p>
      <w:pPr>
        <w:ind w:left="1285" w:hanging="636"/>
        <w:spacing w:after="0"/>
        <w:tabs>
          <w:tab w:leader="none" w:pos="1285"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Plan:</w:t>
      </w:r>
    </w:p>
    <w:p>
      <w:pPr>
        <w:spacing w:after="0" w:line="260" w:lineRule="exact"/>
        <w:rPr>
          <w:rFonts w:ascii="Times New Roman" w:cs="Times New Roman" w:eastAsia="Times New Roman" w:hAnsi="Times New Roman"/>
          <w:sz w:val="20"/>
          <w:szCs w:val="20"/>
          <w:b w:val="1"/>
          <w:bCs w:val="1"/>
          <w:color w:val="auto"/>
        </w:rPr>
      </w:pPr>
    </w:p>
    <w:p>
      <w:pPr>
        <w:jc w:val="both"/>
        <w:ind w:left="5" w:right="120" w:firstLine="1292"/>
        <w:spacing w:after="0" w:line="261" w:lineRule="auto"/>
        <w:tabs>
          <w:tab w:leader="none" w:pos="1831"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shall mean, for any Participant, such Participant’s base salary as in effect immediately before a Participant’s termination of employment (or immediately prior to the effective date of a Change in Control, if greater) and exclusive of any bonuses, “adders,” any other form of premium pay, or other forms of compensation.</w:t>
      </w:r>
    </w:p>
    <w:p>
      <w:pPr>
        <w:spacing w:after="0" w:line="208" w:lineRule="exact"/>
        <w:rPr>
          <w:rFonts w:ascii="Times New Roman" w:cs="Times New Roman" w:eastAsia="Times New Roman" w:hAnsi="Times New Roman"/>
          <w:sz w:val="20"/>
          <w:szCs w:val="20"/>
          <w:color w:val="auto"/>
        </w:rPr>
      </w:pPr>
    </w:p>
    <w:p>
      <w:pPr>
        <w:ind w:left="1925" w:hanging="628"/>
        <w:spacing w:after="0"/>
        <w:tabs>
          <w:tab w:leader="none" w:pos="1925"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215" w:lineRule="exact"/>
        <w:rPr>
          <w:rFonts w:ascii="Times New Roman" w:cs="Times New Roman" w:eastAsia="Times New Roman" w:hAnsi="Times New Roman"/>
          <w:sz w:val="20"/>
          <w:szCs w:val="20"/>
          <w:color w:val="auto"/>
        </w:rPr>
      </w:pPr>
    </w:p>
    <w:p>
      <w:pPr>
        <w:jc w:val="both"/>
        <w:ind w:left="5" w:right="100" w:firstLine="1292"/>
        <w:spacing w:after="0" w:line="254" w:lineRule="auto"/>
        <w:tabs>
          <w:tab w:leader="none" w:pos="1831"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 Participant’s: (i) willful misconduct or gross negligence in the performance of Participant’s duties; (ii) refusal to follow the lawful directions of the Board (in the case of the CEO), the Chief Executive Officer (in the case of the Executive Officers), or the Company employee to whom the Participant reports (in the case of other Eligible Employees); (iii) breach of a fiduciary duty owed to the Company; (iv) fraud, embezzlement or other material dishonesty with respect to the Company;</w:t>
      </w:r>
    </w:p>
    <w:p>
      <w:pPr>
        <w:jc w:val="both"/>
        <w:ind w:left="5" w:right="100" w:hanging="4"/>
        <w:spacing w:after="0" w:line="250" w:lineRule="auto"/>
        <w:tabs>
          <w:tab w:leader="none" w:pos="28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violation of applicable federal, state or local law or regulation governing the Company’s business; (vi) commission, conviction, plea of nolo contendere, guilty plea, or confession to a crime based upon an act of fraud, embezzlement or dishonesty or to a felony; (vii) habitual abuse of alcohol or any controlled substance or reporting to work under the influence of alcohol or any controlled substance (other than a controlled substance that Participant is properly taking under a current prescription); (viii) misappropriation (or attempted misappropriation) by Participant any material assets or business opportunities of the Company or any of its subsidiaries or affiliates; (ix) a material failure to comply with the Company’s written policies or rules, as they may be in effect from time to time during Participant’s</w:t>
      </w:r>
    </w:p>
    <w:p>
      <w:pPr>
        <w:sectPr>
          <w:pgSz w:w="11900" w:h="16838" w:orient="portrait"/>
          <w:cols w:equalWidth="0" w:num="1">
            <w:col w:w="11125"/>
          </w:cols>
          <w:pgMar w:left="435" w:top="851" w:right="339" w:bottom="1440" w:gutter="0" w:footer="0" w:header="0"/>
        </w:sectPr>
      </w:pPr>
    </w:p>
    <w:bookmarkStart w:id="123" w:name="page124"/>
    <w:bookmarkEnd w:id="123"/>
    <w:p>
      <w:pPr>
        <w:ind w:left="99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employment, including policies and rules prohibiting discrimination or harassment; or (x) a material breach of Participant’s employment</w:t>
      </w:r>
    </w:p>
    <w:p>
      <w:pPr>
        <w:spacing w:after="0" w:line="8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agreement or offer letter, the Non-Competition, Confidentiality and Intellectual Property Agreement or any other written agreement between the Company or one of its subsidiaries and Participant, provided that Participant will have 30 days after notice from the Board , the Chief Executive Officer or the employee to whom the Participant reports, as appropriate, to cure a failure or a breach under (ii), (ix) or (x), if curable.</w:t>
      </w:r>
    </w:p>
    <w:p>
      <w:pPr>
        <w:spacing w:after="0" w:line="186" w:lineRule="exact"/>
        <w:rPr>
          <w:sz w:val="20"/>
          <w:szCs w:val="20"/>
          <w:color w:val="auto"/>
        </w:rPr>
      </w:pPr>
    </w:p>
    <w:p>
      <w:pPr>
        <w:ind w:left="1920" w:hanging="628"/>
        <w:spacing w:after="0"/>
        <w:tabs>
          <w:tab w:leader="none" w:pos="19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the occurrence of any of the following events:</w:t>
      </w:r>
    </w:p>
    <w:p>
      <w:pPr>
        <w:spacing w:after="0" w:line="215" w:lineRule="exact"/>
        <w:rPr>
          <w:rFonts w:ascii="Times New Roman" w:cs="Times New Roman" w:eastAsia="Times New Roman" w:hAnsi="Times New Roman"/>
          <w:sz w:val="20"/>
          <w:szCs w:val="20"/>
          <w:color w:val="auto"/>
        </w:rPr>
      </w:pPr>
    </w:p>
    <w:p>
      <w:pPr>
        <w:jc w:val="both"/>
        <w:ind w:left="1300" w:right="100" w:hanging="9"/>
        <w:spacing w:after="0" w:line="258" w:lineRule="auto"/>
        <w:tabs>
          <w:tab w:leader="none" w:pos="183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of persons (other than the Company or its affiliates) becomes the owner, directly or indirectly, of securities of the Company representing more than 50% of the combined voting power of the Company’s then outstanding voting securities (the “Outstanding Company Voting Securities”) (but excluding any bona fide financing event in which securities are acquired directly from the Company); or</w:t>
      </w:r>
    </w:p>
    <w:p>
      <w:pPr>
        <w:spacing w:after="0" w:line="172" w:lineRule="exact"/>
        <w:rPr>
          <w:rFonts w:ascii="Times New Roman" w:cs="Times New Roman" w:eastAsia="Times New Roman" w:hAnsi="Times New Roman"/>
          <w:sz w:val="20"/>
          <w:szCs w:val="20"/>
          <w:color w:val="auto"/>
        </w:rPr>
      </w:pPr>
    </w:p>
    <w:p>
      <w:pPr>
        <w:jc w:val="both"/>
        <w:ind w:left="1300" w:right="100" w:hanging="9"/>
        <w:spacing w:after="0" w:line="253" w:lineRule="auto"/>
        <w:tabs>
          <w:tab w:leader="none" w:pos="183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or consolidation of the Company with any other corporation, other than a merger or consolidation (i) that results in the Outstanding Company Voting Securities immediately prior thereto continuing to represent (either by remaining outstanding or by being converted into voting securities of the surviving entity) at least 50% of the combined voting power of the Outstanding Company Voting Securities (or such surviving entity or, if the Company or the entity surviving such merger is then a subsidiary, the ultimate parent thereof) outstanding immediately after such merger or consolidation, or (ii) immediately following which the individuals who comprise the Board immediately prior thereto constitute at least a majority of the Board of the entity surviving such merger or consolidation or, if the Company or the entity surviving such merger is then a subsidiary, the ultimate parent thereof; or</w:t>
      </w:r>
    </w:p>
    <w:p>
      <w:pPr>
        <w:spacing w:after="0" w:line="193" w:lineRule="exact"/>
        <w:rPr>
          <w:rFonts w:ascii="Times New Roman" w:cs="Times New Roman" w:eastAsia="Times New Roman" w:hAnsi="Times New Roman"/>
          <w:sz w:val="20"/>
          <w:szCs w:val="20"/>
          <w:color w:val="auto"/>
        </w:rPr>
      </w:pPr>
    </w:p>
    <w:p>
      <w:pPr>
        <w:jc w:val="both"/>
        <w:ind w:left="1300" w:right="100" w:hanging="9"/>
        <w:spacing w:after="0" w:line="251" w:lineRule="auto"/>
        <w:tabs>
          <w:tab w:leader="none" w:pos="18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directly or indirectly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95" w:lineRule="exact"/>
        <w:rPr>
          <w:rFonts w:ascii="Times New Roman" w:cs="Times New Roman" w:eastAsia="Times New Roman" w:hAnsi="Times New Roman"/>
          <w:sz w:val="20"/>
          <w:szCs w:val="20"/>
          <w:color w:val="auto"/>
        </w:rPr>
      </w:pPr>
    </w:p>
    <w:p>
      <w:pPr>
        <w:jc w:val="both"/>
        <w:ind w:left="1300" w:right="100" w:hanging="8"/>
        <w:spacing w:after="0" w:line="253" w:lineRule="auto"/>
        <w:tabs>
          <w:tab w:leader="none" w:pos="182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with respect to Sections (i), (ii) and (iii) above, a transaction or series of integrated transactions will not be deemed a Change in Control (A) unless the transaction qualifies as a change in control within the meaning of Section 409A of the Code, or (B) if following the conclusion of the transaction or series of integrated transactions, the holders of the Company’s Class B Common Stock immediately prior to such transaction or series of transactions continue to have substantially the same proportionate voting power in an entity which owns all or substantially all of the assets of the Company immediately following such transaction or series of transactions.</w:t>
      </w:r>
    </w:p>
    <w:p>
      <w:pPr>
        <w:spacing w:after="0" w:line="219" w:lineRule="exact"/>
        <w:rPr>
          <w:rFonts w:ascii="Times New Roman" w:cs="Times New Roman" w:eastAsia="Times New Roman" w:hAnsi="Times New Roman"/>
          <w:sz w:val="20"/>
          <w:szCs w:val="20"/>
          <w:color w:val="auto"/>
        </w:rPr>
      </w:pPr>
    </w:p>
    <w:p>
      <w:pPr>
        <w:ind w:left="1820" w:hanging="528"/>
        <w:spacing w:after="0"/>
        <w:tabs>
          <w:tab w:leader="none" w:pos="18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 Period</w:t>
      </w:r>
      <w:r>
        <w:rPr>
          <w:rFonts w:ascii="Times New Roman" w:cs="Times New Roman" w:eastAsia="Times New Roman" w:hAnsi="Times New Roman"/>
          <w:sz w:val="20"/>
          <w:szCs w:val="20"/>
          <w:color w:val="auto"/>
        </w:rPr>
        <w:t>” means: (i) the twelve (12) month period beginning on the date of a Change in Control.</w:t>
      </w:r>
    </w:p>
    <w:p>
      <w:pPr>
        <w:spacing w:after="0" w:line="242" w:lineRule="exact"/>
        <w:rPr>
          <w:rFonts w:ascii="Times New Roman" w:cs="Times New Roman" w:eastAsia="Times New Roman" w:hAnsi="Times New Roman"/>
          <w:sz w:val="20"/>
          <w:szCs w:val="20"/>
          <w:color w:val="auto"/>
        </w:rPr>
      </w:pPr>
    </w:p>
    <w:p>
      <w:pPr>
        <w:ind w:left="1980" w:hanging="688"/>
        <w:spacing w:after="0"/>
        <w:tabs>
          <w:tab w:leader="none" w:pos="1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shall mean the Consolidated Omnibus Budget Reconciliation Act.</w:t>
      </w:r>
    </w:p>
    <w:p>
      <w:pPr>
        <w:spacing w:after="0" w:line="242"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w:t>
      </w:r>
    </w:p>
    <w:p>
      <w:pPr>
        <w:sectPr>
          <w:pgSz w:w="11900" w:h="16838" w:orient="portrait"/>
          <w:cols w:equalWidth="0" w:num="1">
            <w:col w:w="11120"/>
          </w:cols>
          <w:pgMar w:left="440" w:top="85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96" w:lineRule="exact"/>
        <w:rPr>
          <w:sz w:val="20"/>
          <w:szCs w:val="20"/>
          <w:color w:val="auto"/>
        </w:rPr>
      </w:pPr>
    </w:p>
    <w:p>
      <w:pPr>
        <w:ind w:left="1820" w:hanging="528"/>
        <w:spacing w:after="0"/>
        <w:tabs>
          <w:tab w:leader="none" w:pos="18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Quantum-Si Incorporated or, following a Change in Control, any successor thereto.</w:t>
      </w:r>
    </w:p>
    <w:p>
      <w:pPr>
        <w:spacing w:after="0" w:line="264" w:lineRule="exact"/>
        <w:rPr>
          <w:rFonts w:ascii="Times New Roman" w:cs="Times New Roman" w:eastAsia="Times New Roman" w:hAnsi="Times New Roman"/>
          <w:sz w:val="20"/>
          <w:szCs w:val="20"/>
          <w:color w:val="auto"/>
        </w:rPr>
      </w:pPr>
    </w:p>
    <w:p>
      <w:pPr>
        <w:ind w:left="1940" w:hanging="648"/>
        <w:spacing w:after="0"/>
        <w:tabs>
          <w:tab w:leader="none" w:pos="19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1"/>
          <w:szCs w:val="21"/>
          <w:color w:val="auto"/>
        </w:rPr>
        <w:t>September</w:t>
      </w:r>
      <w:r>
        <w:rPr>
          <w:rFonts w:ascii="Times New Roman" w:cs="Times New Roman" w:eastAsia="Times New Roman" w:hAnsi="Times New Roman"/>
          <w:sz w:val="20"/>
          <w:szCs w:val="20"/>
          <w:color w:val="auto"/>
        </w:rPr>
        <w:t xml:space="preserve"> 30, 2021.</w:t>
      </w:r>
    </w:p>
    <w:p>
      <w:pPr>
        <w:spacing w:after="0" w:line="276" w:lineRule="exact"/>
        <w:rPr>
          <w:rFonts w:ascii="Times New Roman" w:cs="Times New Roman" w:eastAsia="Times New Roman" w:hAnsi="Times New Roman"/>
          <w:sz w:val="20"/>
          <w:szCs w:val="20"/>
          <w:color w:val="auto"/>
        </w:rPr>
      </w:pPr>
    </w:p>
    <w:p>
      <w:pPr>
        <w:jc w:val="both"/>
        <w:ind w:right="100" w:firstLine="1292"/>
        <w:spacing w:after="0" w:line="261" w:lineRule="auto"/>
        <w:tabs>
          <w:tab w:leader="none" w:pos="18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Employee</w:t>
      </w:r>
      <w:r>
        <w:rPr>
          <w:rFonts w:ascii="Times New Roman" w:cs="Times New Roman" w:eastAsia="Times New Roman" w:hAnsi="Times New Roman"/>
          <w:sz w:val="20"/>
          <w:szCs w:val="20"/>
          <w:color w:val="auto"/>
        </w:rPr>
        <w:t>” shall mean: (i) the Chief Executive Officer, and(ii) the Chief Financial Officer, Chief Commercial Officer, Chief Product Officer, Chief Human Resources Officer and General Counsel &amp; Corporate Secretary (“Executive Officers”).</w:t>
      </w:r>
    </w:p>
    <w:p>
      <w:pPr>
        <w:spacing w:after="0" w:line="200" w:lineRule="exact"/>
        <w:rPr>
          <w:rFonts w:ascii="Times New Roman" w:cs="Times New Roman" w:eastAsia="Times New Roman" w:hAnsi="Times New Roman"/>
          <w:sz w:val="20"/>
          <w:szCs w:val="20"/>
          <w:color w:val="auto"/>
        </w:rPr>
      </w:pPr>
    </w:p>
    <w:p>
      <w:pPr>
        <w:spacing w:after="0" w:line="251"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shall mean the Employee Retirement Income Security Act of 1974,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w:t>
      </w:r>
    </w:p>
    <w:p>
      <w:pPr>
        <w:spacing w:after="0" w:line="221" w:lineRule="exact"/>
        <w:rPr>
          <w:sz w:val="20"/>
          <w:szCs w:val="20"/>
          <w:color w:val="auto"/>
        </w:rPr>
      </w:pPr>
    </w:p>
    <w:p>
      <w:pPr>
        <w:ind w:left="1940" w:hanging="648"/>
        <w:spacing w:after="0"/>
        <w:tabs>
          <w:tab w:leader="none" w:pos="19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Officers</w:t>
      </w:r>
      <w:r>
        <w:rPr>
          <w:rFonts w:ascii="Times New Roman" w:cs="Times New Roman" w:eastAsia="Times New Roman" w:hAnsi="Times New Roman"/>
          <w:sz w:val="20"/>
          <w:szCs w:val="20"/>
          <w:color w:val="auto"/>
        </w:rPr>
        <w:t>” shall have the meaning set forth in Section 3(j).</w:t>
      </w:r>
    </w:p>
    <w:p>
      <w:pPr>
        <w:spacing w:after="0" w:line="229" w:lineRule="exact"/>
        <w:rPr>
          <w:rFonts w:ascii="Times New Roman" w:cs="Times New Roman" w:eastAsia="Times New Roman" w:hAnsi="Times New Roman"/>
          <w:sz w:val="20"/>
          <w:szCs w:val="20"/>
          <w:color w:val="auto"/>
        </w:rPr>
      </w:pPr>
    </w:p>
    <w:p>
      <w:pPr>
        <w:jc w:val="both"/>
        <w:ind w:right="100" w:firstLine="1291"/>
        <w:spacing w:after="0" w:line="251" w:lineRule="auto"/>
        <w:tabs>
          <w:tab w:leader="none" w:pos="182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the occurrence of any of the following events without Participant’s consent: (i) a material reduction of Participant’s Base Salary as in effect immediately prior to the reduction; (ii) a material reduction in Participant’s authority, duties or responsibilities, provided however, following a Change in Control, a change in job title or reporting relationship without a reduction in Participant’s Base Salary will not constitute Good Reason; (iii) relocation of the offices at which Participant is required to work to a location that would increase Participant’s one-way commute by more than 50 miles; provided that, within 30 days of the first occurrence of the event that Participant believes constitutes Good Reason, Participant notifies the Company in a writing of the event, the Company fails to correct the act or omission within 30 days after receiving Participant’s written notice and Participant actually terminates his or her employment within 60 days after the date the Company receives Participant’s notice.</w:t>
      </w:r>
    </w:p>
    <w:p>
      <w:pPr>
        <w:spacing w:after="0" w:line="181"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shall mean the Eligible Employees employed by the Company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221" w:lineRule="exact"/>
        <w:rPr>
          <w:sz w:val="20"/>
          <w:szCs w:val="20"/>
          <w:color w:val="auto"/>
        </w:rPr>
      </w:pPr>
    </w:p>
    <w:p>
      <w:pPr>
        <w:ind w:left="1920" w:hanging="628"/>
        <w:spacing w:after="0"/>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shall have the meaning set forth in Section 14 hereof.</w:t>
      </w:r>
    </w:p>
    <w:p>
      <w:pPr>
        <w:spacing w:after="0" w:line="252" w:lineRule="exact"/>
        <w:rPr>
          <w:rFonts w:ascii="Times New Roman" w:cs="Times New Roman" w:eastAsia="Times New Roman" w:hAnsi="Times New Roman"/>
          <w:sz w:val="20"/>
          <w:szCs w:val="20"/>
          <w:color w:val="auto"/>
        </w:rPr>
      </w:pPr>
    </w:p>
    <w:p>
      <w:pPr>
        <w:jc w:val="both"/>
        <w:ind w:right="100" w:firstLine="644"/>
        <w:spacing w:after="0" w:line="263" w:lineRule="auto"/>
        <w:tabs>
          <w:tab w:leader="none" w:pos="1188"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Severance Not in Connection with a 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Company terminates Participant’s employment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Cause at any time other than during a Change in Control Period, subject to the provisions of Section 6 and 7, Participant shall be eligible to receive the following payments and benefits (collectively, the “</w:t>
      </w:r>
      <w:r>
        <w:rPr>
          <w:rFonts w:ascii="Times New Roman" w:cs="Times New Roman" w:eastAsia="Times New Roman" w:hAnsi="Times New Roman"/>
          <w:sz w:val="20"/>
          <w:szCs w:val="20"/>
          <w:u w:val="single" w:color="auto"/>
          <w:color w:val="auto"/>
        </w:rPr>
        <w:t>Severance Package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jc w:val="both"/>
        <w:ind w:right="100" w:firstLine="1291"/>
        <w:spacing w:after="0" w:line="253" w:lineRule="auto"/>
        <w:tabs>
          <w:tab w:leader="none" w:pos="182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be entitled to receive an amount equal to the product of (the “</w:t>
      </w:r>
      <w:r>
        <w:rPr>
          <w:rFonts w:ascii="Times New Roman" w:cs="Times New Roman" w:eastAsia="Times New Roman" w:hAnsi="Times New Roman"/>
          <w:sz w:val="20"/>
          <w:szCs w:val="20"/>
          <w:u w:val="single" w:color="auto"/>
          <w:color w:val="auto"/>
        </w:rPr>
        <w:t>Normal Severance</w:t>
      </w:r>
      <w:r>
        <w:rPr>
          <w:rFonts w:ascii="Times New Roman" w:cs="Times New Roman" w:eastAsia="Times New Roman" w:hAnsi="Times New Roman"/>
          <w:sz w:val="20"/>
          <w:szCs w:val="20"/>
          <w:color w:val="auto"/>
        </w:rPr>
        <w:t>”): (i) the Normal Multiplier, as determined under Exhibit A based on Participant’s title or role with the Company; and (ii) the Participant’s then-current Base Salary. The Normal Severance shall be payable in the form of salary continuation in accordance with the Company’s regular payroll schedule over the Severance Period, commencing on such date determined in accordance with Section 6 or as a lump sum at the Company’s sole discretion. The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will equal the period of months equal to the product of (A) Participant’s Normal Multiplier and (B) 12.</w:t>
      </w:r>
    </w:p>
    <w:p>
      <w:pPr>
        <w:spacing w:after="0" w:line="219" w:lineRule="exact"/>
        <w:rPr>
          <w:rFonts w:ascii="Times New Roman" w:cs="Times New Roman" w:eastAsia="Times New Roman" w:hAnsi="Times New Roman"/>
          <w:sz w:val="20"/>
          <w:szCs w:val="20"/>
          <w:color w:val="auto"/>
        </w:rPr>
      </w:pPr>
    </w:p>
    <w:p>
      <w:pPr>
        <w:jc w:val="both"/>
        <w:ind w:right="100" w:firstLine="1291"/>
        <w:spacing w:after="0" w:line="271" w:lineRule="auto"/>
        <w:tabs>
          <w:tab w:leader="none" w:pos="182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portion of any outstanding unvested time-based equity award held by Participant that would vest on an annual cliff vesting date in accordance with the terms of the award during the three months following the Participant’s termination date will </w:t>
      </w:r>
      <w:r>
        <w:rPr>
          <w:rFonts w:ascii="Times New Roman" w:cs="Times New Roman" w:eastAsia="Times New Roman" w:hAnsi="Times New Roman"/>
          <w:sz w:val="21"/>
          <w:szCs w:val="21"/>
          <w:color w:val="auto"/>
        </w:rPr>
        <w:t>become fully vested as of the date the</w:t>
      </w:r>
    </w:p>
    <w:p>
      <w:pPr>
        <w:spacing w:after="0" w:line="27"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2"/>
          <w:szCs w:val="22"/>
          <w:color w:val="auto"/>
        </w:rPr>
        <w:t xml:space="preserve">termination of Participant’s employment becomes effective. </w:t>
      </w:r>
      <w:r>
        <w:rPr>
          <w:rFonts w:ascii="Times New Roman" w:cs="Times New Roman" w:eastAsia="Times New Roman" w:hAnsi="Times New Roman"/>
          <w:sz w:val="19"/>
          <w:szCs w:val="19"/>
          <w:color w:val="auto"/>
        </w:rPr>
        <w:t>In addition, the Chief Executive Officer shall receive the accelerated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vesting set forth on Exhibit A.</w:t>
      </w:r>
    </w:p>
    <w:p>
      <w:pPr>
        <w:sectPr>
          <w:pgSz w:w="11900" w:h="16838" w:orient="portrait"/>
          <w:cols w:equalWidth="0" w:num="1">
            <w:col w:w="11120"/>
          </w:cols>
          <w:pgMar w:left="440" w:top="85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44" w:lineRule="exact"/>
        <w:rPr>
          <w:sz w:val="20"/>
          <w:szCs w:val="20"/>
          <w:color w:val="auto"/>
        </w:rPr>
      </w:pPr>
    </w:p>
    <w:p>
      <w:pPr>
        <w:jc w:val="both"/>
        <w:ind w:right="100" w:firstLine="1291"/>
        <w:spacing w:after="0" w:line="252" w:lineRule="auto"/>
        <w:tabs>
          <w:tab w:leader="none" w:pos="182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be entitled to continue participating in the Company’s health benefits for the Severance Period (the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xml:space="preserve">”), as follows: (i) such continued benefits shall be subject to Participant’s timely election of continuation coverage under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(ii) the Company will pay the company contribution and Participant shall be required to pay the employee contribution directly or as a reimbursement to Participant at the at the Company’s sole discretion, (iii) Participant’s right to receive further Severance Benefits shall terminate if and when Participant secures alternative health benefits from a new employer, of which Participant shall promptly notify the Company, or if and when Participant otherwise becomes ineligible for further coverage under COBRA; and (iv) the Company shall be required to provide the Severance Benefits only to the extent that the Company continues offering an employee health benefits plan and to extent that the Company is not required to provide and pay for such post- termination coverage to other employees to avoid a violation of applicable nondiscrimination requirements.</w:t>
      </w:r>
    </w:p>
    <w:p>
      <w:pPr>
        <w:spacing w:after="0" w:line="216" w:lineRule="exact"/>
        <w:rPr>
          <w:rFonts w:ascii="Times New Roman" w:cs="Times New Roman" w:eastAsia="Times New Roman" w:hAnsi="Times New Roman"/>
          <w:sz w:val="20"/>
          <w:szCs w:val="20"/>
          <w:color w:val="auto"/>
        </w:rPr>
      </w:pPr>
    </w:p>
    <w:p>
      <w:pPr>
        <w:ind w:right="120" w:firstLine="1292"/>
        <w:spacing w:after="0" w:line="269" w:lineRule="auto"/>
        <w:tabs>
          <w:tab w:leader="none" w:pos="18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and benefits described in this Section 4 shall be in lieu of any other benefits or payments under any severance or similar plan, policy or arrangement of the Company.</w:t>
      </w:r>
    </w:p>
    <w:p>
      <w:pPr>
        <w:spacing w:after="0" w:line="195" w:lineRule="exact"/>
        <w:rPr>
          <w:rFonts w:ascii="Times New Roman" w:cs="Times New Roman" w:eastAsia="Times New Roman" w:hAnsi="Times New Roman"/>
          <w:sz w:val="20"/>
          <w:szCs w:val="20"/>
          <w:color w:val="auto"/>
        </w:rPr>
      </w:pPr>
    </w:p>
    <w:p>
      <w:pPr>
        <w:jc w:val="both"/>
        <w:ind w:right="100" w:firstLine="644"/>
        <w:spacing w:after="0" w:line="263" w:lineRule="auto"/>
        <w:tabs>
          <w:tab w:leader="none" w:pos="1188"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Severance in Connection with a 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during the Change in Control Period, the Company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employment without Cause or Participant resigns Participant’s employment with Good Reason, subject to the provisions of Section 6 and 7, Participant shall be eligible to receive the following payments and benefits (collectively, the “</w:t>
      </w:r>
      <w:r>
        <w:rPr>
          <w:rFonts w:ascii="Times New Roman" w:cs="Times New Roman" w:eastAsia="Times New Roman" w:hAnsi="Times New Roman"/>
          <w:sz w:val="20"/>
          <w:szCs w:val="20"/>
          <w:u w:val="single" w:color="auto"/>
          <w:color w:val="auto"/>
        </w:rPr>
        <w:t>CIC Severance Package</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jc w:val="both"/>
        <w:ind w:right="120" w:firstLine="1292"/>
        <w:spacing w:after="0" w:line="254" w:lineRule="auto"/>
        <w:tabs>
          <w:tab w:leader="none" w:pos="182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be entitled to receive an amount equal to the product of (the “</w:t>
      </w:r>
      <w:r>
        <w:rPr>
          <w:rFonts w:ascii="Times New Roman" w:cs="Times New Roman" w:eastAsia="Times New Roman" w:hAnsi="Times New Roman"/>
          <w:sz w:val="20"/>
          <w:szCs w:val="20"/>
          <w:u w:val="single" w:color="auto"/>
          <w:color w:val="auto"/>
        </w:rPr>
        <w:t>CIC Severance</w:t>
      </w:r>
      <w:r>
        <w:rPr>
          <w:rFonts w:ascii="Times New Roman" w:cs="Times New Roman" w:eastAsia="Times New Roman" w:hAnsi="Times New Roman"/>
          <w:sz w:val="20"/>
          <w:szCs w:val="20"/>
          <w:color w:val="auto"/>
        </w:rPr>
        <w:t>”): (A) the CIC Multiplier, as determined under Exhibit A based on Participant’s title or role with the Company; and (B) the sum of Participant’s then-current Base Salary and then-current target annual bonus opportunity. The CIC Severance shall be payable in a single lump sum, on such date in determined accordance with Section 6.</w:t>
      </w:r>
    </w:p>
    <w:p>
      <w:pPr>
        <w:spacing w:after="0" w:line="200" w:lineRule="exact"/>
        <w:rPr>
          <w:rFonts w:ascii="Times New Roman" w:cs="Times New Roman" w:eastAsia="Times New Roman" w:hAnsi="Times New Roman"/>
          <w:sz w:val="20"/>
          <w:szCs w:val="20"/>
          <w:color w:val="auto"/>
        </w:rPr>
      </w:pPr>
    </w:p>
    <w:p>
      <w:pPr>
        <w:jc w:val="both"/>
        <w:ind w:right="100" w:firstLine="1291"/>
        <w:spacing w:after="0" w:line="250" w:lineRule="auto"/>
        <w:tabs>
          <w:tab w:leader="none" w:pos="1823"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be entitled to continue participating in the Company’s health benefits for the CIC Severance Period (the “</w:t>
      </w:r>
      <w:r>
        <w:rPr>
          <w:rFonts w:ascii="Times New Roman" w:cs="Times New Roman" w:eastAsia="Times New Roman" w:hAnsi="Times New Roman"/>
          <w:sz w:val="20"/>
          <w:szCs w:val="20"/>
          <w:u w:val="single" w:color="auto"/>
          <w:color w:val="auto"/>
        </w:rPr>
        <w:t>CIC Severance Benefits</w:t>
      </w:r>
      <w:r>
        <w:rPr>
          <w:rFonts w:ascii="Times New Roman" w:cs="Times New Roman" w:eastAsia="Times New Roman" w:hAnsi="Times New Roman"/>
          <w:sz w:val="20"/>
          <w:szCs w:val="20"/>
          <w:color w:val="auto"/>
        </w:rPr>
        <w:t>”), as follows: (i) such continued benefits shall be subject to Participant’s timely election of continuation coverage under COBRA; (ii) the Company will pay the company contribution directly or as a reimbursement to Participant at the Company’s sole discretion and Participant shall be required to pay the employee contribution; (iii) Participant’s right to receive further CIC Severance Benefits shall terminate if and when Participant secures alternative health benefits from a new employer, of which Participant shall promptly notify the Company, or if and when Participant otherwise becomes ineligible for further coverage under COBRA; and (iv) the Company shall be required to provide the CIC Severance Benefits only to the extent that the Company continues offering an employee health benefits plan and to extent that the Company is not required to provide and pay for such post-termination coverage to other employees to avoid a violation of applicable nondiscrimination requirements. The “</w:t>
      </w:r>
      <w:r>
        <w:rPr>
          <w:rFonts w:ascii="Times New Roman" w:cs="Times New Roman" w:eastAsia="Times New Roman" w:hAnsi="Times New Roman"/>
          <w:sz w:val="20"/>
          <w:szCs w:val="20"/>
          <w:u w:val="single" w:color="auto"/>
          <w:color w:val="auto"/>
        </w:rPr>
        <w:t>CIC Severance Period</w:t>
      </w:r>
      <w:r>
        <w:rPr>
          <w:rFonts w:ascii="Times New Roman" w:cs="Times New Roman" w:eastAsia="Times New Roman" w:hAnsi="Times New Roman"/>
          <w:sz w:val="20"/>
          <w:szCs w:val="20"/>
          <w:color w:val="auto"/>
        </w:rPr>
        <w:t>” will equal the period of months equal to the product of (A) Participant’s CIC Multiplier and (B) 12.</w:t>
      </w:r>
    </w:p>
    <w:p>
      <w:pPr>
        <w:spacing w:after="0" w:line="223" w:lineRule="exact"/>
        <w:rPr>
          <w:rFonts w:ascii="Times New Roman" w:cs="Times New Roman" w:eastAsia="Times New Roman" w:hAnsi="Times New Roman"/>
          <w:sz w:val="20"/>
          <w:szCs w:val="20"/>
          <w:color w:val="auto"/>
        </w:rPr>
      </w:pPr>
    </w:p>
    <w:p>
      <w:pPr>
        <w:ind w:right="120" w:firstLine="1291"/>
        <w:spacing w:after="0" w:line="269" w:lineRule="auto"/>
        <w:tabs>
          <w:tab w:leader="none" w:pos="182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outstanding unvested equity awards held by Participant under the Company’s then-current outstanding equity incentive plan(s) will become fully vested as of the date the termination of Participant’s employment becomes effective.</w:t>
      </w:r>
    </w:p>
    <w:p>
      <w:pPr>
        <w:spacing w:after="0" w:line="186" w:lineRule="exact"/>
        <w:rPr>
          <w:rFonts w:ascii="Times New Roman" w:cs="Times New Roman" w:eastAsia="Times New Roman" w:hAnsi="Times New Roman"/>
          <w:sz w:val="20"/>
          <w:szCs w:val="20"/>
          <w:color w:val="auto"/>
        </w:rPr>
      </w:pPr>
    </w:p>
    <w:p>
      <w:pPr>
        <w:jc w:val="both"/>
        <w:ind w:right="100" w:firstLine="1291"/>
        <w:spacing w:after="0" w:line="261" w:lineRule="auto"/>
        <w:tabs>
          <w:tab w:leader="none" w:pos="182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and benefits described in this Section 5 shall be in lieu of any other benefits or payments under any severance or similar plan, policy or arrangement of the Company, and shall be in lieu of any benefits set forth in Section 5 of this Agreement.</w:t>
      </w:r>
    </w:p>
    <w:p>
      <w:pPr>
        <w:spacing w:after="0" w:line="28" w:lineRule="exact"/>
        <w:rPr>
          <w:rFonts w:ascii="Times New Roman" w:cs="Times New Roman" w:eastAsia="Times New Roman" w:hAnsi="Times New Roman"/>
          <w:sz w:val="20"/>
          <w:szCs w:val="20"/>
          <w:color w:val="auto"/>
        </w:rPr>
      </w:pPr>
    </w:p>
    <w:p>
      <w:pPr>
        <w:jc w:val="both"/>
        <w:ind w:right="100" w:firstLine="643"/>
        <w:spacing w:after="0" w:line="255" w:lineRule="auto"/>
        <w:tabs>
          <w:tab w:leader="none" w:pos="1188"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Participant’s rights to the Severance Package or the CIC Severance Package, as applicable, is conditioned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executing and not revoking a valid separation and general release agreement in a form provided by the Company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provided such release becomes effective and irrevocable within 60 days following termination or such shorter time period set</w:t>
      </w:r>
    </w:p>
    <w:p>
      <w:pPr>
        <w:sectPr>
          <w:pgSz w:w="11900" w:h="16838" w:orient="portrait"/>
          <w:cols w:equalWidth="0" w:num="1">
            <w:col w:w="11120"/>
          </w:cols>
          <w:pgMar w:left="440" w:top="851" w:right="339" w:bottom="1440" w:gutter="0" w:footer="0" w:header="0"/>
        </w:sectPr>
      </w:pPr>
    </w:p>
    <w:bookmarkStart w:id="126" w:name="page127"/>
    <w:bookmarkEnd w:id="126"/>
    <w:p>
      <w:pPr>
        <w:ind w:left="9905"/>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07" w:lineRule="exact"/>
        <w:rPr>
          <w:sz w:val="20"/>
          <w:szCs w:val="20"/>
          <w:color w:val="auto"/>
        </w:rPr>
      </w:pPr>
    </w:p>
    <w:p>
      <w:pPr>
        <w:jc w:val="both"/>
        <w:ind w:left="5" w:right="100"/>
        <w:spacing w:after="0" w:line="257" w:lineRule="auto"/>
        <w:rPr>
          <w:sz w:val="20"/>
          <w:szCs w:val="20"/>
          <w:color w:val="auto"/>
        </w:rPr>
      </w:pPr>
      <w:r>
        <w:rPr>
          <w:rFonts w:ascii="Times New Roman" w:cs="Times New Roman" w:eastAsia="Times New Roman" w:hAnsi="Times New Roman"/>
          <w:sz w:val="20"/>
          <w:szCs w:val="20"/>
          <w:color w:val="auto"/>
        </w:rPr>
        <w:t>forth therein, releasing the Company, its subsidiaries, other affiliates and shareholders from any and all liability. Any payments or benefits due for the period after termination and before the Release becomes effective shall be paid with the first payment after the Release becomes effective. Notwithstanding any other provision herein, if the period during which Participant has discretion to execute or revoke the Release straddles two calendar years, the Company shall make payments conditioned on the Release no earlier than January 1st of the second calendar year, regardless of which year the Release becomes effective.</w:t>
      </w:r>
    </w:p>
    <w:p>
      <w:pPr>
        <w:spacing w:after="0" w:line="182" w:lineRule="exact"/>
        <w:rPr>
          <w:sz w:val="20"/>
          <w:szCs w:val="20"/>
          <w:color w:val="auto"/>
        </w:rPr>
      </w:pPr>
    </w:p>
    <w:p>
      <w:pPr>
        <w:jc w:val="both"/>
        <w:ind w:left="5" w:right="120" w:firstLine="644"/>
        <w:spacing w:after="0" w:line="255" w:lineRule="auto"/>
        <w:tabs>
          <w:tab w:leader="none" w:pos="1193" w:val="left"/>
        </w:tabs>
        <w:numPr>
          <w:ilvl w:val="1"/>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color w:val="auto"/>
        </w:rPr>
        <w:t>. A Participant’s rights to the Severance Package or the CIC Severance Package, as applicable,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conditioned on Participant’s compliance with Participant’s obligations under, as applicable: (a) Participant’s Non-Disclosure, Non-Solicitation and Assignment Agreement; and</w:t>
      </w:r>
    </w:p>
    <w:p>
      <w:pPr>
        <w:spacing w:after="0" w:line="1" w:lineRule="exact"/>
        <w:rPr>
          <w:rFonts w:ascii="Times New Roman" w:cs="Times New Roman" w:eastAsia="Times New Roman" w:hAnsi="Times New Roman"/>
          <w:sz w:val="20"/>
          <w:szCs w:val="20"/>
          <w:b w:val="1"/>
          <w:bCs w:val="1"/>
          <w:color w:val="auto"/>
        </w:rPr>
      </w:pPr>
    </w:p>
    <w:p>
      <w:pPr>
        <w:jc w:val="both"/>
        <w:ind w:left="5" w:right="100" w:hanging="5"/>
        <w:spacing w:after="0" w:line="266" w:lineRule="auto"/>
        <w:tabs>
          <w:tab w:leader="none" w:pos="29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applicable confidentiality, invention, work product, non-disparagement, non-competition, non-solicitation, non-interference, and/or other restrictive covenant obligations contained in any written agreement between the Participant and the Company. In the event that Participant fails to comply with any of these obligations, the Participant’s right to receive any additional Severance Package or CIC Severance Package payments or benefits shall cease immediately and Participant shall promptly refund any such payments or benefits previously paid by the Company. The Company’s rights under this Section 7 shall be full recourse. The Company shall have the right to offset Participant’s obligations under this Section 7 against any amounts otherwise owed to Participant from the Company or its affiliates.</w:t>
      </w:r>
    </w:p>
    <w:p>
      <w:pPr>
        <w:spacing w:after="0" w:line="174" w:lineRule="exact"/>
        <w:rPr>
          <w:rFonts w:ascii="Times New Roman" w:cs="Times New Roman" w:eastAsia="Times New Roman" w:hAnsi="Times New Roman"/>
          <w:sz w:val="19"/>
          <w:szCs w:val="19"/>
          <w:color w:val="auto"/>
        </w:rPr>
      </w:pPr>
    </w:p>
    <w:p>
      <w:pPr>
        <w:jc w:val="both"/>
        <w:ind w:left="5" w:right="100" w:firstLine="643"/>
        <w:spacing w:after="0" w:line="252" w:lineRule="auto"/>
        <w:tabs>
          <w:tab w:leader="none" w:pos="1193"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Accrued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contained herein, a Participant shall be entitled to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Accrued Obligations as of his or her termination of employment, regardless of whether he or she is eligible for severance payments or benefits under this Plan. “</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 shall mean, for any Participant: (i) the portion of such Participant’s Base Salary that has accrued prior to any termination of such Participant’s employment with the Company and has not yet been paid; (ii) the portion of such Participant’s prior-year annual bonus that has been earned prior to any termination of such Participant’s employment with the Company and has not yet been paid; (iii) the amount of any expenses properly incurred by such Participant on behalf of the Company in accordance with Company policy prior to any such termination and not yet reimbursed; and (iv) the amount of such Participant’s vacation time that has accrued prior to any such termination that has not yet been used. A Participant’s entitlement to any other compensation or benefit under any plan of Company shall be governed by and determined in accordance with the terms of such plans, except as otherwise specified in this Plan.</w:t>
      </w:r>
    </w:p>
    <w:p>
      <w:pPr>
        <w:spacing w:after="0" w:line="204" w:lineRule="exact"/>
        <w:rPr>
          <w:rFonts w:ascii="Times New Roman" w:cs="Times New Roman" w:eastAsia="Times New Roman" w:hAnsi="Times New Roman"/>
          <w:sz w:val="20"/>
          <w:szCs w:val="20"/>
          <w:b w:val="1"/>
          <w:bCs w:val="1"/>
          <w:color w:val="auto"/>
        </w:rPr>
      </w:pPr>
    </w:p>
    <w:p>
      <w:pPr>
        <w:jc w:val="both"/>
        <w:ind w:left="5" w:right="100" w:firstLine="644"/>
        <w:spacing w:after="0" w:line="260" w:lineRule="auto"/>
        <w:tabs>
          <w:tab w:leader="none" w:pos="1193"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Non-Duplication of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this Plan will entitle any Participant to receive duplicate benefits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any voluntary or involuntary termination of employment. A Participant’s right to receive any payments under this Plan will be expressly conditioned upon such Participant not receiving severance payments or benefits under any other agreement, program or arrangement.</w:t>
      </w:r>
    </w:p>
    <w:p>
      <w:pPr>
        <w:spacing w:after="0" w:line="191" w:lineRule="exact"/>
        <w:rPr>
          <w:rFonts w:ascii="Times New Roman" w:cs="Times New Roman" w:eastAsia="Times New Roman" w:hAnsi="Times New Roman"/>
          <w:sz w:val="20"/>
          <w:szCs w:val="20"/>
          <w:b w:val="1"/>
          <w:bCs w:val="1"/>
          <w:color w:val="auto"/>
        </w:rPr>
      </w:pPr>
    </w:p>
    <w:p>
      <w:pPr>
        <w:jc w:val="both"/>
        <w:ind w:left="5" w:right="100" w:firstLine="644"/>
        <w:spacing w:after="0" w:line="255" w:lineRule="auto"/>
        <w:tabs>
          <w:tab w:leader="none" w:pos="1184"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Death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 Participant dies after the date Participant commences receiving benefits and payments under the 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Package or the CIC Severance Package, as applicable, but before all such payments or benefits have been paid or provided, payments will be made to any beneficiary designated by Participant prior to or in connection with such Participant’s termination or, if no such beneficiary has been designated, to Participant’s estate.</w:t>
      </w:r>
    </w:p>
    <w:p>
      <w:pPr>
        <w:spacing w:after="0" w:line="210" w:lineRule="exact"/>
        <w:rPr>
          <w:rFonts w:ascii="Times New Roman" w:cs="Times New Roman" w:eastAsia="Times New Roman" w:hAnsi="Times New Roman"/>
          <w:sz w:val="20"/>
          <w:szCs w:val="20"/>
          <w:b w:val="1"/>
          <w:bCs w:val="1"/>
          <w:color w:val="auto"/>
        </w:rPr>
      </w:pPr>
    </w:p>
    <w:p>
      <w:pPr>
        <w:ind w:left="1285" w:hanging="636"/>
        <w:spacing w:after="0"/>
        <w:tabs>
          <w:tab w:leader="none" w:pos="1285"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may withhold from any payment or benefit under this Plan:</w:t>
      </w:r>
    </w:p>
    <w:p>
      <w:pPr>
        <w:spacing w:after="0" w:line="26" w:lineRule="exact"/>
        <w:rPr>
          <w:sz w:val="20"/>
          <w:szCs w:val="20"/>
          <w:color w:val="auto"/>
        </w:rPr>
      </w:pPr>
    </w:p>
    <w:p>
      <w:pPr>
        <w:ind w:left="5" w:right="120" w:hanging="4"/>
        <w:spacing w:after="0" w:line="246" w:lineRule="auto"/>
        <w:tabs>
          <w:tab w:leader="none" w:pos="28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federal, state, or local income or payroll taxes required by law to be withheld with respect to such payment; (b) such sum as the Company may reasonably estimate is necessary to cover any taxes for which</w:t>
      </w:r>
    </w:p>
    <w:p>
      <w:pPr>
        <w:sectPr>
          <w:pgSz w:w="11900" w:h="16838" w:orient="portrait"/>
          <w:cols w:equalWidth="0" w:num="1">
            <w:col w:w="11125"/>
          </w:cols>
          <w:pgMar w:left="435" w:top="851" w:right="339" w:bottom="1440" w:gutter="0" w:footer="0" w:header="0"/>
        </w:sectPr>
      </w:pPr>
    </w:p>
    <w:bookmarkStart w:id="127" w:name="page128"/>
    <w:bookmarkEnd w:id="127"/>
    <w:p>
      <w:pPr>
        <w:ind w:left="99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07"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the Company may be liable and which may be assessed with regard to such payment; and (c) such other amounts as appropriately may be withheld under the Company’s payroll policies and procedures from time to time in effect.</w:t>
      </w:r>
    </w:p>
    <w:p>
      <w:pPr>
        <w:spacing w:after="0" w:line="183" w:lineRule="exact"/>
        <w:rPr>
          <w:sz w:val="20"/>
          <w:szCs w:val="20"/>
          <w:color w:val="auto"/>
        </w:rPr>
      </w:pPr>
    </w:p>
    <w:p>
      <w:pPr>
        <w:jc w:val="both"/>
        <w:ind w:right="100" w:firstLine="644"/>
        <w:spacing w:after="0" w:line="251" w:lineRule="auto"/>
        <w:tabs>
          <w:tab w:leader="none" w:pos="1179"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is expected that the payments and benefits provided under this Plan will be exempt from the application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of the Code, and the guidance issued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Plan shall be interpreted consistent with this intent to the maximum extent permitted and generally, with the provisions of Section 409A. A termination of employment shall not be deemed to have occurred for purposes of any provision of this Plan providing for the payment of any amounts or benefits upon or following a termination of employment (which amounts or benefits constitute nonqualified deferred compensation within the meaning of Section 409A) unless such termination is also a “separation from service” within the meaning of Section 409A and, for purposes of any such provision of this Plan, references to a “termination,” “termination of employment” or like terms shall mean “separation from service”. Neither Participant nor the Company shall have the right to accelerate or defer the delivery of any payment or benefit except to the extent specifically permitted or required by Section 409A. Notwithstanding the foregoing, to the extent the severance payments or benefits under this Plan are subject to Section 409A, the following rules shall apply with respect to distribution of the payments and benefits, if any, to be provided to Participants under this Plan:</w:t>
      </w:r>
    </w:p>
    <w:p>
      <w:pPr>
        <w:spacing w:after="0" w:line="206" w:lineRule="exact"/>
        <w:rPr>
          <w:rFonts w:ascii="Times New Roman" w:cs="Times New Roman" w:eastAsia="Times New Roman" w:hAnsi="Times New Roman"/>
          <w:sz w:val="20"/>
          <w:szCs w:val="20"/>
          <w:b w:val="1"/>
          <w:bCs w:val="1"/>
          <w:color w:val="auto"/>
        </w:rPr>
      </w:pPr>
    </w:p>
    <w:p>
      <w:pPr>
        <w:jc w:val="both"/>
        <w:ind w:right="100" w:firstLine="1292"/>
        <w:spacing w:after="0" w:line="253" w:lineRule="auto"/>
        <w:tabs>
          <w:tab w:leader="none" w:pos="182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installment of the payments and benefits provided under this Plan will be treated as a separate “payment” for purposes of Section 409A. Whenever a payment under this Plan specifies a payment period with reference to a number of days (e.g., “payment shall be made within 10 days following the date of termination”), the actual date of payment within the specified period shall be in the Company’s sole discretion. Notwithstanding any other provision of this Plan to the contrary, in no event shall any payment under this Plan that constitutes “non-qualified deferred compensation” for purposes of Section 409A be subject to transfer, offset, counterclaim or recoupment by any other amount unless otherwise permitted by Section 409A.</w:t>
      </w:r>
    </w:p>
    <w:p>
      <w:pPr>
        <w:spacing w:after="0" w:line="192" w:lineRule="exact"/>
        <w:rPr>
          <w:rFonts w:ascii="Times New Roman" w:cs="Times New Roman" w:eastAsia="Times New Roman" w:hAnsi="Times New Roman"/>
          <w:sz w:val="20"/>
          <w:szCs w:val="20"/>
          <w:color w:val="auto"/>
        </w:rPr>
      </w:pPr>
    </w:p>
    <w:p>
      <w:pPr>
        <w:jc w:val="both"/>
        <w:ind w:right="100" w:firstLine="1291"/>
        <w:spacing w:after="0" w:line="268" w:lineRule="auto"/>
        <w:tabs>
          <w:tab w:leader="none" w:pos="182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payment provision herein to the contrary, if the Company or appropriately-related affiliates is publicly-traded and a Participant is deemed on the date of termination to be a “specified employee” within the meaning of that term under Code Section 409A(a)(2)(B) with respect to such entity, then each of the following shall apply:</w:t>
      </w:r>
    </w:p>
    <w:p>
      <w:pPr>
        <w:spacing w:after="0" w:line="188" w:lineRule="exact"/>
        <w:rPr>
          <w:rFonts w:ascii="Times New Roman" w:cs="Times New Roman" w:eastAsia="Times New Roman" w:hAnsi="Times New Roman"/>
          <w:sz w:val="20"/>
          <w:szCs w:val="20"/>
          <w:color w:val="auto"/>
        </w:rPr>
      </w:pPr>
    </w:p>
    <w:p>
      <w:pPr>
        <w:jc w:val="both"/>
        <w:ind w:left="640" w:right="100" w:firstLine="1299"/>
        <w:spacing w:after="0" w:line="254" w:lineRule="auto"/>
        <w:tabs>
          <w:tab w:leader="none" w:pos="2474"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regard to any payment that is considered “non-qualified deferred compensation” under Section 409A payable on account of a “separation from service,” such payment shall be made on the date which is the earlier of (A) the day following the expiration of the six month period measured from the date of such “separation from service” of Participant, and</w:t>
      </w:r>
    </w:p>
    <w:p>
      <w:pPr>
        <w:jc w:val="both"/>
        <w:ind w:left="640" w:right="120" w:hanging="1"/>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date of Participant’s death (the “</w:t>
      </w:r>
      <w:r>
        <w:rPr>
          <w:rFonts w:ascii="Times New Roman" w:cs="Times New Roman" w:eastAsia="Times New Roman" w:hAnsi="Times New Roman"/>
          <w:sz w:val="20"/>
          <w:szCs w:val="20"/>
          <w:u w:val="single" w:color="auto"/>
          <w:color w:val="auto"/>
        </w:rPr>
        <w:t>Delay Period</w:t>
      </w:r>
      <w:r>
        <w:rPr>
          <w:rFonts w:ascii="Times New Roman" w:cs="Times New Roman" w:eastAsia="Times New Roman" w:hAnsi="Times New Roman"/>
          <w:sz w:val="20"/>
          <w:szCs w:val="20"/>
          <w:color w:val="auto"/>
        </w:rPr>
        <w:t>”) to the extent required under Section 409A. Upon the expiration of the Delay Period, all payments delayed pursuant to this provision (whether otherwise payable in a single sum or in installments in the absence of such delay) shall be paid to or for Participant in a lump sum, and all remaining payments due under this Plan shall be paid or provided for in accordance with the normal payment dates specified herein; and</w:t>
      </w:r>
    </w:p>
    <w:p>
      <w:pPr>
        <w:spacing w:after="0" w:line="216" w:lineRule="exact"/>
        <w:rPr>
          <w:rFonts w:ascii="Times New Roman" w:cs="Times New Roman" w:eastAsia="Times New Roman" w:hAnsi="Times New Roman"/>
          <w:sz w:val="20"/>
          <w:szCs w:val="20"/>
          <w:color w:val="auto"/>
        </w:rPr>
      </w:pPr>
    </w:p>
    <w:p>
      <w:pPr>
        <w:jc w:val="both"/>
        <w:ind w:left="640" w:right="100" w:firstLine="1299"/>
        <w:spacing w:after="0" w:line="253" w:lineRule="auto"/>
        <w:tabs>
          <w:tab w:leader="none" w:pos="2474"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benefits to be provided during the Delay Period are considered “non-qualified deferred compensation” under Section 409A payable on account of a “separation from service,” and such benefits are not otherwise exempt from Section 409A, Participant shall pay the cost of such benefits during the Delay Period, and the Company shall reimburse Participant, to the extent that such costs would otherwise have been paid by the Company or to the extent that such benefits would otherwise have been provided by the Company at no cost to Participant, the Company’s share of the cost of such benefits upon expiration of the Delay Period.</w:t>
      </w:r>
    </w:p>
    <w:p>
      <w:pPr>
        <w:spacing w:after="0" w:line="30"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remaining benefits shall be reimbursed or provided by the Company in accordance with the procedures specified in this Plan.</w:t>
      </w:r>
    </w:p>
    <w:p>
      <w:pPr>
        <w:sectPr>
          <w:pgSz w:w="11900" w:h="16838" w:orient="portrait"/>
          <w:cols w:equalWidth="0" w:num="1">
            <w:col w:w="11120"/>
          </w:cols>
          <w:pgMar w:left="440" w:top="85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58" w:lineRule="exact"/>
        <w:rPr>
          <w:sz w:val="20"/>
          <w:szCs w:val="20"/>
          <w:color w:val="auto"/>
        </w:rPr>
      </w:pPr>
    </w:p>
    <w:p>
      <w:pPr>
        <w:jc w:val="both"/>
        <w:ind w:right="100" w:firstLine="1291"/>
        <w:spacing w:after="0" w:line="258" w:lineRule="auto"/>
        <w:tabs>
          <w:tab w:leader="none" w:pos="182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makes no representations or warranties and shall have no liability to any Participant or any other person, other than with respect to payments made by the Company in violation of the provisions of this Plan, if any provisions of or payments under this Plan are determined to constitute deferred compensation subject to Section 409A of the Code but not to satisfy the conditions of that section.</w:t>
      </w:r>
    </w:p>
    <w:p>
      <w:pPr>
        <w:spacing w:after="0" w:line="208"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Modified 280G Cutback</w:t>
      </w:r>
      <w:r>
        <w:rPr>
          <w:rFonts w:ascii="Times New Roman" w:cs="Times New Roman" w:eastAsia="Times New Roman" w:hAnsi="Times New Roman"/>
          <w:sz w:val="20"/>
          <w:szCs w:val="20"/>
          <w:b w:val="1"/>
          <w:bCs w:val="1"/>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right="100" w:firstLine="1291"/>
        <w:spacing w:after="0" w:line="263" w:lineRule="auto"/>
        <w:tabs>
          <w:tab w:leader="none" w:pos="1826"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payment, benefit or distribution of any type to or for a Participant’s benefit by the Company or any of its affiliates, whether paid or payable, provided or to be provided, or distributed or distributable pursuant to the terms of this Plan or otherwise (including, without limitation, any accelerated vesting of stock options or other equity-based awards) (collectively, the “</w:t>
      </w:r>
      <w:r>
        <w:rPr>
          <w:rFonts w:ascii="Times New Roman" w:cs="Times New Roman" w:eastAsia="Times New Roman" w:hAnsi="Times New Roman"/>
          <w:sz w:val="19"/>
          <w:szCs w:val="19"/>
          <w:u w:val="single" w:color="auto"/>
          <w:color w:val="auto"/>
        </w:rPr>
        <w:t>Total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would be subject to the excise tax imposed under Section 4999 of the Code, then the Total Payments shall be reduced (but not below zero) so that the maximum amount of the Total Payments (after reduction) shall be one dollar ($1.00) less than the amount which would cause the Total Payments to be subject to the excise tax imposed by Section 4999 of the Code, but only if the Total Payments so reduced result in Participant receiving a net after tax amount that exceeds the net after tax amount Participant would receive if the Total Payments were not reduced and were instead subject to the excise tax imposed on excess parachute payments by Section 4999 of the Code. Unless Participant shall have given prior written notice to the Company to effectuate a reduction in the Total Payments if such a reduction is required, any such notice consistent with the requirements of Section 409A to avoid the imputation of any tax, penalty or interest thereunder, the Company shall reduce or eliminate the Total Payments by first reducing or eliminating any cash severance benefits (with the payments to be made furthest in the future being reduced first), then by reducing or eliminating any accelerated vesting of stock options or similar awards, then by reducing or eliminating any accelerated vesting of restricted stock or similar awards, then by reducing or eliminating any other remaining Total Payments. The preceding provisions of this Section shall take precedence over the provisions of any other plan, arrangement or agreement governing Participant’s rights and entitlements to any benefits or compensation.</w:t>
      </w:r>
    </w:p>
    <w:p>
      <w:pPr>
        <w:spacing w:after="0" w:line="215" w:lineRule="exact"/>
        <w:rPr>
          <w:rFonts w:ascii="Times New Roman" w:cs="Times New Roman" w:eastAsia="Times New Roman" w:hAnsi="Times New Roman"/>
          <w:sz w:val="19"/>
          <w:szCs w:val="19"/>
          <w:color w:val="auto"/>
        </w:rPr>
      </w:pPr>
    </w:p>
    <w:p>
      <w:pPr>
        <w:jc w:val="both"/>
        <w:ind w:right="100" w:firstLine="1291"/>
        <w:spacing w:after="0" w:line="251" w:lineRule="auto"/>
        <w:tabs>
          <w:tab w:leader="none" w:pos="182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Total Payments to a Participant are reduced in accordance with Section 14(a), as a result of the uncertainty in the application of Section 4999 of the Code at the time of the initial reduction under Section 14(a), it is possible that Total Payments to a Participant which will not have been made by the Company should have been made (“</w:t>
      </w:r>
      <w:r>
        <w:rPr>
          <w:rFonts w:ascii="Times New Roman" w:cs="Times New Roman" w:eastAsia="Times New Roman" w:hAnsi="Times New Roman"/>
          <w:sz w:val="20"/>
          <w:szCs w:val="20"/>
          <w:u w:val="single" w:color="auto"/>
          <w:color w:val="auto"/>
        </w:rPr>
        <w:t>Underpayment</w:t>
      </w:r>
      <w:r>
        <w:rPr>
          <w:rFonts w:ascii="Times New Roman" w:cs="Times New Roman" w:eastAsia="Times New Roman" w:hAnsi="Times New Roman"/>
          <w:sz w:val="20"/>
          <w:szCs w:val="20"/>
          <w:color w:val="auto"/>
        </w:rPr>
        <w:t>”) or that Total Payments to a Participant which were made should not have been made (“</w:t>
      </w:r>
      <w:r>
        <w:rPr>
          <w:rFonts w:ascii="Times New Roman" w:cs="Times New Roman" w:eastAsia="Times New Roman" w:hAnsi="Times New Roman"/>
          <w:sz w:val="20"/>
          <w:szCs w:val="20"/>
          <w:u w:val="single" w:color="auto"/>
          <w:color w:val="auto"/>
        </w:rPr>
        <w:t>Overpayment</w:t>
      </w:r>
      <w:r>
        <w:rPr>
          <w:rFonts w:ascii="Times New Roman" w:cs="Times New Roman" w:eastAsia="Times New Roman" w:hAnsi="Times New Roman"/>
          <w:sz w:val="20"/>
          <w:szCs w:val="20"/>
          <w:color w:val="auto"/>
        </w:rPr>
        <w:t>”). If an Underpayment has occurred, the amount of any such Underpayment shall be promptly paid by the Company to or for the benefit of such Participant. In the event of an Overpayment, then Participant shall promptly repay to the Company the amount of any such Overpayment together with interest on such amount (at the same rate as is applied to determine the present value of payments under Section 280G of the Code or any successor thereto), from the date the reimbursable payment was received by such Participant to the date the same is repaid to the Company</w:t>
      </w:r>
    </w:p>
    <w:p>
      <w:pPr>
        <w:spacing w:after="0" w:line="218"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Plan Administration</w:t>
      </w:r>
      <w:r>
        <w:rPr>
          <w:rFonts w:ascii="Times New Roman" w:cs="Times New Roman" w:eastAsia="Times New Roman" w:hAnsi="Times New Roman"/>
          <w:sz w:val="20"/>
          <w:szCs w:val="20"/>
          <w:b w:val="1"/>
          <w:bCs w:val="1"/>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right="120" w:firstLine="1292"/>
        <w:spacing w:after="0" w:line="253" w:lineRule="auto"/>
        <w:tabs>
          <w:tab w:leader="none" w:pos="182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The Plan Administrator shall be the Board or a committee thereof designated by the Board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provided, however, that the Board or such Committee (as constituted prior to the closing of a Change in Control) may in its sole discretion appoint a new Plan Administrator to administer this Plan following a Change in Control, which such Plan Administrator shall not be removed or modified following a Change in Control other than at its own initiative. If such Plan Administrator designated by the Board or Committee prior to a Change in Control ceases to serve as Plan</w:t>
      </w:r>
    </w:p>
    <w:p>
      <w:pPr>
        <w:spacing w:after="0" w:line="43"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9"/>
          <w:szCs w:val="19"/>
          <w:color w:val="auto"/>
        </w:rPr>
        <w:t>Administrator at any point after a Change in Control but prior to the later to occur of the first (1st) anniversary of the Change in Control or the final payment of benefits under this Plan to any Participant, then until the later to occur of the first (1st) anniversary of the Change in Control or the final payment of benefits under this Plan to any Participant, any such successor Plan Administrator appointed by the Board</w:t>
      </w:r>
    </w:p>
    <w:p>
      <w:pPr>
        <w:sectPr>
          <w:pgSz w:w="11900" w:h="16838" w:orient="portrait"/>
          <w:cols w:equalWidth="0" w:num="1">
            <w:col w:w="11120"/>
          </w:cols>
          <w:pgMar w:left="440" w:top="851" w:right="339" w:bottom="1440" w:gutter="0" w:footer="0" w:header="0"/>
        </w:sectPr>
      </w:pPr>
    </w:p>
    <w:bookmarkStart w:id="129" w:name="page130"/>
    <w:bookmarkEnd w:id="129"/>
    <w:p>
      <w:pPr>
        <w:ind w:left="99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0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or the Committee shall be a qualified independent third party, such as a retired judge selected by the head of the American Arbitration Association in Manhattan, an independent compensation consultant or a law firm. The Plan Administrator shall also serve as the Named Fiduciary of this Plan under ERISA. The Plan Administrator shall be the “administrator” within the meaning of Section 3(16) of ERISA and shall have all the responsibilities and duties contained therein. Notwithstanding any provision of this Plan to the contrary, any employee(s) appointed to serve as Plan Administrator (whether individually or as members of a committee) shall serve as such only for so long as he or she is an employee of the Company and shall be deemed to resign his or her position effective as of his or her termination of employment (whether voluntary or involuntary). The Plan Administrator can be contacted at the following address: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Quantum-Si Incorporated</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29 Business Park Drive, Suite C Branford, CT 06405</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Head of Human Resources Phone: (866) 688-7374</w:t>
      </w:r>
    </w:p>
    <w:p>
      <w:pPr>
        <w:spacing w:after="0" w:line="241" w:lineRule="exact"/>
        <w:rPr>
          <w:sz w:val="20"/>
          <w:szCs w:val="20"/>
          <w:color w:val="auto"/>
        </w:rPr>
      </w:pPr>
    </w:p>
    <w:p>
      <w:pPr>
        <w:jc w:val="both"/>
        <w:ind w:right="100" w:firstLine="1292"/>
        <w:spacing w:after="0" w:line="250" w:lineRule="auto"/>
        <w:tabs>
          <w:tab w:leader="none" w:pos="182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Decisions, Powers and Duties</w:t>
      </w:r>
      <w:r>
        <w:rPr>
          <w:rFonts w:ascii="Times New Roman" w:cs="Times New Roman" w:eastAsia="Times New Roman" w:hAnsi="Times New Roman"/>
          <w:sz w:val="20"/>
          <w:szCs w:val="20"/>
          <w:color w:val="auto"/>
        </w:rPr>
        <w:t>. The general administration of this Plan and the responsibility for carrying out its provisions shall be vested in the Plan Administrator. The Plan Administrator shall have such powers and authority as are necessary to discharge such duties and responsibilities which also include, but are not limited to, interpretation and construction of this Plan, the determination of all questions of fact, including, without limit, eligibility, participation and benefits, the resolution of any ambiguities and all other related or incidental matters, and such duties and powers of the plan administration which are not assumed from time to time by any other appropriate entity, individual or institution. The Plan Administrator may determine from time to time, in its discretion, whether an employee of the Company who is not an Eligible Employee shall become a Participant in this Plan, provided the Plan Administrator delivers written notice to such employee that the employee will be a Participant in the Plan. The Plan Administrator may adopt rules and regulations of uniform applicability in its interpretation and implementation of this Plan. The Plan Administrator may delegate any of its duties hereunder to such person or persons from time to time as it may designate.</w:t>
      </w:r>
    </w:p>
    <w:p>
      <w:pPr>
        <w:spacing w:after="0" w:line="223" w:lineRule="exact"/>
        <w:rPr>
          <w:rFonts w:ascii="Times New Roman" w:cs="Times New Roman" w:eastAsia="Times New Roman" w:hAnsi="Times New Roman"/>
          <w:sz w:val="20"/>
          <w:szCs w:val="20"/>
          <w:color w:val="auto"/>
        </w:rPr>
      </w:pPr>
    </w:p>
    <w:p>
      <w:pPr>
        <w:jc w:val="both"/>
        <w:ind w:right="100" w:firstLine="1291"/>
        <w:spacing w:after="0" w:line="251" w:lineRule="auto"/>
        <w:tabs>
          <w:tab w:leader="none" w:pos="182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Administrator shall discharge its duties and responsibilities and exercise its powers and authority in its sole discretion and in accordance with the terms of the controlling legal documents and applicable law, and its actions and decisions that are not arbitrary and capricious shall be binding on any employee, and employee’s spouse or other dependent or beneficiary and any other interested parties whether or not in being or under a disability. The Plan Administrator is empowered, on behalf of this Plan, to engage accountants, legal counsel and such other personnel as it deems necessary or advisable to assist it in the performance of its duties under this Plan. The functions of any such persons engaged by the Plan Administrator shall be limited to the specified services and duties for which they are engaged, and such persons shall have no other duties, obligations or responsibilities under this Plan. Such persons shall exercise no discretionary authority or discretionary control respecting the management of this Plan.</w:t>
      </w:r>
    </w:p>
    <w:p>
      <w:pPr>
        <w:spacing w:after="0" w:line="195" w:lineRule="exact"/>
        <w:rPr>
          <w:rFonts w:ascii="Times New Roman" w:cs="Times New Roman" w:eastAsia="Times New Roman" w:hAnsi="Times New Roman"/>
          <w:sz w:val="20"/>
          <w:szCs w:val="20"/>
          <w:color w:val="auto"/>
        </w:rPr>
      </w:pPr>
    </w:p>
    <w:p>
      <w:pPr>
        <w:jc w:val="both"/>
        <w:ind w:right="100" w:firstLine="1291"/>
        <w:spacing w:after="0" w:line="253" w:lineRule="auto"/>
        <w:tabs>
          <w:tab w:leader="none" w:pos="182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reimburse the Plan Administrator or the Committee for any expenses incurred in good faith in the course of carrying out its obligations under this Plan, including, but not limited to, attorney’s fees, claims, fines, judgments, taxes, causes of action or liability and amounts paid in settlement, actually and reasonably incurred by such Committee or Plan Administrator, unless such expense, claim, fine, judgment, taxes, cause of action, liability or amount arose from his or her negligence, fraud or willful breach of his or her fiduciary responsibilities under ERISA.</w:t>
      </w:r>
    </w:p>
    <w:p>
      <w:pPr>
        <w:spacing w:after="0" w:line="39"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Claims, Inquiries and Appeals</w:t>
      </w:r>
      <w:r>
        <w:rPr>
          <w:rFonts w:ascii="Times New Roman" w:cs="Times New Roman" w:eastAsia="Times New Roman" w:hAnsi="Times New Roman"/>
          <w:sz w:val="20"/>
          <w:szCs w:val="20"/>
          <w:b w:val="1"/>
          <w:bCs w:val="1"/>
          <w:color w:val="auto"/>
        </w:rPr>
        <w:t>.</w:t>
      </w:r>
    </w:p>
    <w:p>
      <w:pPr>
        <w:sectPr>
          <w:pgSz w:w="11900" w:h="16838" w:orient="portrait"/>
          <w:cols w:equalWidth="0" w:num="1">
            <w:col w:w="11120"/>
          </w:cols>
          <w:pgMar w:left="440" w:top="85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28" w:lineRule="exact"/>
        <w:rPr>
          <w:sz w:val="20"/>
          <w:szCs w:val="20"/>
          <w:color w:val="auto"/>
        </w:rPr>
      </w:pPr>
    </w:p>
    <w:p>
      <w:pPr>
        <w:ind w:right="120" w:firstLine="1292"/>
        <w:spacing w:after="0" w:line="258" w:lineRule="auto"/>
        <w:tabs>
          <w:tab w:leader="none" w:pos="182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Applications for Benefits and Inquiries</w:t>
      </w:r>
      <w:r>
        <w:rPr>
          <w:rFonts w:ascii="Times New Roman" w:cs="Times New Roman" w:eastAsia="Times New Roman" w:hAnsi="Times New Roman"/>
          <w:sz w:val="20"/>
          <w:szCs w:val="20"/>
          <w:color w:val="auto"/>
        </w:rPr>
        <w:t>. Any application for benefits under or inquiries about this Plan or inquiries about present or future rights under this Plan must be submitted to the Plan Administrator in writing, as follows:</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Administrator Quantum-Si Incorporated</w:t>
      </w:r>
    </w:p>
    <w:p>
      <w:pPr>
        <w:spacing w:after="0" w:line="6"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 Business Park Drive, Suite C Branford, CT 06405</w:t>
      </w:r>
    </w:p>
    <w:p>
      <w:pPr>
        <w:spacing w:after="0" w:line="213" w:lineRule="exact"/>
        <w:rPr>
          <w:rFonts w:ascii="Times New Roman" w:cs="Times New Roman" w:eastAsia="Times New Roman" w:hAnsi="Times New Roman"/>
          <w:sz w:val="20"/>
          <w:szCs w:val="20"/>
          <w:color w:val="auto"/>
        </w:rPr>
      </w:pPr>
    </w:p>
    <w:p>
      <w:pPr>
        <w:jc w:val="both"/>
        <w:ind w:right="100" w:firstLine="1292"/>
        <w:spacing w:after="0" w:line="265" w:lineRule="auto"/>
        <w:tabs>
          <w:tab w:leader="none" w:pos="182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Denial of Claims</w:t>
      </w:r>
      <w:r>
        <w:rPr>
          <w:rFonts w:ascii="Times New Roman" w:cs="Times New Roman" w:eastAsia="Times New Roman" w:hAnsi="Times New Roman"/>
          <w:sz w:val="19"/>
          <w:szCs w:val="19"/>
          <w:color w:val="auto"/>
        </w:rPr>
        <w:t>. In the event that any application for benefits is denied in whole or in part, the Plan Administrator must notify the applicant, in writing, of the denial of the application, and of the applicant’s right to review the denial. The written notice of denial will be set forth in a manner designed to be understood by the applicant, and will include specific reasons for the denial, specific references to this Plan provision upon which the denial is based, a description of any information or material that the Plan Administrator needs to complete the review and an explanation of this Plan’s review procedure. This written notice will be given to the applicant within 15 days after the Plan Administrator receives the application, unless special circumstances require an extension of time, in which case, the Plan Administrator has up to an additional 15 days for processing the application. If an extension of time for processing is required, written notice of the extension will be furnished to the applicant before the end of the initial 15-day period. This notice of extension will describe the special circumstances necessitating the additional time and the date by which the Plan Administrator is to render his or her decision on the application. If written notice of denial of the application for benefits is not furnished within the specified time, the application shall be deemed to be denied. The applicant will then be permitted to appeal the denial in accordance with the review procedure described below.</w:t>
      </w:r>
    </w:p>
    <w:p>
      <w:pPr>
        <w:spacing w:after="0" w:line="208" w:lineRule="exact"/>
        <w:rPr>
          <w:rFonts w:ascii="Times New Roman" w:cs="Times New Roman" w:eastAsia="Times New Roman" w:hAnsi="Times New Roman"/>
          <w:sz w:val="19"/>
          <w:szCs w:val="19"/>
          <w:color w:val="auto"/>
        </w:rPr>
      </w:pPr>
    </w:p>
    <w:p>
      <w:pPr>
        <w:jc w:val="both"/>
        <w:ind w:right="100" w:firstLine="1292"/>
        <w:spacing w:after="0" w:line="253" w:lineRule="auto"/>
        <w:tabs>
          <w:tab w:leader="none" w:pos="182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a Review</w:t>
      </w:r>
      <w:r>
        <w:rPr>
          <w:rFonts w:ascii="Times New Roman" w:cs="Times New Roman" w:eastAsia="Times New Roman" w:hAnsi="Times New Roman"/>
          <w:sz w:val="20"/>
          <w:szCs w:val="20"/>
          <w:color w:val="auto"/>
        </w:rPr>
        <w:t>. Any person (or that person’s authorized representative) for whom an application for benefits is denied, in whole or in part, may appeal the denial by submitting a request for a review to the Plan Administrator within 30 days after the application is denied (or deemed denied). The Plan Administrator will give the applicant (or his or her representative) an opportunity to review pertinent documents in preparing a request for a review and submit written comments, documents, records and other information relating to the claim. A request for a review shall be in writing and shall be addressed 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Plan Administrator Quantum-Si Incorporated</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29 Business Park Drive, Suite C Branford, CT 06405</w:t>
      </w:r>
    </w:p>
    <w:p>
      <w:pPr>
        <w:spacing w:after="0" w:line="2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A request for review must set forth all of the grounds on which it is based, all facts in support of the request and any other matters that the applicant feels are pertinent. The Plan Administrator may require the applicant to submit additional facts, documents or other material as he or she may find necessary or appropriate in making his or her review.</w:t>
      </w:r>
    </w:p>
    <w:p>
      <w:pPr>
        <w:spacing w:after="0" w:line="208" w:lineRule="exact"/>
        <w:rPr>
          <w:sz w:val="20"/>
          <w:szCs w:val="20"/>
          <w:color w:val="auto"/>
        </w:rPr>
      </w:pPr>
    </w:p>
    <w:p>
      <w:pPr>
        <w:jc w:val="both"/>
        <w:ind w:right="100" w:firstLine="1292"/>
        <w:spacing w:after="0" w:line="253" w:lineRule="auto"/>
        <w:tabs>
          <w:tab w:leader="none" w:pos="18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Decision on Review</w:t>
      </w:r>
      <w:r>
        <w:rPr>
          <w:rFonts w:ascii="Times New Roman" w:cs="Times New Roman" w:eastAsia="Times New Roman" w:hAnsi="Times New Roman"/>
          <w:sz w:val="20"/>
          <w:szCs w:val="20"/>
          <w:color w:val="auto"/>
        </w:rPr>
        <w:t>. The Plan Administrator will act on each request for review within 15 days after receipt of the request, unless special circumstances require an extension of time (not to exceed an additional 15 days), for processing the request for a review. If an extension for review is required, written notice of the extension will be furnished to the applicant within the initial 15-day period. The Plan Administrator will give prompt, written notice of his or her decision to the applicant. In the event that the Plan Administrator confirms the denial of the application for benefits in whole or in part, the notice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outline, in a manner calculated to be understood by the applicant, the specific Plan provisions upon which the decision is based.</w:t>
      </w:r>
    </w:p>
    <w:p>
      <w:pPr>
        <w:sectPr>
          <w:pgSz w:w="11900" w:h="16838" w:orient="portrait"/>
          <w:cols w:equalWidth="0" w:num="1">
            <w:col w:w="11120"/>
          </w:cols>
          <w:pgMar w:left="440" w:top="85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71" w:lineRule="exact"/>
        <w:rPr>
          <w:sz w:val="20"/>
          <w:szCs w:val="20"/>
          <w:color w:val="auto"/>
        </w:rPr>
      </w:pPr>
    </w:p>
    <w:p>
      <w:pPr>
        <w:jc w:val="both"/>
        <w:ind w:right="100" w:firstLine="1291"/>
        <w:spacing w:after="0" w:line="258" w:lineRule="auto"/>
        <w:tabs>
          <w:tab w:leader="none" w:pos="182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Rules and Procedures</w:t>
      </w:r>
      <w:r>
        <w:rPr>
          <w:rFonts w:ascii="Times New Roman" w:cs="Times New Roman" w:eastAsia="Times New Roman" w:hAnsi="Times New Roman"/>
          <w:sz w:val="20"/>
          <w:szCs w:val="20"/>
          <w:color w:val="auto"/>
        </w:rPr>
        <w:t>. The Plan Administrator may establish rules and procedures, consistent with this Plan and with ERISA, as necessary and appropriate in carrying out his or her responsibilities in reviewing benefit claims. The Plan Administrator may require an applicant who wishes to submit additional information in connection with an appeal from the denial (or deemed denial) of benefits to do so at the applicant’s own expense.</w:t>
      </w:r>
    </w:p>
    <w:p>
      <w:pPr>
        <w:spacing w:after="0" w:line="212" w:lineRule="exact"/>
        <w:rPr>
          <w:rFonts w:ascii="Times New Roman" w:cs="Times New Roman" w:eastAsia="Times New Roman" w:hAnsi="Times New Roman"/>
          <w:sz w:val="20"/>
          <w:szCs w:val="20"/>
          <w:color w:val="auto"/>
        </w:rPr>
      </w:pPr>
    </w:p>
    <w:p>
      <w:pPr>
        <w:jc w:val="both"/>
        <w:ind w:right="100" w:firstLine="1291"/>
        <w:spacing w:after="0" w:line="251" w:lineRule="auto"/>
        <w:tabs>
          <w:tab w:leader="none" w:pos="183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Exhaustion of Remedies</w:t>
      </w:r>
      <w:r>
        <w:rPr>
          <w:rFonts w:ascii="Times New Roman" w:cs="Times New Roman" w:eastAsia="Times New Roman" w:hAnsi="Times New Roman"/>
          <w:sz w:val="20"/>
          <w:szCs w:val="20"/>
          <w:color w:val="auto"/>
        </w:rPr>
        <w:t>. No legal action for benefits under this Plan may be brought until the claimant (i) has submitted a written application for benefits in accordance with the procedures described by Section 15(a) above, (ii) has been notified by the Plan Administrator that the application is denied (or the application is deemed denied due to the Plan Administrator’s failure to act on it within the established time period), (iii) has filed a written request for a review of the application in accordance with the appeal procedure described in Section 15(c) above and (iv) has been notified in writing that the Plan Administrator has denied the appeal (or the appeal is deemed to be denied due to the Plan Administrator’s failure to take any action on the claim within the time prescribed by Section 15(d) above).</w:t>
      </w:r>
    </w:p>
    <w:p>
      <w:pPr>
        <w:spacing w:after="0" w:line="202" w:lineRule="exact"/>
        <w:rPr>
          <w:rFonts w:ascii="Times New Roman" w:cs="Times New Roman" w:eastAsia="Times New Roman" w:hAnsi="Times New Roman"/>
          <w:sz w:val="20"/>
          <w:szCs w:val="20"/>
          <w:color w:val="auto"/>
        </w:rPr>
      </w:pPr>
    </w:p>
    <w:p>
      <w:pPr>
        <w:jc w:val="both"/>
        <w:ind w:right="100" w:firstLine="644"/>
        <w:spacing w:after="0" w:line="254" w:lineRule="auto"/>
        <w:tabs>
          <w:tab w:leader="none" w:pos="1179"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by law, the Plan Administrator and all employees, officers, directors, agents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representatives of the Company shall be indemnified by the Company and held harmless against any claims and all associated expenses of defending against such claims, resulting from any action or conduct relating to the administration of this Plan, whether as a member of the Committee or otherwise, except to the extent that such claims arise from gross negligence, willful neglect, or willful misconduct. The Company shall advance all expenses for which a party is indemnified under this Section 16 to such indemnified party or shall arrange for direct payment of any such expenses by the Company.</w:t>
      </w:r>
    </w:p>
    <w:p>
      <w:pPr>
        <w:spacing w:after="0" w:line="200" w:lineRule="exact"/>
        <w:rPr>
          <w:rFonts w:ascii="Times New Roman" w:cs="Times New Roman" w:eastAsia="Times New Roman" w:hAnsi="Times New Roman"/>
          <w:sz w:val="20"/>
          <w:szCs w:val="20"/>
          <w:b w:val="1"/>
          <w:bCs w:val="1"/>
          <w:color w:val="auto"/>
        </w:rPr>
      </w:pPr>
    </w:p>
    <w:p>
      <w:pPr>
        <w:jc w:val="both"/>
        <w:ind w:right="100" w:firstLine="644"/>
        <w:spacing w:after="0" w:line="258" w:lineRule="auto"/>
        <w:tabs>
          <w:tab w:leader="none" w:pos="1179"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Plan Not an Employment Contract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is not a contract between the Company and any employee, nor is 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 of employment of any employee. Nothing contained in this Plan gives, or is intended to give, any employee the right to be retained in the service of the Company, or to interfere with the right of the Company to discharge or terminate the employment of any employee at any time and for any reason. No employee shall have the right or claim to benefits beyond those expressly provided in this Plan, if any. All rights and claims are limited as set forth in this Plan.</w:t>
      </w:r>
    </w:p>
    <w:p>
      <w:pPr>
        <w:spacing w:after="0" w:line="194" w:lineRule="exact"/>
        <w:rPr>
          <w:rFonts w:ascii="Times New Roman" w:cs="Times New Roman" w:eastAsia="Times New Roman" w:hAnsi="Times New Roman"/>
          <w:sz w:val="20"/>
          <w:szCs w:val="20"/>
          <w:b w:val="1"/>
          <w:bCs w:val="1"/>
          <w:color w:val="auto"/>
        </w:rPr>
      </w:pPr>
    </w:p>
    <w:p>
      <w:pPr>
        <w:jc w:val="both"/>
        <w:ind w:right="100" w:firstLine="644"/>
        <w:spacing w:after="0" w:line="263" w:lineRule="auto"/>
        <w:tabs>
          <w:tab w:leader="none" w:pos="1179"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case any one or more of the provisions of this Plan (or part thereof) shall be held to be invalid, illegal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in any respect, such invalidity, illegality or unenforceability shall not affect the other provisions hereof, and this Plan shall be construed as if such invalid, illegal or unenforceable provisions (or part thereof) never had been contained herein.</w:t>
      </w:r>
    </w:p>
    <w:p>
      <w:pPr>
        <w:spacing w:after="0" w:line="188" w:lineRule="exact"/>
        <w:rPr>
          <w:rFonts w:ascii="Times New Roman" w:cs="Times New Roman" w:eastAsia="Times New Roman" w:hAnsi="Times New Roman"/>
          <w:sz w:val="20"/>
          <w:szCs w:val="20"/>
          <w:b w:val="1"/>
          <w:bCs w:val="1"/>
          <w:color w:val="auto"/>
        </w:rPr>
      </w:pPr>
    </w:p>
    <w:p>
      <w:pPr>
        <w:jc w:val="both"/>
        <w:ind w:right="100" w:firstLine="644"/>
        <w:spacing w:after="0" w:line="263" w:lineRule="auto"/>
        <w:tabs>
          <w:tab w:leader="none" w:pos="1179"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 Assignability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right or interest of any Participant in this Plan shall be assignable or transferable in whole or in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either directly or by operation of law or otherwise, including, but not limited to, execution, levy, garnishment, attachment, pledge or bankruptcy.</w:t>
      </w:r>
    </w:p>
    <w:p>
      <w:pPr>
        <w:spacing w:after="0" w:line="202" w:lineRule="exact"/>
        <w:rPr>
          <w:rFonts w:ascii="Times New Roman" w:cs="Times New Roman" w:eastAsia="Times New Roman" w:hAnsi="Times New Roman"/>
          <w:sz w:val="20"/>
          <w:szCs w:val="20"/>
          <w:b w:val="1"/>
          <w:bCs w:val="1"/>
          <w:color w:val="auto"/>
        </w:rPr>
      </w:pPr>
    </w:p>
    <w:p>
      <w:pPr>
        <w:jc w:val="both"/>
        <w:ind w:right="100" w:firstLine="644"/>
        <w:spacing w:after="0" w:line="252" w:lineRule="auto"/>
        <w:tabs>
          <w:tab w:leader="none" w:pos="1179"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Integration With Other Pay or Benefits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severance payments and benefits provided for in this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the maximum benefits that the Company will pay to Participants on a termination of employment, except to the extent otherwise required by applicable law. To the extent that any federal, state or local law, including, without limitation, so called “plant closing” laws, requires the Company to give advance notice or make a payment of any kind to an employee because of that employee’s involuntary termination due to a layoff, reduction in force, plant or facility closing, sale of business, or similar event, the benefits provided under this Plan or the other arrangement shall either be reduced or eliminated to avoid any duplication of payment. The Company intends for the benefits provided under this</w:t>
      </w:r>
    </w:p>
    <w:p>
      <w:pPr>
        <w:sectPr>
          <w:pgSz w:w="11900" w:h="16838" w:orient="portrait"/>
          <w:cols w:equalWidth="0" w:num="1">
            <w:col w:w="11120"/>
          </w:cols>
          <w:pgMar w:left="440" w:top="851" w:right="339" w:bottom="1440" w:gutter="0" w:footer="0" w:header="0"/>
        </w:sectPr>
      </w:pPr>
    </w:p>
    <w:bookmarkStart w:id="132" w:name="page133"/>
    <w:bookmarkEnd w:id="132"/>
    <w:p>
      <w:pPr>
        <w:ind w:left="99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07"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Plan to partially or fully satisfy any and all statutory obligations that may arise out of an employee’s involuntary termination for the foregoing reasons and the Company shall so construe and implement the terms of this Plan.</w:t>
      </w:r>
    </w:p>
    <w:p>
      <w:pPr>
        <w:spacing w:after="0" w:line="183" w:lineRule="exact"/>
        <w:rPr>
          <w:sz w:val="20"/>
          <w:szCs w:val="20"/>
          <w:color w:val="auto"/>
        </w:rPr>
      </w:pPr>
    </w:p>
    <w:p>
      <w:pPr>
        <w:jc w:val="both"/>
        <w:ind w:right="100" w:firstLine="643"/>
        <w:spacing w:after="0" w:line="252" w:lineRule="auto"/>
        <w:tabs>
          <w:tab w:leader="none" w:pos="117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or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may amend, modify, or terminate this Plan at any time in its sole discretion;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however, that: (a) any such amendment, modification or termination made prior to a Change in Control that adversely affects the rights of any Participant shall be approved by the Company’s Board of Directors; (b) no such amendment, modification or termination may adversely affect the rights of a Participant then receiving payments or benefits under this Plan without the consent of such person; and (c) no such amendment, modification or termination made after a Change in Control shall be effective until after the later to occur of the first (1st) anniversary of the Change in Control or the final payment of benefits under this Plan to any Participant. The Board intends to review this Plan at least annually.</w:t>
      </w:r>
    </w:p>
    <w:p>
      <w:pPr>
        <w:spacing w:after="0" w:line="213" w:lineRule="exact"/>
        <w:rPr>
          <w:rFonts w:ascii="Times New Roman" w:cs="Times New Roman" w:eastAsia="Times New Roman" w:hAnsi="Times New Roman"/>
          <w:sz w:val="20"/>
          <w:szCs w:val="20"/>
          <w:b w:val="1"/>
          <w:bCs w:val="1"/>
          <w:color w:val="auto"/>
        </w:rPr>
      </w:pPr>
    </w:p>
    <w:p>
      <w:pPr>
        <w:jc w:val="both"/>
        <w:ind w:right="100" w:firstLine="644"/>
        <w:spacing w:after="0" w:line="263" w:lineRule="auto"/>
        <w:tabs>
          <w:tab w:leader="none" w:pos="117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Source of Benefit</w:t>
      </w:r>
      <w:r>
        <w:rPr>
          <w:rFonts w:ascii="Times New Roman" w:cs="Times New Roman" w:eastAsia="Times New Roman" w:hAnsi="Times New Roman"/>
          <w:sz w:val="20"/>
          <w:szCs w:val="20"/>
          <w:color w:val="auto"/>
        </w:rPr>
        <w:t>. The Company will pay benefits under the Plan from its general assets to the extent available.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is not funded through a trust fund or insurance contracts. No employee shall have any right to, or interest in, any assets of the Company upon termination of employment or otherwise.</w:t>
      </w:r>
    </w:p>
    <w:p>
      <w:pPr>
        <w:spacing w:after="0" w:line="202" w:lineRule="exact"/>
        <w:rPr>
          <w:rFonts w:ascii="Times New Roman" w:cs="Times New Roman" w:eastAsia="Times New Roman" w:hAnsi="Times New Roman"/>
          <w:sz w:val="20"/>
          <w:szCs w:val="20"/>
          <w:b w:val="1"/>
          <w:bCs w:val="1"/>
          <w:color w:val="auto"/>
        </w:rPr>
      </w:pPr>
    </w:p>
    <w:p>
      <w:pPr>
        <w:ind w:right="100" w:firstLine="644"/>
        <w:spacing w:after="0" w:line="273" w:lineRule="auto"/>
        <w:tabs>
          <w:tab w:leader="none" w:pos="117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Statement of ERISA Rights</w:t>
      </w:r>
      <w:r>
        <w:rPr>
          <w:rFonts w:ascii="Times New Roman" w:cs="Times New Roman" w:eastAsia="Times New Roman" w:hAnsi="Times New Roman"/>
          <w:sz w:val="20"/>
          <w:szCs w:val="20"/>
          <w:color w:val="auto"/>
        </w:rPr>
        <w:t>. Participants are entitled to certain rights and protections under the Employee Retirement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Security Act of 1974, as amended (“ERISA”). ERISA provides that Participants are entitled to the following rights:</w:t>
      </w:r>
    </w:p>
    <w:p>
      <w:pPr>
        <w:spacing w:after="0" w:line="182" w:lineRule="exact"/>
        <w:rPr>
          <w:rFonts w:ascii="Times New Roman" w:cs="Times New Roman" w:eastAsia="Times New Roman" w:hAnsi="Times New Roman"/>
          <w:sz w:val="20"/>
          <w:szCs w:val="20"/>
          <w:b w:val="1"/>
          <w:bCs w:val="1"/>
          <w:color w:val="auto"/>
        </w:rPr>
      </w:pPr>
    </w:p>
    <w:p>
      <w:pPr>
        <w:jc w:val="both"/>
        <w:ind w:right="100" w:firstLine="1291"/>
        <w:spacing w:after="0" w:line="251" w:lineRule="auto"/>
        <w:tabs>
          <w:tab w:leader="none" w:pos="182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Receive Information About the Plan and Benefits</w:t>
      </w:r>
      <w:r>
        <w:rPr>
          <w:rFonts w:ascii="Times New Roman" w:cs="Times New Roman" w:eastAsia="Times New Roman" w:hAnsi="Times New Roman"/>
          <w:sz w:val="20"/>
          <w:szCs w:val="20"/>
          <w:color w:val="auto"/>
        </w:rPr>
        <w:t>. A Participant may examine, without charge, at the Plan Administrator’s office all documents governing the Plan and, if applicable, a copy of the latest annual report (Form 5500) filed with the U.S. Department of Labor and available at the Public Disclosure Room of the Employee Benefits Security Administration. A Participant may also obtain copies of these documents upon written request to the Plan Administrator. There may be a reasonable charge for the cost of copying. A Participant is also entitled to receive a summary of the Plan’s annual financial report. The Plan Administrator is required by law to furnish each Participant with a copy of this summary annual report.</w:t>
      </w:r>
    </w:p>
    <w:p>
      <w:pPr>
        <w:spacing w:after="0" w:line="190" w:lineRule="exact"/>
        <w:rPr>
          <w:rFonts w:ascii="Times New Roman" w:cs="Times New Roman" w:eastAsia="Times New Roman" w:hAnsi="Times New Roman"/>
          <w:sz w:val="20"/>
          <w:szCs w:val="20"/>
          <w:color w:val="auto"/>
        </w:rPr>
      </w:pPr>
    </w:p>
    <w:p>
      <w:pPr>
        <w:jc w:val="both"/>
        <w:ind w:right="100" w:firstLine="1291"/>
        <w:spacing w:after="0" w:line="257" w:lineRule="auto"/>
        <w:tabs>
          <w:tab w:leader="none" w:pos="182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Prudent Actions by Plan Fiduciaries</w:t>
      </w:r>
      <w:r>
        <w:rPr>
          <w:rFonts w:ascii="Times New Roman" w:cs="Times New Roman" w:eastAsia="Times New Roman" w:hAnsi="Times New Roman"/>
          <w:sz w:val="20"/>
          <w:szCs w:val="20"/>
          <w:color w:val="auto"/>
        </w:rPr>
        <w:t>. In addition to creating rights for Plan participants, ERISA imposes duties upon the people who are responsible for the operation of the Plan. The people who operate the Plan, called “fiduciaries,” have a duty to do so prudently and in the interest of the Plan’s Participants and their beneficiaries. No one, including the Company, may fire you or otherwise discriminate against a Participant in any way to prevent the Participant from obtaining a welfare benefit or exercising the Participant’s rights under ERISA.</w:t>
      </w:r>
    </w:p>
    <w:p>
      <w:pPr>
        <w:spacing w:after="0" w:line="172" w:lineRule="exact"/>
        <w:rPr>
          <w:rFonts w:ascii="Times New Roman" w:cs="Times New Roman" w:eastAsia="Times New Roman" w:hAnsi="Times New Roman"/>
          <w:sz w:val="20"/>
          <w:szCs w:val="20"/>
          <w:color w:val="auto"/>
        </w:rPr>
      </w:pPr>
    </w:p>
    <w:p>
      <w:pPr>
        <w:jc w:val="both"/>
        <w:ind w:right="100" w:firstLine="1291"/>
        <w:spacing w:after="0" w:line="250" w:lineRule="auto"/>
        <w:tabs>
          <w:tab w:leader="none" w:pos="182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 Participant Rights</w:t>
      </w:r>
      <w:r>
        <w:rPr>
          <w:rFonts w:ascii="Times New Roman" w:cs="Times New Roman" w:eastAsia="Times New Roman" w:hAnsi="Times New Roman"/>
          <w:sz w:val="20"/>
          <w:szCs w:val="20"/>
          <w:color w:val="auto"/>
        </w:rPr>
        <w:t>. If a Participant’ claim for a welfare benefit is denied or ignored, in whole or in part, the Participant has the right to know the reason and to obtain copies of documents relating to the decision without charge, and to appeal any denial, all within certain timeframes as set forth in this Plan. Under ERISA, there are steps a Participant can take to enforce the above rights. For instance, if a Participant requests a copy of Plan documents, or the latest annual report from the Plan and the Participant does not receive them within 30 days, the Participant may file suit in a federal court. In such a case, the court may require the Plan Administrator to provide the materials to the Participant and pay the Participant up to $110 per day until the Participant receives the materials, unless the materials were not sent because of reasons beyond the control of the Plan Administrator. If the Participant has a claim for benefits that is denied or ignored, in whole or in part, the Participant may file suit in federal or state court, provided the Participant has exhausted the Plan’s administrative remedies (i.e. claims procedures). If it should happen that the Plan fiduciaries misuse the Plan’s money, or if a Participant is discriminated against</w:t>
      </w:r>
    </w:p>
    <w:p>
      <w:pPr>
        <w:spacing w:after="0" w:line="4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for asserting the Participant’s rights under this Plan or under ERISA, the Participant may seek assistance from the U.S. Department of Labor, or may file suit in federal court. The court will decide who should</w:t>
      </w:r>
    </w:p>
    <w:p>
      <w:pPr>
        <w:sectPr>
          <w:pgSz w:w="11900" w:h="16838" w:orient="portrait"/>
          <w:cols w:equalWidth="0" w:num="1">
            <w:col w:w="11120"/>
          </w:cols>
          <w:pgMar w:left="440" w:top="850" w:right="339" w:bottom="1440" w:gutter="0" w:footer="0" w:header="0"/>
        </w:sectPr>
      </w:pPr>
    </w:p>
    <w:bookmarkStart w:id="133" w:name="page134"/>
    <w:bookmarkEnd w:id="133"/>
    <w:p>
      <w:pPr>
        <w:ind w:left="99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07"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pay court costs and legal fees. If a Participant is successful, the court may order the person that the Participant sued to pay these costs and fees. If a Participant loses, the court may order the Participant to pay these costs and fees if it finds the Participant’s claim is frivolous.</w:t>
      </w:r>
    </w:p>
    <w:p>
      <w:pPr>
        <w:spacing w:after="0" w:line="160" w:lineRule="exact"/>
        <w:rPr>
          <w:sz w:val="20"/>
          <w:szCs w:val="20"/>
          <w:color w:val="auto"/>
        </w:rPr>
      </w:pPr>
    </w:p>
    <w:p>
      <w:pPr>
        <w:jc w:val="both"/>
        <w:ind w:right="100" w:firstLine="1291"/>
        <w:spacing w:after="0" w:line="251" w:lineRule="auto"/>
        <w:tabs>
          <w:tab w:leader="none" w:pos="182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Assistance With Questions</w:t>
      </w:r>
      <w:r>
        <w:rPr>
          <w:rFonts w:ascii="Times New Roman" w:cs="Times New Roman" w:eastAsia="Times New Roman" w:hAnsi="Times New Roman"/>
          <w:sz w:val="20"/>
          <w:szCs w:val="20"/>
          <w:color w:val="auto"/>
        </w:rPr>
        <w:t>. If a Participant has any questions about the Plan, the Participant should contact the Plan Administrator. If a Participant has questions about this statement or about the Participant’s rights under ERISA, the Participant should contact the nearest office of the Employee Benefits Security Administration, U.S. Department of Labor, listed in your telephone directory or the Division of Participant Assistance and Communications, Employee Benefits Security Administration, U.S. Department of Labor, 200 Constitution Avenue, N.W., Washington, D.C. 20210. The Participant may obtain publications about the Participant’s rights and responsibilities under ERISA by calling the publications hotline of the Employee Benefits Security Administration. A Participant may also access the Employee Benefits Security Administration’s website at www.dol.gov/ebsa.</w:t>
      </w:r>
    </w:p>
    <w:p>
      <w:pPr>
        <w:spacing w:after="0" w:line="188"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Type of Plan</w:t>
      </w:r>
      <w:r>
        <w:rPr>
          <w:rFonts w:ascii="Times New Roman" w:cs="Times New Roman" w:eastAsia="Times New Roman" w:hAnsi="Times New Roman"/>
          <w:sz w:val="20"/>
          <w:szCs w:val="20"/>
          <w:color w:val="auto"/>
        </w:rPr>
        <w:t>. This Plan is a severance pay Plan.</w:t>
      </w:r>
    </w:p>
    <w:p>
      <w:pPr>
        <w:spacing w:after="0" w:line="242" w:lineRule="exact"/>
        <w:rPr>
          <w:rFonts w:ascii="Times New Roman" w:cs="Times New Roman" w:eastAsia="Times New Roman" w:hAnsi="Times New Roman"/>
          <w:sz w:val="20"/>
          <w:szCs w:val="20"/>
          <w:b w:val="1"/>
          <w:bCs w:val="1"/>
          <w:color w:val="auto"/>
        </w:rPr>
      </w:pPr>
    </w:p>
    <w:p>
      <w:pPr>
        <w:ind w:right="280" w:firstLine="644"/>
        <w:spacing w:after="0" w:line="287" w:lineRule="auto"/>
        <w:tabs>
          <w:tab w:leader="none" w:pos="1179"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Plan Sponsor</w:t>
      </w:r>
      <w:r>
        <w:rPr>
          <w:rFonts w:ascii="Times New Roman" w:cs="Times New Roman" w:eastAsia="Times New Roman" w:hAnsi="Times New Roman"/>
          <w:sz w:val="20"/>
          <w:szCs w:val="20"/>
          <w:color w:val="auto"/>
        </w:rPr>
        <w:t>. The sponsor of this Plan is Quantum-Si Incorporated (referred to in this Plan as the “Company”).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sponsor’s address is: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Quantum-Si Incorporated</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29 Business Park Drive, Suite C Branford, CT 06405</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Head of Human Resources Phone: (866) 688-7374</w:t>
      </w:r>
    </w:p>
    <w:p>
      <w:pPr>
        <w:spacing w:after="0" w:line="210" w:lineRule="exact"/>
        <w:rPr>
          <w:sz w:val="20"/>
          <w:szCs w:val="20"/>
          <w:color w:val="auto"/>
        </w:rPr>
      </w:pPr>
    </w:p>
    <w:p>
      <w:pPr>
        <w:ind w:left="1180" w:hanging="536"/>
        <w:spacing w:after="0"/>
        <w:tabs>
          <w:tab w:leader="none" w:pos="118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Agent for Legal Process</w:t>
      </w:r>
      <w:r>
        <w:rPr>
          <w:rFonts w:ascii="Times New Roman" w:cs="Times New Roman" w:eastAsia="Times New Roman" w:hAnsi="Times New Roman"/>
          <w:sz w:val="20"/>
          <w:szCs w:val="20"/>
          <w:color w:val="auto"/>
        </w:rPr>
        <w:t>. A Participant or beneficiary may serve legal process on the Plan Administrator, c/o: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Quantum-Si Incorporated</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29 Business Park Drive, Suite C Branford, CT 06405</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Head of Human Resources</w:t>
      </w:r>
    </w:p>
    <w:p>
      <w:pPr>
        <w:spacing w:after="0" w:line="223" w:lineRule="exact"/>
        <w:rPr>
          <w:sz w:val="20"/>
          <w:szCs w:val="20"/>
          <w:color w:val="auto"/>
        </w:rPr>
      </w:pPr>
    </w:p>
    <w:p>
      <w:pPr>
        <w:ind w:left="1280" w:hanging="636"/>
        <w:spacing w:after="0"/>
        <w:tabs>
          <w:tab w:leader="none" w:pos="128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Plan Year</w:t>
      </w:r>
      <w:r>
        <w:rPr>
          <w:rFonts w:ascii="Times New Roman" w:cs="Times New Roman" w:eastAsia="Times New Roman" w:hAnsi="Times New Roman"/>
          <w:sz w:val="20"/>
          <w:szCs w:val="20"/>
          <w:color w:val="auto"/>
        </w:rPr>
        <w:t>. The Plan Year is the calendar year.</w:t>
      </w:r>
    </w:p>
    <w:p>
      <w:pPr>
        <w:spacing w:after="0" w:line="256" w:lineRule="exact"/>
        <w:rPr>
          <w:rFonts w:ascii="Times New Roman" w:cs="Times New Roman" w:eastAsia="Times New Roman" w:hAnsi="Times New Roman"/>
          <w:sz w:val="20"/>
          <w:szCs w:val="20"/>
          <w:b w:val="1"/>
          <w:bCs w:val="1"/>
          <w:color w:val="auto"/>
        </w:rPr>
      </w:pPr>
    </w:p>
    <w:p>
      <w:pPr>
        <w:ind w:right="120" w:firstLine="644"/>
        <w:spacing w:after="0" w:line="289" w:lineRule="auto"/>
        <w:tabs>
          <w:tab w:leader="none" w:pos="1179"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Identification Number</w:t>
      </w:r>
      <w:r>
        <w:rPr>
          <w:rFonts w:ascii="Times New Roman" w:cs="Times New Roman" w:eastAsia="Times New Roman" w:hAnsi="Times New Roman"/>
          <w:sz w:val="20"/>
          <w:szCs w:val="20"/>
          <w:color w:val="auto"/>
        </w:rPr>
        <w:t>. The Plan’s number for purposes of discussion with a federal government agency is 501.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Employer Identification Number is [●].</w:t>
      </w:r>
    </w:p>
    <w:p>
      <w:pPr>
        <w:spacing w:after="0" w:line="161" w:lineRule="exact"/>
        <w:rPr>
          <w:rFonts w:ascii="Times New Roman" w:cs="Times New Roman" w:eastAsia="Times New Roman" w:hAnsi="Times New Roman"/>
          <w:sz w:val="20"/>
          <w:szCs w:val="20"/>
          <w:b w:val="1"/>
          <w:bCs w:val="1"/>
          <w:color w:val="auto"/>
        </w:rPr>
      </w:pPr>
    </w:p>
    <w:p>
      <w:pPr>
        <w:ind w:left="1180" w:hanging="536"/>
        <w:spacing w:after="0"/>
        <w:tabs>
          <w:tab w:leader="none" w:pos="118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Summary Plan Description</w:t>
      </w:r>
      <w:r>
        <w:rPr>
          <w:rFonts w:ascii="Times New Roman" w:cs="Times New Roman" w:eastAsia="Times New Roman" w:hAnsi="Times New Roman"/>
          <w:sz w:val="20"/>
          <w:szCs w:val="20"/>
          <w:color w:val="auto"/>
        </w:rPr>
        <w:t>. This Plan constitutes both the governing document and the summary plan description for the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w:t>
      </w:r>
    </w:p>
    <w:p>
      <w:pPr>
        <w:spacing w:after="0" w:line="216" w:lineRule="exact"/>
        <w:rPr>
          <w:rFonts w:ascii="Times New Roman" w:cs="Times New Roman" w:eastAsia="Times New Roman" w:hAnsi="Times New Roman"/>
          <w:sz w:val="20"/>
          <w:szCs w:val="20"/>
          <w:b w:val="1"/>
          <w:bCs w:val="1"/>
          <w:color w:val="auto"/>
        </w:rPr>
      </w:pPr>
    </w:p>
    <w:p>
      <w:pPr>
        <w:jc w:val="both"/>
        <w:ind w:right="100" w:firstLine="644"/>
        <w:spacing w:after="0" w:line="263" w:lineRule="auto"/>
        <w:tabs>
          <w:tab w:leader="none" w:pos="1179"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and the rights of all persons under this Plan shall be construed in accordance with and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provisions of ERISA, and the regulations thereunder, and the laws of the State of Delaware (without regard to conflict of law provisions) to the extent not preempted by federal law.</w:t>
      </w:r>
    </w:p>
    <w:p>
      <w:pPr>
        <w:sectPr>
          <w:pgSz w:w="11900" w:h="16838" w:orient="portrait"/>
          <w:cols w:equalWidth="0" w:num="1">
            <w:col w:w="11120"/>
          </w:cols>
          <w:pgMar w:left="440" w:top="85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MULTIPLIERS</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52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0"/>
                <w:szCs w:val="20"/>
                <w:b w:val="1"/>
                <w:bCs w:val="1"/>
                <w:color w:val="auto"/>
              </w:rPr>
              <w:t>Title/Role of Participant</w:t>
            </w:r>
          </w:p>
        </w:tc>
        <w:tc>
          <w:tcPr>
            <w:tcW w:w="2680" w:type="dxa"/>
            <w:vAlign w:val="bottom"/>
            <w:tcBorders>
              <w:top w:val="single" w:sz="8" w:color="auto"/>
              <w:bottom w:val="single" w:sz="8" w:color="auto"/>
              <w:right w:val="single" w:sz="8" w:color="auto"/>
            </w:tcBorders>
            <w:shd w:val="clear" w:color="auto" w:fill="D9D9D9"/>
          </w:tcPr>
          <w:p>
            <w:pPr>
              <w:ind w:left="540"/>
              <w:spacing w:after="0"/>
              <w:rPr>
                <w:sz w:val="20"/>
                <w:szCs w:val="20"/>
                <w:color w:val="auto"/>
              </w:rPr>
            </w:pPr>
            <w:r>
              <w:rPr>
                <w:rFonts w:ascii="Times New Roman" w:cs="Times New Roman" w:eastAsia="Times New Roman" w:hAnsi="Times New Roman"/>
                <w:sz w:val="20"/>
                <w:szCs w:val="20"/>
                <w:b w:val="1"/>
                <w:bCs w:val="1"/>
                <w:color w:val="auto"/>
              </w:rPr>
              <w:t>Normal Multiplier</w:t>
            </w:r>
          </w:p>
        </w:tc>
        <w:tc>
          <w:tcPr>
            <w:tcW w:w="2680" w:type="dxa"/>
            <w:vAlign w:val="bottom"/>
            <w:tcBorders>
              <w:top w:val="single" w:sz="8" w:color="auto"/>
              <w:bottom w:val="single" w:sz="8" w:color="auto"/>
              <w:right w:val="single" w:sz="8" w:color="auto"/>
            </w:tcBorders>
            <w:shd w:val="clear" w:color="auto" w:fill="D9D9D9"/>
          </w:tcPr>
          <w:p>
            <w:pPr>
              <w:ind w:left="680"/>
              <w:spacing w:after="0"/>
              <w:rPr>
                <w:sz w:val="20"/>
                <w:szCs w:val="20"/>
                <w:color w:val="auto"/>
              </w:rPr>
            </w:pPr>
            <w:r>
              <w:rPr>
                <w:rFonts w:ascii="Times New Roman" w:cs="Times New Roman" w:eastAsia="Times New Roman" w:hAnsi="Times New Roman"/>
                <w:sz w:val="20"/>
                <w:szCs w:val="20"/>
                <w:b w:val="1"/>
                <w:bCs w:val="1"/>
                <w:color w:val="auto"/>
              </w:rPr>
              <w:t>CIC Multiplier</w:t>
            </w:r>
          </w:p>
        </w:tc>
      </w:tr>
      <w:tr>
        <w:trPr>
          <w:trHeight w:val="254"/>
        </w:trPr>
        <w:tc>
          <w:tcPr>
            <w:tcW w:w="5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Chief Executive Officer</w:t>
            </w:r>
          </w:p>
        </w:tc>
        <w:tc>
          <w:tcPr>
            <w:tcW w:w="2680" w:type="dxa"/>
            <w:vAlign w:val="bottom"/>
            <w:tcBorders>
              <w:bottom w:val="single" w:sz="8" w:color="auto"/>
              <w:right w:val="single" w:sz="8" w:color="auto"/>
            </w:tcBorders>
          </w:tcPr>
          <w:p>
            <w:pPr>
              <w:jc w:val="right"/>
              <w:ind w:right="1221"/>
              <w:spacing w:after="0"/>
              <w:rPr>
                <w:sz w:val="20"/>
                <w:szCs w:val="20"/>
                <w:color w:val="auto"/>
              </w:rPr>
            </w:pPr>
            <w:r>
              <w:rPr>
                <w:rFonts w:ascii="Times New Roman" w:cs="Times New Roman" w:eastAsia="Times New Roman" w:hAnsi="Times New Roman"/>
                <w:sz w:val="20"/>
                <w:szCs w:val="20"/>
                <w:color w:val="auto"/>
              </w:rPr>
              <w:t>1</w:t>
            </w:r>
          </w:p>
        </w:tc>
        <w:tc>
          <w:tcPr>
            <w:tcW w:w="2680" w:type="dxa"/>
            <w:vAlign w:val="bottom"/>
            <w:tcBorders>
              <w:bottom w:val="single" w:sz="8" w:color="auto"/>
              <w:right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color w:val="auto"/>
              </w:rPr>
              <w:t>1.5</w:t>
            </w:r>
          </w:p>
        </w:tc>
      </w:tr>
      <w:tr>
        <w:trPr>
          <w:trHeight w:val="258"/>
        </w:trPr>
        <w:tc>
          <w:tcPr>
            <w:tcW w:w="5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Executive Officer</w:t>
            </w:r>
          </w:p>
        </w:tc>
        <w:tc>
          <w:tcPr>
            <w:tcW w:w="2680" w:type="dxa"/>
            <w:vAlign w:val="bottom"/>
            <w:tcBorders>
              <w:bottom w:val="single" w:sz="8" w:color="auto"/>
              <w:right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color w:val="auto"/>
              </w:rPr>
              <w:t>.75</w:t>
            </w:r>
          </w:p>
        </w:tc>
        <w:tc>
          <w:tcPr>
            <w:tcW w:w="2680" w:type="dxa"/>
            <w:vAlign w:val="bottom"/>
            <w:tcBorders>
              <w:bottom w:val="single" w:sz="8" w:color="auto"/>
              <w:right w:val="single" w:sz="8" w:color="auto"/>
            </w:tcBorders>
          </w:tcPr>
          <w:p>
            <w:pPr>
              <w:jc w:val="right"/>
              <w:ind w:right="1201"/>
              <w:spacing w:after="0"/>
              <w:rPr>
                <w:sz w:val="20"/>
                <w:szCs w:val="20"/>
                <w:color w:val="auto"/>
              </w:rPr>
            </w:pPr>
            <w:r>
              <w:rPr>
                <w:rFonts w:ascii="Times New Roman" w:cs="Times New Roman" w:eastAsia="Times New Roman" w:hAnsi="Times New Roman"/>
                <w:sz w:val="20"/>
                <w:szCs w:val="20"/>
                <w:color w:val="auto"/>
              </w:rPr>
              <w:t>1</w:t>
            </w:r>
          </w:p>
        </w:tc>
      </w:tr>
    </w:tbl>
    <w:p>
      <w:pPr>
        <w:spacing w:after="0" w:line="200" w:lineRule="exact"/>
        <w:rPr>
          <w:sz w:val="20"/>
          <w:szCs w:val="20"/>
          <w:color w:val="auto"/>
        </w:rPr>
      </w:pPr>
    </w:p>
    <w:p>
      <w:pPr>
        <w:spacing w:after="0" w:line="35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2"/>
          <w:szCs w:val="22"/>
          <w:color w:val="auto"/>
        </w:rPr>
        <w:t>Notwithstanding the foregoing, a</w:t>
      </w:r>
      <w:r>
        <w:rPr>
          <w:rFonts w:ascii="Times New Roman" w:cs="Times New Roman" w:eastAsia="Times New Roman" w:hAnsi="Times New Roman"/>
          <w:sz w:val="19"/>
          <w:szCs w:val="19"/>
          <w:color w:val="auto"/>
        </w:rPr>
        <w:t>ny Vice President and Senior Vice President hired and/or in their role at that level prior to November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1, 2024, will be eligible as Participants under the Plan to receive 0.50 as the normal multiplier and 0.75 as the CIC multiplier.</w:t>
      </w:r>
    </w:p>
    <w:p>
      <w:pPr>
        <w:sectPr>
          <w:pgSz w:w="11900" w:h="16838" w:orient="portrait"/>
          <w:cols w:equalWidth="0" w:num="1">
            <w:col w:w="11120"/>
          </w:cols>
          <w:pgMar w:left="440" w:top="85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QUANTUM- SI INCORPORATED</w:t>
      </w:r>
    </w:p>
    <w:p>
      <w:pPr>
        <w:spacing w:after="0" w:line="3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INSIDER TRADING POLICY</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 xml:space="preserve">(Effective </w:t>
      </w:r>
      <w:r>
        <w:rPr>
          <w:rFonts w:ascii="Times New Roman" w:cs="Times New Roman" w:eastAsia="Times New Roman" w:hAnsi="Times New Roman"/>
          <w:sz w:val="20"/>
          <w:szCs w:val="20"/>
          <w:color w:val="auto"/>
        </w:rPr>
        <w:t>February 2025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80" w:type="dxa"/>
            <w:vAlign w:val="bottom"/>
          </w:tcPr>
          <w:p>
            <w:pPr>
              <w:spacing w:after="0"/>
              <w:rPr>
                <w:sz w:val="24"/>
                <w:szCs w:val="24"/>
                <w:color w:val="auto"/>
              </w:rPr>
            </w:pPr>
          </w:p>
        </w:tc>
        <w:tc>
          <w:tcPr>
            <w:tcW w:w="8880" w:type="dxa"/>
            <w:vAlign w:val="bottom"/>
          </w:tcPr>
          <w:p>
            <w:pPr>
              <w:ind w:left="3680"/>
              <w:spacing w:after="0"/>
              <w:rPr>
                <w:sz w:val="20"/>
                <w:szCs w:val="20"/>
                <w:color w:val="auto"/>
              </w:rPr>
            </w:pPr>
            <w:r>
              <w:rPr>
                <w:rFonts w:ascii="Times New Roman" w:cs="Times New Roman" w:eastAsia="Times New Roman" w:hAnsi="Times New Roman"/>
                <w:sz w:val="22"/>
                <w:szCs w:val="22"/>
                <w:color w:val="auto"/>
              </w:rPr>
              <w:t>TABLE OF CONTENTS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4"/>
        </w:trPr>
        <w:tc>
          <w:tcPr>
            <w:tcW w:w="58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4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Need for an Insider Trading Policy</w:t>
            </w:r>
          </w:p>
        </w:tc>
        <w:tc>
          <w:tcPr>
            <w:tcW w:w="70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What is Material Non-Public Information?</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2</w:t>
            </w:r>
          </w:p>
        </w:tc>
      </w:tr>
      <w:tr>
        <w:trPr>
          <w:trHeight w:val="29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Consequences of Insider Trading</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4</w:t>
            </w:r>
          </w:p>
        </w:tc>
      </w:t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Our Policy</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General Prohibition on Trading</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Transactions by Family Members, Others in Your Household and Entities You Control</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Companies’ Non-public Information</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Personal or Independent Reasons Are Not Exceptions</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Policy Administrator</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When Information Becomes Public</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Prohibited Trading Periods</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6</w:t>
            </w:r>
          </w:p>
        </w:tc>
      </w:tr>
      <w:tr>
        <w:trPr>
          <w:trHeight w:val="270"/>
        </w:trPr>
        <w:tc>
          <w:tcPr>
            <w:tcW w:w="580" w:type="dxa"/>
            <w:vAlign w:val="bottom"/>
          </w:tcPr>
          <w:p>
            <w:pPr>
              <w:spacing w:after="0"/>
              <w:rPr>
                <w:sz w:val="23"/>
                <w:szCs w:val="23"/>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Exceptions for Certain Transactions</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7</w:t>
            </w:r>
          </w:p>
        </w:tc>
      </w:tr>
      <w:tr>
        <w:trPr>
          <w:trHeight w:val="282"/>
        </w:trPr>
        <w:tc>
          <w:tcPr>
            <w:tcW w:w="580" w:type="dxa"/>
            <w:vAlign w:val="bottom"/>
          </w:tcPr>
          <w:p>
            <w:pPr>
              <w:spacing w:after="0"/>
              <w:rPr>
                <w:sz w:val="24"/>
                <w:szCs w:val="24"/>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Pre-Clearance of All Acquisitions, Sales and Other Transfers by Certain Company Personnel</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8</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Individual Responsibility</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0"/>
              </w:rPr>
              <w:t>9</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Additional Prohibited Transactions</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22"/>
                <w:szCs w:val="22"/>
                <w:color w:val="auto"/>
                <w:w w:val="99"/>
              </w:rPr>
              <w:t>10</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Post-Termination Transactions</w:t>
            </w:r>
          </w:p>
        </w:tc>
        <w:tc>
          <w:tcPr>
            <w:tcW w:w="112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Company Assistance</w:t>
            </w:r>
          </w:p>
        </w:tc>
        <w:tc>
          <w:tcPr>
            <w:tcW w:w="112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IX.</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Certifications</w:t>
            </w:r>
          </w:p>
        </w:tc>
        <w:tc>
          <w:tcPr>
            <w:tcW w:w="112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0"/>
              </w:rPr>
              <w:t>11</w:t>
            </w:r>
          </w:p>
        </w:tc>
      </w:tr>
    </w:tbl>
    <w:p>
      <w:pPr>
        <w:sectPr>
          <w:pgSz w:w="11900" w:h="16838" w:orient="portrait"/>
          <w:cols w:equalWidth="0" w:num="1">
            <w:col w:w="10920"/>
          </w:cols>
          <w:pgMar w:left="580" w:top="121" w:right="399" w:bottom="1440" w:gutter="0" w:footer="0" w:header="0"/>
        </w:sectPr>
      </w:pPr>
    </w:p>
    <w:bookmarkStart w:id="136" w:name="page137"/>
    <w:bookmarkEnd w:id="136"/>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Quantum-Si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following policy regarding trading by Company personnel in the Company’s securities (the “</w:t>
      </w:r>
      <w:r>
        <w:rPr>
          <w:rFonts w:ascii="Times New Roman" w:cs="Times New Roman" w:eastAsia="Times New Roman" w:hAnsi="Times New Roman"/>
          <w:sz w:val="22"/>
          <w:szCs w:val="22"/>
          <w:u w:val="single" w:color="auto"/>
          <w:color w:val="auto"/>
        </w:rPr>
        <w:t>Insider Trading Policy</w:t>
      </w:r>
      <w:r>
        <w:rPr>
          <w:rFonts w:ascii="Times New Roman" w:cs="Times New Roman" w:eastAsia="Times New Roman" w:hAnsi="Times New Roman"/>
          <w:sz w:val="22"/>
          <w:szCs w:val="22"/>
          <w:color w:val="auto"/>
        </w:rPr>
        <w:t>,” or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xml:space="preserve">”). This Policy applies to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Company personnel, including directors, officers, employees and consultants of the Company and its subsidiaries. This Policy also applies to certain family members, other members of a person’s household and entities controlled by Company personnel, as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below.</w:t>
      </w:r>
    </w:p>
    <w:p>
      <w:pPr>
        <w:spacing w:after="0" w:line="364" w:lineRule="exact"/>
        <w:rPr>
          <w:sz w:val="20"/>
          <w:szCs w:val="20"/>
          <w:color w:val="auto"/>
        </w:rPr>
      </w:pPr>
    </w:p>
    <w:p>
      <w:pPr>
        <w:ind w:left="660" w:right="6980" w:hanging="652"/>
        <w:spacing w:after="0" w:line="443" w:lineRule="auto"/>
        <w:tabs>
          <w:tab w:leader="none" w:pos="649"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The Need for an Insider Trading Policy </w:t>
      </w:r>
      <w:r>
        <w:rPr>
          <w:rFonts w:ascii="Times New Roman" w:cs="Times New Roman" w:eastAsia="Times New Roman" w:hAnsi="Times New Roman"/>
          <w:sz w:val="22"/>
          <w:szCs w:val="22"/>
          <w:color w:val="auto"/>
        </w:rPr>
        <w:t>This Policy has been developed:</w:t>
      </w:r>
    </w:p>
    <w:p>
      <w:pPr>
        <w:spacing w:after="0" w:line="1" w:lineRule="exact"/>
        <w:rPr>
          <w:rFonts w:ascii="Times New Roman" w:cs="Times New Roman" w:eastAsia="Times New Roman" w:hAnsi="Times New Roman"/>
          <w:sz w:val="22"/>
          <w:szCs w:val="22"/>
          <w:b w:val="1"/>
          <w:bCs w:val="1"/>
          <w:color w:val="auto"/>
        </w:rPr>
      </w:pPr>
    </w:p>
    <w:p>
      <w:pPr>
        <w:ind w:left="980" w:hanging="324"/>
        <w:spacing w:after="0" w:line="271" w:lineRule="auto"/>
        <w:tabs>
          <w:tab w:leader="none" w:pos="97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educate all Company personnel as to the federal securities laws and the rules of the Securities and Exchange Commission (the “SEC”) on insider trading in public company securities;</w:t>
      </w:r>
    </w:p>
    <w:p>
      <w:pPr>
        <w:spacing w:after="0" w:line="171"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set forth requirements that apply to Company personnel and other persons covered by this Policy who seek to trade in the Company’s securities;</w:t>
      </w:r>
    </w:p>
    <w:p>
      <w:pPr>
        <w:spacing w:after="0" w:line="1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protect the Company and its personnel from legal liability; and</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preserve the reputation of the Company and its personnel for integrity and ethical conduct.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Because the Company is a public company, transactions in the Company’s securities are subject to the federal securities laws and regulations adopted by the SEC. These laws and regulations make it illegal for an individual to buy or sell securities of the Company while aware of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The SEC takes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w:t>
      </w:r>
    </w:p>
    <w:p>
      <w:pPr>
        <w:spacing w:after="0" w:line="379" w:lineRule="exact"/>
        <w:rPr>
          <w:sz w:val="20"/>
          <w:szCs w:val="20"/>
          <w:color w:val="auto"/>
        </w:rPr>
      </w:pPr>
    </w:p>
    <w:p>
      <w:pPr>
        <w:ind w:left="660" w:right="6640" w:hanging="652"/>
        <w:spacing w:after="0" w:line="443" w:lineRule="auto"/>
        <w:tabs>
          <w:tab w:leader="none" w:pos="653"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What is Material Non-Public Information? </w:t>
      </w:r>
      <w:r>
        <w:rPr>
          <w:rFonts w:ascii="Times New Roman" w:cs="Times New Roman" w:eastAsia="Times New Roman" w:hAnsi="Times New Roman"/>
          <w:sz w:val="22"/>
          <w:szCs w:val="22"/>
          <w:b w:val="1"/>
          <w:bCs w:val="1"/>
          <w:i w:val="1"/>
          <w:iCs w:val="1"/>
          <w:color w:val="auto"/>
        </w:rPr>
        <w:t>Definition.</w:t>
      </w:r>
    </w:p>
    <w:p>
      <w:pPr>
        <w:spacing w:after="0" w:line="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Material non-public information is any information (positive or negative) that:</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generally known to the public, and</w:t>
      </w:r>
    </w:p>
    <w:p>
      <w:pPr>
        <w:spacing w:after="0" w:line="219" w:lineRule="exact"/>
        <w:rPr>
          <w:rFonts w:ascii="Times New Roman" w:cs="Times New Roman" w:eastAsia="Times New Roman" w:hAnsi="Times New Roman"/>
          <w:sz w:val="22"/>
          <w:szCs w:val="22"/>
          <w:color w:val="auto"/>
        </w:rPr>
      </w:pPr>
    </w:p>
    <w:p>
      <w:pPr>
        <w:jc w:val="both"/>
        <w:ind w:left="980" w:hanging="324"/>
        <w:spacing w:after="0" w:line="263" w:lineRule="auto"/>
        <w:tabs>
          <w:tab w:leader="none" w:pos="975"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if publicly known, would likely affect either the market price of the Company’s securities, a person’s decision to buy, sell or hold the Company’s securities, or would be expected to significantly alter the total mix of the information in the marketplace about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1"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2"/>
          <w:szCs w:val="22"/>
          <w:color w:val="auto"/>
        </w:rPr>
        <w:t>Both positive and negative information may be material.</w:t>
      </w:r>
    </w:p>
    <w:p>
      <w:pPr>
        <w:spacing w:after="0" w:line="214"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Examples. </w:t>
      </w:r>
      <w:r>
        <w:rPr>
          <w:rFonts w:ascii="Times New Roman" w:cs="Times New Roman" w:eastAsia="Times New Roman" w:hAnsi="Times New Roman"/>
          <w:sz w:val="22"/>
          <w:szCs w:val="22"/>
          <w:color w:val="auto"/>
        </w:rPr>
        <w:t>While it is not possible to identify all information that would be deemed material, common examples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information that will frequently be regarded as material include, but are not limited to:</w:t>
      </w:r>
    </w:p>
    <w:p>
      <w:pPr>
        <w:spacing w:after="0" w:line="167" w:lineRule="exact"/>
        <w:rPr>
          <w:sz w:val="20"/>
          <w:szCs w:val="20"/>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earnings results;</w:t>
      </w:r>
    </w:p>
    <w:p>
      <w:pPr>
        <w:spacing w:after="0" w:line="2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financial results;</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 supplier;</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acquisitions, tender offers, joint ventures, divestitures or other significant changes in assets;</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spacing w:after="0" w:line="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news or developments in the Company’s business and/or product development efforts;</w:t>
      </w:r>
    </w:p>
    <w:p>
      <w:pPr>
        <w:spacing w:after="0" w:line="1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of significant technologies;</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entry into, modification or termination of significant strategic collaborations;</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entry into agreements with significant new customers or for a significant quantity of the Company’s products;</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transactions with officers, directors or greater than 5% stockholders;</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w:t>
      </w:r>
    </w:p>
    <w:p>
      <w:pPr>
        <w:spacing w:after="0" w:line="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w:t>
      </w:r>
    </w:p>
    <w:p>
      <w:pPr>
        <w:spacing w:after="0" w:line="1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changes or changes in control;</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or private sale of additional securities by the Company;</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arbitrations or similar disputes;</w:t>
      </w:r>
    </w:p>
    <w:p>
      <w:pPr>
        <w:spacing w:after="0" w:line="3" w:lineRule="exact"/>
        <w:rPr>
          <w:rFonts w:ascii="Times New Roman" w:cs="Times New Roman" w:eastAsia="Times New Roman" w:hAnsi="Times New Roman"/>
          <w:sz w:val="22"/>
          <w:szCs w:val="22"/>
          <w:color w:val="auto"/>
        </w:rPr>
      </w:pPr>
    </w:p>
    <w:p>
      <w:pPr>
        <w:ind w:left="1060" w:hanging="404"/>
        <w:spacing w:after="0" w:line="249" w:lineRule="auto"/>
        <w:tabs>
          <w:tab w:leader="none" w:pos="105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such as a data breach or a significant disruption or unauthorized access to information technology infrastructure;</w:t>
      </w:r>
    </w:p>
    <w:p>
      <w:pPr>
        <w:spacing w:after="0" w:line="1"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establishment by the Company of a program to buy the Company’s own shares;</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entry into, amendment or termination of a material contract;</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contract, license, registration or collaboration;</w:t>
      </w:r>
    </w:p>
    <w:p>
      <w:pPr>
        <w:spacing w:after="0" w:line="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or disagreements with auditors, or a notification that the auditor’s reports may no longer be relied upon;</w:t>
      </w:r>
    </w:p>
    <w:p>
      <w:pPr>
        <w:spacing w:after="0" w:line="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deterioration in the Company’s credit status; or</w:t>
      </w:r>
    </w:p>
    <w:p>
      <w:pPr>
        <w:spacing w:after="0" w:line="1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items that require the filing of a Current Report on Form 8-K with the SEC.</w:t>
      </w:r>
    </w:p>
    <w:p>
      <w:pPr>
        <w:spacing w:after="0" w:line="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 xml:space="preserve">Twenty-Twenty Hindsight. </w:t>
      </w:r>
      <w:r>
        <w:rPr>
          <w:rFonts w:ascii="Times New Roman" w:cs="Times New Roman" w:eastAsia="Times New Roman" w:hAnsi="Times New Roman"/>
          <w:sz w:val="21"/>
          <w:szCs w:val="21"/>
          <w:color w:val="auto"/>
        </w:rPr>
        <w:t>In determining whether information is material, the SEC and other regulators will view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information after-the-fact with the benefit of 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 Any persons subject to this Policy who are unsure whether the information that they possess is material or nonpublic must consult the Policy Administrator for guidance before trading in any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1" w:right="339" w:bottom="1440" w:gutter="0" w:footer="0" w:header="0"/>
        </w:sectPr>
      </w:pPr>
    </w:p>
    <w:bookmarkStart w:id="138" w:name="page139"/>
    <w:bookmarkEnd w:id="13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spacing w:after="0" w:line="371"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Consequences of Insider Trading</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consequences of insider trading violations can be severe:</w:t>
      </w:r>
    </w:p>
    <w:p>
      <w:pPr>
        <w:spacing w:after="0" w:line="21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For individuals</w:t>
      </w:r>
      <w:r>
        <w:rPr>
          <w:rFonts w:ascii="Times New Roman" w:cs="Times New Roman" w:eastAsia="Times New Roman" w:hAnsi="Times New Roman"/>
          <w:sz w:val="22"/>
          <w:szCs w:val="22"/>
          <w:color w:val="auto"/>
        </w:rPr>
        <w:t xml:space="preserve"> who trade while in possession of material non-public information (or tip information to others):</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(no matter how small the profit); and</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jail term of up to 20 years.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These penalties can apply even if the individual is not a member of the Board of Directors or an officer of the Company. Moreover, if an employee violates this Policy, he or she may also be subject to Company-imposed sanctions, including termination for cause.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For a company</w:t>
      </w:r>
      <w:r>
        <w:rPr>
          <w:rFonts w:ascii="Times New Roman" w:cs="Times New Roman" w:eastAsia="Times New Roman" w:hAnsi="Times New Roman"/>
          <w:sz w:val="22"/>
          <w:szCs w:val="22"/>
          <w:color w:val="auto"/>
        </w:rPr>
        <w:t xml:space="preserve"> (as well as possibly any supervisory person) that fails to take appropriate steps to prevent illegal trading:</w:t>
      </w:r>
    </w:p>
    <w:p>
      <w:pPr>
        <w:spacing w:after="0" w:line="220" w:lineRule="exact"/>
        <w:rPr>
          <w:sz w:val="20"/>
          <w:szCs w:val="20"/>
          <w:color w:val="auto"/>
        </w:rPr>
      </w:pPr>
    </w:p>
    <w:p>
      <w:pPr>
        <w:ind w:left="980" w:hanging="324"/>
        <w:spacing w:after="0" w:line="271" w:lineRule="auto"/>
        <w:tabs>
          <w:tab w:leader="none" w:pos="97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the greater of a certain dollar amount or three times the profit gained or loss avoided as a result of the employee’s violation; and</w:t>
      </w:r>
    </w:p>
    <w:p>
      <w:pPr>
        <w:spacing w:after="0" w:line="17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multi-million dollar criminal penalty.</w:t>
      </w:r>
    </w:p>
    <w:p>
      <w:pPr>
        <w:spacing w:after="0" w:line="220"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For more information on penalties, see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Any of the above consequences, including an SEC investigation that does not result in prosecution, can tarnish the Company’s or an individual’s reputation and irreparably damage a career.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1" w:right="339" w:bottom="1440" w:gutter="0" w:footer="0" w:header="0"/>
        </w:sectPr>
      </w:pPr>
    </w:p>
    <w:bookmarkStart w:id="139" w:name="page140"/>
    <w:bookmarkEnd w:id="139"/>
    <w:p>
      <w:pPr>
        <w:spacing w:after="0" w:line="3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Our Policy</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Prohibition on Trading. </w:t>
      </w:r>
      <w:r>
        <w:rPr>
          <w:rFonts w:ascii="Times New Roman" w:cs="Times New Roman" w:eastAsia="Times New Roman" w:hAnsi="Times New Roman"/>
          <w:sz w:val="22"/>
          <w:szCs w:val="22"/>
          <w:color w:val="auto"/>
        </w:rPr>
        <w:t>Company personnel and Related Persons (as defined below in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may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buy, sell or gift securities of the Company while in possession of material non-public information or engage in any other action to take advantage of, or pass on to others, that information, subject to the specific exceptions noted below in this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under the caption “Exceptions for Certain Transactions.”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b w:val="1"/>
          <w:bCs w:val="1"/>
          <w:i w:val="1"/>
          <w:iCs w:val="1"/>
          <w:color w:val="auto"/>
        </w:rPr>
        <w:t xml:space="preserve">Transactions by Family Members, Others in Your Household and Entities You Control. </w:t>
      </w:r>
      <w:r>
        <w:rPr>
          <w:rFonts w:ascii="Times New Roman" w:cs="Times New Roman" w:eastAsia="Times New Roman" w:hAnsi="Times New Roman"/>
          <w:sz w:val="21"/>
          <w:szCs w:val="21"/>
          <w:color w:val="auto"/>
        </w:rPr>
        <w:t>The restrictions in this Policy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also 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w:t>
      </w:r>
      <w:r>
        <w:rPr>
          <w:rFonts w:ascii="Times New Roman" w:cs="Times New Roman" w:eastAsia="Times New Roman" w:hAnsi="Times New Roman"/>
          <w:sz w:val="21"/>
          <w:szCs w:val="21"/>
          <w:u w:val="single" w:color="auto"/>
          <w:color w:val="auto"/>
        </w:rPr>
        <w:t>Related Person</w:t>
      </w:r>
      <w:r>
        <w:rPr>
          <w:rFonts w:ascii="Times New Roman" w:cs="Times New Roman" w:eastAsia="Times New Roman" w:hAnsi="Times New Roman"/>
          <w:sz w:val="21"/>
          <w:szCs w:val="21"/>
          <w:color w:val="auto"/>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Companies’ Non-public Information. </w:t>
      </w:r>
      <w:r>
        <w:rPr>
          <w:rFonts w:ascii="Times New Roman" w:cs="Times New Roman" w:eastAsia="Times New Roman" w:hAnsi="Times New Roman"/>
          <w:sz w:val="22"/>
          <w:szCs w:val="22"/>
          <w:color w:val="auto"/>
        </w:rPr>
        <w:t>This Policy also applies with equal force to information relating to any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including our customers or suppliers, obtained by Company personnel during the course of their service to or employment by the Company. Specifically, no Company personnel who, in the course of work on behalf of the Company, learns of material non-public information may trade in any other company’s securities on the basis of that information until the information becomes public or is no longer material.</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Personal or Independent Reasons Are Not Exceptions. </w:t>
      </w:r>
      <w:r>
        <w:rPr>
          <w:rFonts w:ascii="Times New Roman" w:cs="Times New Roman" w:eastAsia="Times New Roman" w:hAnsi="Times New Roman"/>
          <w:sz w:val="22"/>
          <w:szCs w:val="22"/>
          <w:color w:val="auto"/>
        </w:rPr>
        <w:t>Transactions in the Company’s securities that may be necessary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Policy Administrator. </w:t>
      </w:r>
      <w:r>
        <w:rPr>
          <w:rFonts w:ascii="Times New Roman" w:cs="Times New Roman" w:eastAsia="Times New Roman" w:hAnsi="Times New Roman"/>
          <w:sz w:val="22"/>
          <w:szCs w:val="22"/>
          <w:color w:val="auto"/>
        </w:rPr>
        <w:t>This Policy shall be administered by the “</w:t>
      </w:r>
      <w:r>
        <w:rPr>
          <w:rFonts w:ascii="Times New Roman" w:cs="Times New Roman" w:eastAsia="Times New Roman" w:hAnsi="Times New Roman"/>
          <w:sz w:val="22"/>
          <w:szCs w:val="22"/>
          <w:u w:val="single" w:color="auto"/>
          <w:color w:val="auto"/>
        </w:rPr>
        <w:t>Policy Administrator</w:t>
      </w:r>
      <w:r>
        <w:rPr>
          <w:rFonts w:ascii="Times New Roman" w:cs="Times New Roman" w:eastAsia="Times New Roman" w:hAnsi="Times New Roman"/>
          <w:sz w:val="22"/>
          <w:szCs w:val="22"/>
          <w:color w:val="auto"/>
        </w:rPr>
        <w:t>,” named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or his or 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designee.</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When Information Becomes Public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Policy applies to material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information about the Company,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means that trading is permitted once the information becomes known to the public (unless some other Company policy or legal obligation restricts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40" w:name="page141"/>
    <w:bookmarkEnd w:id="140"/>
    <w:p>
      <w:pPr>
        <w:jc w:val="both"/>
        <w:spacing w:after="0" w:line="249" w:lineRule="auto"/>
        <w:rPr>
          <w:sz w:val="20"/>
          <w:szCs w:val="20"/>
          <w:color w:val="auto"/>
        </w:rPr>
      </w:pPr>
      <w:r>
        <w:rPr>
          <w:rFonts w:ascii="Times New Roman" w:cs="Times New Roman" w:eastAsia="Times New Roman" w:hAnsi="Times New Roman"/>
          <w:sz w:val="22"/>
          <w:szCs w:val="22"/>
          <w:color w:val="auto"/>
        </w:rPr>
        <w:t>trading at that time). Because the Company’s stockholders and the investing public should be afforded time to receive and absorb information, as a general rule, you should not engage in any transactions until the beginning of the second business day after material information has been released. Thus, if an announcement is made before the market opens on a Monday, Wednesday generally would be the first day on which you may trade. If an announcement is made before the market opens on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Prohibited Trading Periods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While it is never permissible to trade based on material non-public information, we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implementing the following procedures to help prevent inadvertent violations of this Policy and avoid even the appearance of an improper transaction (which could result, for example, where Company personnel engage in a trade while unaware of a pending major development).</w:t>
      </w:r>
    </w:p>
    <w:p>
      <w:pPr>
        <w:spacing w:after="0" w:line="177" w:lineRule="exact"/>
        <w:rPr>
          <w:sz w:val="20"/>
          <w:szCs w:val="20"/>
          <w:color w:val="auto"/>
        </w:rPr>
      </w:pPr>
    </w:p>
    <w:p>
      <w:pPr>
        <w:ind w:right="20" w:firstLine="656"/>
        <w:spacing w:after="0" w:line="271" w:lineRule="auto"/>
        <w:tabs>
          <w:tab w:leader="none" w:pos="122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Company-Wide Black-Out Periods Applicable to All Company Personnel</w:t>
      </w:r>
      <w:r>
        <w:rPr>
          <w:rFonts w:ascii="Times New Roman" w:cs="Times New Roman" w:eastAsia="Times New Roman" w:hAnsi="Times New Roman"/>
          <w:sz w:val="22"/>
          <w:szCs w:val="22"/>
          <w:color w:val="auto"/>
        </w:rPr>
        <w:t>. All Company personnel and Related Persons are prohibited from trading in any of the Company’s securities during the following periods:</w:t>
      </w:r>
    </w:p>
    <w:p>
      <w:pPr>
        <w:spacing w:after="0" w:line="171" w:lineRule="exact"/>
        <w:rPr>
          <w:sz w:val="20"/>
          <w:szCs w:val="20"/>
          <w:color w:val="auto"/>
        </w:rPr>
      </w:pPr>
    </w:p>
    <w:p>
      <w:pPr>
        <w:jc w:val="both"/>
        <w:ind w:left="980" w:hanging="324"/>
        <w:spacing w:after="0" w:line="250" w:lineRule="auto"/>
        <w:tabs>
          <w:tab w:leader="none" w:pos="97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194"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other specified periods when significant developments or announcements are anticipated, as notified by the Policy Administrator.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Times New Roman" w:cs="Times New Roman" w:eastAsia="Times New Roman" w:hAnsi="Times New Roman"/>
          <w:sz w:val="22"/>
          <w:szCs w:val="22"/>
          <w:i w:val="1"/>
          <w:iCs w:val="1"/>
          <w:color w:val="auto"/>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course, even during periods when trading is permitted, no one, including persons or entities who do not fall within the definition of Related Persons, should trade in the Company’s securities if he or she possesses material non-public information.</w:t>
      </w:r>
    </w:p>
    <w:p>
      <w:pPr>
        <w:spacing w:after="0" w:line="176" w:lineRule="exact"/>
        <w:rPr>
          <w:sz w:val="20"/>
          <w:szCs w:val="20"/>
          <w:color w:val="auto"/>
        </w:rPr>
      </w:pPr>
    </w:p>
    <w:p>
      <w:pPr>
        <w:jc w:val="both"/>
        <w:ind w:firstLine="656"/>
        <w:spacing w:after="0" w:line="250" w:lineRule="auto"/>
        <w:tabs>
          <w:tab w:leader="none" w:pos="114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Black-Out Periods Applicable to the Board of Directors, Senior Management, Financial Team Members and Designated Individuals</w:t>
      </w:r>
      <w:r>
        <w:rPr>
          <w:rFonts w:ascii="Times New Roman" w:cs="Times New Roman" w:eastAsia="Times New Roman" w:hAnsi="Times New Roman"/>
          <w:sz w:val="22"/>
          <w:szCs w:val="22"/>
          <w:color w:val="auto"/>
        </w:rPr>
        <w:t>. In addition to being subject to the trading procedures applicable to all Company personnel (above), members of the Company’s Board of Directors, Senior Management, Financial Team Members, Designated Individuals (each as defined below) and Related Persons of such individuals are also subject to additional trading procedures and restrictions during the following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1" w:right="339" w:bottom="1440" w:gutter="0" w:footer="0" w:header="0"/>
        </w:sectPr>
      </w:pPr>
    </w:p>
    <w:bookmarkStart w:id="141" w:name="page142"/>
    <w:bookmarkEnd w:id="141"/>
    <w:p>
      <w:pPr>
        <w:jc w:val="both"/>
        <w:ind w:left="980" w:hanging="324"/>
        <w:spacing w:after="0" w:line="257" w:lineRule="auto"/>
        <w:tabs>
          <w:tab w:leader="none" w:pos="97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periods from 15 days prior to the close of each fiscal quarter until the beginning of the second business day after the release of the Company’s financial results for each quarter and, in the case of the fourth quarter, financial results for the year end; and</w:t>
      </w:r>
    </w:p>
    <w:p>
      <w:pPr>
        <w:spacing w:after="0" w:line="18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periods as determined by the Company.</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following members of management constitute the “</w:t>
      </w:r>
      <w:r>
        <w:rPr>
          <w:rFonts w:ascii="Times New Roman" w:cs="Times New Roman" w:eastAsia="Times New Roman" w:hAnsi="Times New Roman"/>
          <w:sz w:val="22"/>
          <w:szCs w:val="22"/>
          <w:u w:val="single" w:color="auto"/>
          <w:color w:val="auto"/>
        </w:rPr>
        <w:t>Senior Management</w:t>
      </w:r>
      <w:r>
        <w:rPr>
          <w:rFonts w:ascii="Times New Roman" w:cs="Times New Roman" w:eastAsia="Times New Roman" w:hAnsi="Times New Roman"/>
          <w:sz w:val="22"/>
          <w:szCs w:val="22"/>
          <w:color w:val="auto"/>
        </w:rPr>
        <w:t xml:space="preserve">” of the Company: all Executive (Section 16) Officers, as listed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which list shall be amended from time to time to reflect the then-current group of such individuals.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following individuals constitute the “</w:t>
      </w:r>
      <w:r>
        <w:rPr>
          <w:rFonts w:ascii="Times New Roman" w:cs="Times New Roman" w:eastAsia="Times New Roman" w:hAnsi="Times New Roman"/>
          <w:sz w:val="22"/>
          <w:szCs w:val="22"/>
          <w:u w:val="single" w:color="auto"/>
          <w:color w:val="auto"/>
        </w:rPr>
        <w:t>Financial Team Members</w:t>
      </w:r>
      <w:r>
        <w:rPr>
          <w:rFonts w:ascii="Times New Roman" w:cs="Times New Roman" w:eastAsia="Times New Roman" w:hAnsi="Times New Roman"/>
          <w:sz w:val="22"/>
          <w:szCs w:val="22"/>
          <w:color w:val="auto"/>
        </w:rPr>
        <w:t xml:space="preserve">” of the Company: all members of the Company’s financial team, as listed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which list shall be amended from time to time to reflect the then-current group of such individuals.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following individuals constitute other “</w:t>
      </w:r>
      <w:r>
        <w:rPr>
          <w:rFonts w:ascii="Times New Roman" w:cs="Times New Roman" w:eastAsia="Times New Roman" w:hAnsi="Times New Roman"/>
          <w:sz w:val="22"/>
          <w:szCs w:val="22"/>
          <w:u w:val="single" w:color="auto"/>
          <w:color w:val="auto"/>
        </w:rPr>
        <w:t>Designated Individuals</w:t>
      </w:r>
      <w:r>
        <w:rPr>
          <w:rFonts w:ascii="Times New Roman" w:cs="Times New Roman" w:eastAsia="Times New Roman" w:hAnsi="Times New Roman"/>
          <w:sz w:val="22"/>
          <w:szCs w:val="22"/>
          <w:color w:val="auto"/>
        </w:rPr>
        <w:t xml:space="preserve">” of the Company: certain additional members of Company personnel, as listed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which list shall be amended from time to time to reflect the then-current group of such individuals.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Policy Administrator may, from time to time, amend the list of and/or designate other employees as Senior Management, Financial Team Members or Designated Individuals in which case the Policy Administrator shall notify the affected individuals.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Exceptions for Certain Transactions.</w:t>
      </w:r>
    </w:p>
    <w:p>
      <w:pPr>
        <w:spacing w:after="0" w:line="226" w:lineRule="exact"/>
        <w:rPr>
          <w:sz w:val="20"/>
          <w:szCs w:val="20"/>
          <w:color w:val="auto"/>
        </w:rPr>
      </w:pPr>
    </w:p>
    <w:p>
      <w:pPr>
        <w:ind w:right="20" w:firstLine="656"/>
        <w:spacing w:after="0" w:line="271" w:lineRule="auto"/>
        <w:tabs>
          <w:tab w:leader="none" w:pos="125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Funds</w:t>
      </w:r>
      <w:r>
        <w:rPr>
          <w:rFonts w:ascii="Times New Roman" w:cs="Times New Roman" w:eastAsia="Times New Roman" w:hAnsi="Times New Roman"/>
          <w:sz w:val="22"/>
          <w:szCs w:val="22"/>
          <w:color w:val="auto"/>
        </w:rPr>
        <w:t>. Transactions in mutual funds that are invested in the Company’s securities are not transactions subject to this Policy.</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15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Involving Company Equity Plans</w:t>
      </w:r>
      <w:r>
        <w:rPr>
          <w:rFonts w:ascii="Times New Roman" w:cs="Times New Roman" w:eastAsia="Times New Roman" w:hAnsi="Times New Roman"/>
          <w:sz w:val="22"/>
          <w:szCs w:val="22"/>
          <w:color w:val="auto"/>
        </w:rPr>
        <w:t>. Except as otherwise noted below, this Policy does not apply to the following transactions:</w:t>
      </w:r>
    </w:p>
    <w:p>
      <w:pPr>
        <w:spacing w:after="0" w:line="154" w:lineRule="exact"/>
        <w:rPr>
          <w:sz w:val="20"/>
          <w:szCs w:val="20"/>
          <w:color w:val="auto"/>
        </w:rPr>
      </w:pPr>
    </w:p>
    <w:p>
      <w:pPr>
        <w:jc w:val="both"/>
        <w:ind w:left="980" w:hanging="324"/>
        <w:spacing w:after="0" w:line="252" w:lineRule="auto"/>
        <w:tabs>
          <w:tab w:leader="none" w:pos="97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Stock Option Exercises. </w:t>
      </w:r>
      <w:r>
        <w:rPr>
          <w:rFonts w:ascii="Times New Roman" w:cs="Times New Roman" w:eastAsia="Times New Roman" w:hAnsi="Times New Roman"/>
          <w:sz w:val="22"/>
          <w:szCs w:val="22"/>
          <w:color w:val="auto"/>
        </w:rPr>
        <w:t>This Policy does not apply to the exercise of an employee stock option acquired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174" w:lineRule="exact"/>
        <w:rPr>
          <w:rFonts w:ascii="Times New Roman" w:cs="Times New Roman" w:eastAsia="Times New Roman" w:hAnsi="Times New Roman"/>
          <w:sz w:val="22"/>
          <w:szCs w:val="22"/>
          <w:color w:val="auto"/>
        </w:rPr>
      </w:pPr>
    </w:p>
    <w:p>
      <w:pPr>
        <w:jc w:val="both"/>
        <w:ind w:left="980" w:hanging="324"/>
        <w:spacing w:after="0" w:line="254" w:lineRule="auto"/>
        <w:tabs>
          <w:tab w:leader="none" w:pos="97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Restricted Stock Awards and Restricted Stock Unit Awards. </w:t>
      </w:r>
      <w:r>
        <w:rPr>
          <w:rFonts w:ascii="Times New Roman" w:cs="Times New Roman" w:eastAsia="Times New Roman" w:hAnsi="Times New Roman"/>
          <w:sz w:val="22"/>
          <w:szCs w:val="22"/>
          <w:color w:val="auto"/>
        </w:rPr>
        <w:t>This Policy does not apply to the vesting of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restricted stock units, or the exercise 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1" w:right="339" w:bottom="1440" w:gutter="0" w:footer="0" w:header="0"/>
        </w:sectPr>
      </w:pPr>
    </w:p>
    <w:bookmarkStart w:id="142" w:name="page143"/>
    <w:bookmarkEnd w:id="142"/>
    <w:p>
      <w:pPr>
        <w:jc w:val="both"/>
        <w:ind w:left="980" w:hanging="324"/>
        <w:spacing w:after="0" w:line="259" w:lineRule="auto"/>
        <w:tabs>
          <w:tab w:leader="none" w:pos="97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Stock Purchase Plan. </w:t>
      </w:r>
      <w:r>
        <w:rPr>
          <w:rFonts w:ascii="Times New Roman" w:cs="Times New Roman" w:eastAsia="Times New Roman" w:hAnsi="Times New Roman"/>
          <w:sz w:val="22"/>
          <w:szCs w:val="22"/>
          <w:color w:val="auto"/>
        </w:rPr>
        <w:t>This Policy does not apply to purchases of the Company’s securities under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stock purchase plan of the Company. This Policy does apply, however, to subsequent sales or other transfers of such securities.</w:t>
      </w:r>
    </w:p>
    <w:p>
      <w:pPr>
        <w:spacing w:after="0" w:line="179" w:lineRule="exact"/>
        <w:rPr>
          <w:rFonts w:ascii="Times New Roman" w:cs="Times New Roman" w:eastAsia="Times New Roman" w:hAnsi="Times New Roman"/>
          <w:sz w:val="22"/>
          <w:szCs w:val="22"/>
          <w:color w:val="auto"/>
        </w:rPr>
      </w:pPr>
    </w:p>
    <w:p>
      <w:pPr>
        <w:ind w:left="980" w:hanging="324"/>
        <w:spacing w:after="0" w:line="275" w:lineRule="auto"/>
        <w:tabs>
          <w:tab w:leader="none" w:pos="97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Transactions with the Company. </w:t>
      </w:r>
      <w:r>
        <w:rPr>
          <w:rFonts w:ascii="Times New Roman" w:cs="Times New Roman" w:eastAsia="Times New Roman" w:hAnsi="Times New Roman"/>
          <w:sz w:val="22"/>
          <w:szCs w:val="22"/>
          <w:color w:val="auto"/>
        </w:rPr>
        <w:t>Any other purchase of the Company’s securities from the Company or sales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securities to the Company are not subject to this Policy.</w:t>
      </w:r>
    </w:p>
    <w:p>
      <w:pPr>
        <w:spacing w:after="0" w:line="153" w:lineRule="exact"/>
        <w:rPr>
          <w:sz w:val="20"/>
          <w:szCs w:val="20"/>
          <w:color w:val="auto"/>
        </w:rPr>
      </w:pPr>
    </w:p>
    <w:p>
      <w:pPr>
        <w:jc w:val="both"/>
        <w:ind w:firstLine="656"/>
        <w:spacing w:after="0" w:line="250" w:lineRule="auto"/>
        <w:tabs>
          <w:tab w:leader="none" w:pos="11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Trading Plans</w:t>
      </w:r>
      <w:r>
        <w:rPr>
          <w:rFonts w:ascii="Times New Roman" w:cs="Times New Roman" w:eastAsia="Times New Roman" w:hAnsi="Times New Roman"/>
          <w:sz w:val="22"/>
          <w:szCs w:val="22"/>
          <w:color w:val="auto"/>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Times New Roman" w:cs="Times New Roman" w:eastAsia="Times New Roman" w:hAnsi="Times New Roman"/>
          <w:sz w:val="22"/>
          <w:szCs w:val="22"/>
          <w:u w:val="single" w:color="auto"/>
          <w:color w:val="auto"/>
        </w:rPr>
        <w:t>Trading Plans</w:t>
      </w:r>
      <w:r>
        <w:rPr>
          <w:rFonts w:ascii="Times New Roman" w:cs="Times New Roman" w:eastAsia="Times New Roman" w:hAnsi="Times New Roman"/>
          <w:sz w:val="22"/>
          <w:szCs w:val="22"/>
          <w:color w:val="auto"/>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Company must pre-approve any such Trading Plan prior to its effectiveness.</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After a Trading Plan is approved, you must wait for a cooling-off period before the first trade is made under the Trading Plan. For persons subject to this Policy, transactions under a new Trading Plan may not occur before the later of (i) 90 days after adoption (including deemed adoption) of the Trading Plan or (ii) two business days after disclosure of the Company’s financial results in a Form 10-Q or Form 10-K for the quarter in which the Trading Plan was adopted or modified (subject to a maximum of 120 days after adoption of the Trading Plan).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and, accordingly, requires pre-clearance of such modification or deviation. Persons subject to this Policy may not maintain two separate Trading Plans, unless trading under the later-commencing plan is not authorized to begin until after all trades under the earlier-commencing plan are completed or expire without execution. If the first plan is terminated early, the first trade under the later-commencing plan, however, must not be scheduled to occur until after the effective cooling-off period following the termination of the earlier plan. Further, any termination of a Trading Plan must be immediately reported to the Policy Administrator. If a new Trading Plan (the “</w:t>
      </w:r>
      <w:r>
        <w:rPr>
          <w:rFonts w:ascii="Times New Roman" w:cs="Times New Roman" w:eastAsia="Times New Roman" w:hAnsi="Times New Roman"/>
          <w:sz w:val="22"/>
          <w:szCs w:val="22"/>
          <w:b w:val="1"/>
          <w:bCs w:val="1"/>
          <w:i w:val="1"/>
          <w:iCs w:val="1"/>
          <w:color w:val="auto"/>
        </w:rPr>
        <w:t>Second Plan</w:t>
      </w:r>
      <w:r>
        <w:rPr>
          <w:rFonts w:ascii="Times New Roman" w:cs="Times New Roman" w:eastAsia="Times New Roman" w:hAnsi="Times New Roman"/>
          <w:sz w:val="22"/>
          <w:szCs w:val="22"/>
          <w:color w:val="auto"/>
        </w:rPr>
        <w:t>”) intended to succeed an earlier pre-cleared Trading Plan (the “</w:t>
      </w: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has been pre-cleared, you may not affirmatively terminate the First Plan without pre-clearance, because such termination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 deemed to be entering into the Second Plan. Company personnel seeking to establish, modify or cancel a Trading Plan should contact the Policy Administrator.</w:t>
      </w:r>
    </w:p>
    <w:p>
      <w:pPr>
        <w:spacing w:after="0" w:line="18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Pre-Clearance of All Acquisitions, Sales and Other Transfers by Certain Company Personnel. </w:t>
      </w:r>
      <w:r>
        <w:rPr>
          <w:rFonts w:ascii="Times New Roman" w:cs="Times New Roman" w:eastAsia="Times New Roman" w:hAnsi="Times New Roman"/>
          <w:sz w:val="22"/>
          <w:szCs w:val="22"/>
          <w:color w:val="auto"/>
        </w:rPr>
        <w:t>In order to ensure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compliance with this Policy and with any Section 16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143" w:name="page144"/>
    <w:bookmarkEnd w:id="14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requirements, all transactions in the Company’s securities (including acquisitions, sales, gifts and other transfers, whether or not for value), including the execution of Trading Plans, by members of the Company’s Board of Directors, Senior Management, Financial Team Members, Designated Individuals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non-public information rests with you, as discussed below in </w:t>
      </w:r>
      <w:r>
        <w:rPr>
          <w:rFonts w:ascii="Times New Roman" w:cs="Times New Roman" w:eastAsia="Times New Roman" w:hAnsi="Times New Roman"/>
          <w:sz w:val="22"/>
          <w:szCs w:val="22"/>
          <w:u w:val="single" w:color="auto"/>
          <w:color w:val="auto"/>
        </w:rPr>
        <w:t>Section V</w:t>
      </w:r>
      <w:r>
        <w:rPr>
          <w:rFonts w:ascii="Times New Roman" w:cs="Times New Roman" w:eastAsia="Times New Roman" w:hAnsi="Times New Roman"/>
          <w:sz w:val="22"/>
          <w:szCs w:val="22"/>
          <w:color w:val="auto"/>
        </w:rPr>
        <w:t>.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w:t>
      </w:r>
    </w:p>
    <w:p>
      <w:pPr>
        <w:spacing w:after="0" w:line="18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Employees of the Company who are not Directors, members of Senior Management, Financial Team Members or Designated Individuals may, but are not required to, pre-clear transactions in the Company’s securities in the same manner as set forth above. Such employees are not required to notify the Policy Administrator following execution of the transaction.</w:t>
      </w:r>
    </w:p>
    <w:p>
      <w:pPr>
        <w:spacing w:after="0" w:line="16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Please note that pre-clearance does not provide Company personnel with immunity from investigation or suit, for which it is the responsibility of the individual to comply with the federal securities regulations.</w:t>
      </w:r>
    </w:p>
    <w:p>
      <w:pPr>
        <w:spacing w:after="0" w:line="326" w:lineRule="exact"/>
        <w:rPr>
          <w:sz w:val="20"/>
          <w:szCs w:val="20"/>
          <w:color w:val="auto"/>
        </w:rPr>
      </w:pPr>
    </w:p>
    <w:p>
      <w:pPr>
        <w:ind w:left="620" w:hanging="612"/>
        <w:spacing w:after="0"/>
        <w:tabs>
          <w:tab w:leader="none" w:pos="6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Individual Responsibility</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Persons subject to this Policy have ethical and legal obligations to maintain the confidentiality of information about the Company and to refrain from engaging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w:t>
      </w:r>
      <w:r>
        <w:rPr>
          <w:rFonts w:ascii="Times New Roman" w:cs="Times New Roman" w:eastAsia="Times New Roman" w:hAnsi="Times New Roman"/>
          <w:sz w:val="22"/>
          <w:szCs w:val="22"/>
          <w:u w:val="single" w:color="auto"/>
          <w:color w:val="auto"/>
        </w:rPr>
        <w:t>Section III</w:t>
      </w:r>
      <w:r>
        <w:rPr>
          <w:rFonts w:ascii="Times New Roman" w:cs="Times New Roman" w:eastAsia="Times New Roman" w:hAnsi="Times New Roman"/>
          <w:sz w:val="22"/>
          <w:szCs w:val="22"/>
          <w:color w:val="auto"/>
        </w:rPr>
        <w:t xml:space="preserve"> above.</w:t>
      </w:r>
    </w:p>
    <w:p>
      <w:pPr>
        <w:spacing w:after="0" w:line="17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Tipping Information to Others. </w:t>
      </w:r>
      <w:r>
        <w:rPr>
          <w:rFonts w:ascii="Times New Roman" w:cs="Times New Roman" w:eastAsia="Times New Roman" w:hAnsi="Times New Roman"/>
          <w:sz w:val="22"/>
          <w:szCs w:val="22"/>
          <w:color w:val="auto"/>
        </w:rPr>
        <w:t>Company personnel must not disclose non-public information about the Company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others outside the Company who do not have an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56" w:lineRule="auto"/>
        <w:rPr>
          <w:sz w:val="20"/>
          <w:szCs w:val="20"/>
          <w:color w:val="auto"/>
        </w:rPr>
      </w:pPr>
      <w:r>
        <w:rPr>
          <w:rFonts w:ascii="Times New Roman" w:cs="Times New Roman" w:eastAsia="Times New Roman" w:hAnsi="Times New Roman"/>
          <w:sz w:val="22"/>
          <w:szCs w:val="22"/>
          <w:color w:val="auto"/>
        </w:rPr>
        <w:t>maintain the confidentiality of such information. If the outsider trades on such information, penalties for insider trading may apply in these situations whether or not you derive any monetary benefit from the other person’s trading activities. Material non-public information is sometimes inadvertently disclosed or overheard in casual, social conversations. Please take care to avoid such disclosures.</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Prevention of Insider Trading by Others. </w:t>
      </w:r>
      <w:r>
        <w:rPr>
          <w:rFonts w:ascii="Times New Roman" w:cs="Times New Roman" w:eastAsia="Times New Roman" w:hAnsi="Times New Roman"/>
          <w:sz w:val="22"/>
          <w:szCs w:val="22"/>
          <w:color w:val="auto"/>
        </w:rPr>
        <w:t>If you become aware of a potential insider trading violation, you must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immediately advise our Policy Administrator and/or 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Confidentiality. </w:t>
      </w:r>
      <w:r>
        <w:rPr>
          <w:rFonts w:ascii="Times New Roman" w:cs="Times New Roman" w:eastAsia="Times New Roman" w:hAnsi="Times New Roman"/>
          <w:sz w:val="21"/>
          <w:szCs w:val="21"/>
          <w:color w:val="auto"/>
        </w:rPr>
        <w:t>Serious problems could be caused for the Company by the unauthorized disclosure of internal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information 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Meta, X,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Company’s General Counsel and Corporate Secretary. Please review the Company’s separate Regulation FD Policy, which governs all public communications with people outside the Company.</w:t>
      </w:r>
    </w:p>
    <w:p>
      <w:pPr>
        <w:spacing w:after="0" w:line="3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Additional Prohibited Transactions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Because we believe it is generally improper and inappropriate for Company personnel to engage in short-term or speculative transactions involving the Company’s securities, it is our general policy that Company personnel and Related Persons not engage in any of the following activities:</w:t>
      </w:r>
    </w:p>
    <w:p>
      <w:pPr>
        <w:spacing w:after="0" w:line="173" w:lineRule="exact"/>
        <w:rPr>
          <w:sz w:val="20"/>
          <w:szCs w:val="20"/>
          <w:color w:val="auto"/>
        </w:rPr>
      </w:pPr>
    </w:p>
    <w:p>
      <w:pPr>
        <w:ind w:left="980" w:hanging="324"/>
        <w:spacing w:after="0" w:line="284" w:lineRule="auto"/>
        <w:tabs>
          <w:tab w:leader="none" w:pos="97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the Company’s securities on a short-term basis. Any shares of Company common stock purchased in the open market must be held for a minimum of six months and ideally longer;</w:t>
      </w:r>
    </w:p>
    <w:p>
      <w:pPr>
        <w:spacing w:after="0" w:line="143" w:lineRule="exact"/>
        <w:rPr>
          <w:rFonts w:ascii="Times New Roman" w:cs="Times New Roman" w:eastAsia="Times New Roman" w:hAnsi="Times New Roman"/>
          <w:sz w:val="22"/>
          <w:szCs w:val="22"/>
          <w:color w:val="auto"/>
        </w:rPr>
      </w:pPr>
    </w:p>
    <w:p>
      <w:pPr>
        <w:jc w:val="both"/>
        <w:ind w:left="980" w:hanging="324"/>
        <w:spacing w:after="0" w:line="275" w:lineRule="auto"/>
        <w:tabs>
          <w:tab w:leader="none" w:pos="97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purchasing of financial instruments (including prepaid variable forward contracts, equity swaps, puts, calls, straddles, collars and exchange funds) that are designed to hedge or offset any decrease in the market value of the Company’s equity securities and entering into other transactions with the same economic effect, including short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1" w:right="339" w:bottom="1440" w:gutter="0" w:footer="0" w:header="0"/>
        </w:sectPr>
      </w:pPr>
    </w:p>
    <w:bookmarkStart w:id="145" w:name="page146"/>
    <w:bookmarkEnd w:id="145"/>
    <w:p>
      <w:pPr>
        <w:ind w:left="980" w:hanging="324"/>
        <w:spacing w:after="0"/>
        <w:tabs>
          <w:tab w:leader="none" w:pos="9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or other arrangements involving pledges of securities or margin accounts; and</w:t>
      </w:r>
    </w:p>
    <w:p>
      <w:pPr>
        <w:spacing w:after="0" w:line="219"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selling a security future that establishes a position that increases in value as the value of the underlying equity security decreases.</w:t>
      </w:r>
    </w:p>
    <w:p>
      <w:pPr>
        <w:spacing w:after="0" w:line="3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Post-Termination Transactions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VIII.  </w:t>
      </w:r>
      <w:r>
        <w:rPr>
          <w:rFonts w:ascii="Times New Roman" w:cs="Times New Roman" w:eastAsia="Times New Roman" w:hAnsi="Times New Roman"/>
          <w:sz w:val="22"/>
          <w:szCs w:val="22"/>
          <w:b w:val="1"/>
          <w:bCs w:val="1"/>
          <w:u w:val="single" w:color="auto"/>
          <w:color w:val="auto"/>
        </w:rPr>
        <w:t>Company Assistance</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person who has any questions about specific transactions or this Policy in general may obtain additional guidance or request a waiver from the Policy Administrator. Remember, however, the ultimate responsibility for adhering to this Policy and avoiding improper transactions rests with you. In this regard, please use your best judgment when considering a transaction in the Company’s securities.</w:t>
      </w:r>
    </w:p>
    <w:p>
      <w:pPr>
        <w:spacing w:after="0" w:line="3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u w:val="single" w:color="auto"/>
          <w:color w:val="auto"/>
        </w:rPr>
        <w:t>Certifications</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333-257676; No. 333-263514; No. 333-273934) and Form S-8 (No. 333-259271; No. 333-263154; No. 333-268301; No. 333-270630; No. 333-273350; No. 333-277533) of Quantum-Si Incorporated of our report dated March 3, 2025 relating to the financial statements, which appears in this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ectPr>
          <w:pgSz w:w="11900" w:h="16838" w:orient="portrait"/>
          <w:cols w:equalWidth="0" w:num="1">
            <w:col w:w="11240"/>
          </w:cols>
          <w:pgMar w:left="320" w:top="114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Nos. 333-259271, 333-263154, 333-268301, 333-270630, 333-273350 and 333-277533 on Form S-8 and Registration Statement Nos. 333-257676, 333-263514 and 333-273934 on Form S-3 of our report dated February 29, 2024 (March 3, 2025, as to the effects of the adoption of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described in Note 2), relating to the 2022 and 2023 financial statements of Quantum-Si Incorporated, appearing in this Annual Report on Form 10-K of Quantum-Si Incorporated for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ectPr>
          <w:pgSz w:w="11900" w:h="16838" w:orient="portrait"/>
          <w:cols w:equalWidth="0" w:num="1">
            <w:col w:w="11240"/>
          </w:cols>
          <w:pgMar w:left="320" w:top="1143" w:right="339" w:bottom="1440" w:gutter="0" w:footer="0" w:header="0"/>
        </w:sectPr>
      </w:pPr>
    </w:p>
    <w:bookmarkStart w:id="148" w:name="page149"/>
    <w:bookmarkEnd w:id="14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Hawkins, certify that:</w:t>
      </w:r>
    </w:p>
    <w:p>
      <w:pPr>
        <w:spacing w:after="0" w:line="225"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Quantum-Si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489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149" w:name="page150"/>
    <w:bookmarkEnd w:id="14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Jeffry Keyes, certify that:</w:t>
      </w:r>
    </w:p>
    <w:p>
      <w:pPr>
        <w:spacing w:after="0" w:line="225"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Quantum-Si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489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Jeffry Keyes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14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Jeffrey Hawkins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Hawkins</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7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Jeffry Keyes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Keyes</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x"/>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1"/>
      <w:numFmt w:val="upperLetter"/>
      <w:start w:val="6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2"/>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lowerLetter"/>
      <w:start w:val="1"/>
    </w:lvl>
    <w:lvl w:ilvl="1">
      <w:lvlJc w:val="left"/>
      <w:lvlText w:val="(%2)"/>
      <w:numFmt w:val="lowerLetter"/>
      <w:start w:val="9"/>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53">
    <w:nsid w:val="42963E5A"/>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54">
    <w:nsid w:val="A0382C5"/>
    <w:multiLevelType w:val="hybridMultilevel"/>
    <w:lvl w:ilvl="0">
      <w:lvlJc w:val="left"/>
      <w:lvlText w:val="(%1)"/>
      <w:numFmt w:val="lowerRoman"/>
      <w:start w:val="5"/>
    </w:lvl>
    <w:lvl w:ilvl="1">
      <w:lvlJc w:val="left"/>
      <w:lvlText w:val="%2"/>
      <w:numFmt w:val="decimal"/>
      <w:start w:val="1"/>
    </w:lvl>
    <w:lvl w:ilvl="2">
      <w:lvlJc w:val="left"/>
      <w:lvlText w:val="%3"/>
      <w:numFmt w:val="lowerLetter"/>
      <w:start w:val="1"/>
    </w:lvl>
  </w:abstractNum>
  <w:abstractNum w:abstractNumId="55">
    <w:nsid w:val="8F2B15E"/>
    <w:multiLevelType w:val="hybridMultilevel"/>
    <w:lvl w:ilvl="0">
      <w:lvlJc w:val="left"/>
      <w:lvlText w:val="%1"/>
      <w:numFmt w:val="lowerRoman"/>
      <w:start w:val="1"/>
    </w:lvl>
    <w:lvl w:ilvl="1">
      <w:lvlJc w:val="left"/>
      <w:lvlText w:val="(%2)"/>
      <w:numFmt w:val="lowerLetter"/>
      <w:start w:val="4"/>
    </w:lvl>
  </w:abstractNum>
  <w:abstractNum w:abstractNumId="56">
    <w:nsid w:val="1A32234B"/>
    <w:multiLevelType w:val="hybridMultilevel"/>
    <w:lvl w:ilvl="0">
      <w:lvlJc w:val="left"/>
      <w:lvlText w:val="%1"/>
      <w:numFmt w:val="lowerRoman"/>
      <w:start w:val="1"/>
    </w:lvl>
    <w:lvl w:ilvl="1">
      <w:lvlJc w:val="left"/>
      <w:lvlText w:val="(%2)"/>
      <w:numFmt w:val="lowerLetter"/>
      <w:start w:val="9"/>
    </w:lvl>
  </w:abstractNum>
  <w:abstractNum w:abstractNumId="57">
    <w:nsid w:val="3B0FD379"/>
    <w:multiLevelType w:val="hybridMultilevel"/>
    <w:lvl w:ilvl="0">
      <w:lvlJc w:val="left"/>
      <w:lvlText w:val="%1"/>
      <w:numFmt w:val="lowerRoman"/>
      <w:start w:val="1"/>
    </w:lvl>
    <w:lvl w:ilvl="1">
      <w:lvlJc w:val="left"/>
      <w:lvlText w:val="(%2)"/>
      <w:numFmt w:val="lowerLetter"/>
      <w:start w:val="35"/>
    </w:lvl>
  </w:abstractNum>
  <w:abstractNum w:abstractNumId="58">
    <w:nsid w:val="68EB2F63"/>
    <w:multiLevelType w:val="hybridMultilevel"/>
    <w:lvl w:ilvl="0">
      <w:lvlJc w:val="left"/>
      <w:lvlText w:val="%1"/>
      <w:numFmt w:val="lowerRoman"/>
      <w:start w:val="1"/>
    </w:lvl>
    <w:lvl w:ilvl="1">
      <w:lvlJc w:val="left"/>
      <w:lvlText w:val="(%2)"/>
      <w:numFmt w:val="lowerLetter"/>
      <w:start w:val="61"/>
    </w:lvl>
  </w:abstractNum>
  <w:abstractNum w:abstractNumId="59">
    <w:nsid w:val="4962813B"/>
    <w:multiLevelType w:val="hybridMultilevel"/>
    <w:lvl w:ilvl="0">
      <w:lvlJc w:val="left"/>
      <w:lvlText w:val="(%1)"/>
      <w:numFmt w:val="lowerRoman"/>
      <w:start w:val="4"/>
    </w:lvl>
    <w:lvl w:ilvl="1">
      <w:lvlJc w:val="left"/>
      <w:lvlText w:val="(%2)"/>
      <w:numFmt w:val="lowerLetter"/>
      <w:start w:val="5"/>
    </w:lvl>
  </w:abstractNum>
  <w:abstractNum w:abstractNumId="60">
    <w:nsid w:val="60B6DF70"/>
    <w:multiLevelType w:val="hybridMultilevel"/>
    <w:lvl w:ilvl="0">
      <w:lvlJc w:val="left"/>
      <w:lvlText w:val="(%1)"/>
      <w:numFmt w:val="lowerLetter"/>
      <w:start w:val="8"/>
    </w:lvl>
  </w:abstractNum>
  <w:abstractNum w:abstractNumId="61">
    <w:nsid w:val="6A5EE64"/>
    <w:multiLevelType w:val="hybridMultilevel"/>
    <w:lvl w:ilvl="0">
      <w:lvlJc w:val="left"/>
      <w:lvlText w:val="(%1)"/>
      <w:numFmt w:val="lowerLetter"/>
      <w:start w:val="12"/>
    </w:lvl>
  </w:abstractNum>
  <w:abstractNum w:abstractNumId="62">
    <w:nsid w:val="14330624"/>
    <w:multiLevelType w:val="hybridMultilevel"/>
    <w:lvl w:ilvl="0">
      <w:lvlJc w:val="left"/>
      <w:lvlText w:val="%1"/>
      <w:numFmt w:val="decimal"/>
      <w:start w:val="1"/>
    </w:lvl>
    <w:lvl w:ilvl="1">
      <w:lvlJc w:val="left"/>
      <w:lvlText w:val="(%2)"/>
      <w:numFmt w:val="lowerLetter"/>
      <w:start w:val="15"/>
    </w:lvl>
  </w:abstractNum>
  <w:abstractNum w:abstractNumId="63">
    <w:nsid w:val="7FFFCA11"/>
    <w:multiLevelType w:val="hybridMultilevel"/>
    <w:lvl w:ilvl="0">
      <w:lvlJc w:val="left"/>
      <w:lvlText w:val="%1."/>
      <w:numFmt w:val="decimal"/>
      <w:start w:val="4"/>
    </w:lvl>
    <w:lvl w:ilvl="1">
      <w:lvlJc w:val="left"/>
      <w:lvlText w:val="(%2)"/>
      <w:numFmt w:val="lowerLetter"/>
      <w:start w:val="1"/>
    </w:lvl>
  </w:abstractNum>
  <w:abstractNum w:abstractNumId="64">
    <w:nsid w:val="1A27709E"/>
    <w:multiLevelType w:val="hybridMultilevel"/>
    <w:lvl w:ilvl="0">
      <w:lvlJc w:val="left"/>
      <w:lvlText w:val="%1"/>
      <w:numFmt w:val="decimal"/>
      <w:start w:val="1"/>
    </w:lvl>
    <w:lvl w:ilvl="1">
      <w:lvlJc w:val="left"/>
      <w:lvlText w:val="(%2)"/>
      <w:numFmt w:val="lowerLetter"/>
      <w:start w:val="3"/>
    </w:lvl>
  </w:abstractNum>
  <w:abstractNum w:abstractNumId="65">
    <w:nsid w:val="71EA1109"/>
    <w:multiLevelType w:val="hybridMultilevel"/>
    <w:lvl w:ilvl="0">
      <w:lvlJc w:val="left"/>
      <w:lvlText w:val="%1."/>
      <w:numFmt w:val="decimal"/>
      <w:start w:val="5"/>
    </w:lvl>
    <w:lvl w:ilvl="1">
      <w:lvlJc w:val="left"/>
      <w:lvlText w:val="(%2)"/>
      <w:numFmt w:val="lowerLetter"/>
      <w:start w:val="1"/>
    </w:lvl>
  </w:abstractNum>
  <w:abstractNum w:abstractNumId="66">
    <w:nsid w:val="100F59DC"/>
    <w:multiLevelType w:val="hybridMultilevel"/>
    <w:lvl w:ilvl="0">
      <w:lvlJc w:val="left"/>
      <w:lvlText w:val="%1"/>
      <w:numFmt w:val="lowerLetter"/>
      <w:start w:val="1"/>
    </w:lvl>
    <w:lvl w:ilvl="1">
      <w:lvlJc w:val="left"/>
      <w:lvlText w:val="%2."/>
      <w:numFmt w:val="decimal"/>
      <w:start w:val="7"/>
    </w:lvl>
  </w:abstractNum>
  <w:abstractNum w:abstractNumId="67">
    <w:nsid w:val="7FB7E0AA"/>
    <w:multiLevelType w:val="hybridMultilevel"/>
    <w:lvl w:ilvl="0">
      <w:lvlJc w:val="left"/>
      <w:lvlText w:val="(%1)"/>
      <w:numFmt w:val="lowerLetter"/>
      <w:start w:val="2"/>
    </w:lvl>
    <w:lvl w:ilvl="1">
      <w:lvlJc w:val="left"/>
      <w:lvlText w:val="%2."/>
      <w:numFmt w:val="decimal"/>
      <w:start w:val="8"/>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0">
    <w:nsid w:val="94211F2"/>
    <w:multiLevelType w:val="hybridMultilevel"/>
    <w:lvl w:ilvl="0">
      <w:lvlJc w:val="left"/>
      <w:lvlText w:val="%1"/>
      <w:numFmt w:val="decimal"/>
      <w:start w:val="1"/>
    </w:lvl>
    <w:lvl w:ilvl="1">
      <w:lvlJc w:val="left"/>
      <w:lvlText w:val="(%2)"/>
      <w:numFmt w:val="lowerLetter"/>
      <w:start w:val="3"/>
    </w:lvl>
  </w:abstractNum>
  <w:abstractNum w:abstractNumId="71">
    <w:nsid w:val="885E1B"/>
    <w:multiLevelType w:val="hybridMultilevel"/>
    <w:lvl w:ilvl="0">
      <w:lvlJc w:val="left"/>
      <w:lvlText w:val="%1."/>
      <w:numFmt w:val="decimal"/>
      <w:start w:val="13"/>
    </w:lvl>
    <w:lvl w:ilvl="1">
      <w:lvlJc w:val="left"/>
      <w:lvlText w:val="(%2)"/>
      <w:numFmt w:val="lowerLetter"/>
      <w:start w:val="1"/>
    </w:lvl>
  </w:abstractNum>
  <w:abstractNum w:abstractNumId="72">
    <w:nsid w:val="76272110"/>
    <w:multiLevelType w:val="hybridMultilevel"/>
    <w:lvl w:ilvl="0">
      <w:lvlJc w:val="left"/>
      <w:lvlText w:val="%1"/>
      <w:numFmt w:val="decimal"/>
      <w:start w:val="1"/>
    </w:lvl>
    <w:lvl w:ilvl="1">
      <w:lvlJc w:val="left"/>
      <w:lvlText w:val="(%2)"/>
      <w:numFmt w:val="lowerLetter"/>
      <w:start w:val="2"/>
    </w:lvl>
  </w:abstractNum>
  <w:abstractNum w:abstractNumId="73">
    <w:nsid w:val="4C04A8AF"/>
    <w:multiLevelType w:val="hybridMultilevel"/>
    <w:lvl w:ilvl="0">
      <w:lvlJc w:val="left"/>
      <w:lvlText w:val="%1."/>
      <w:numFmt w:val="decimal"/>
      <w:start w:val="15"/>
    </w:lvl>
    <w:lvl w:ilvl="1">
      <w:lvlJc w:val="left"/>
      <w:lvlText w:val="%2"/>
      <w:numFmt w:val="lowerLetter"/>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4"/>
    </w:lvl>
  </w:abstractNum>
  <w:abstractNum w:abstractNumId="76">
    <w:nsid w:val="3222E7CD"/>
    <w:multiLevelType w:val="hybridMultilevel"/>
    <w:lvl w:ilvl="0">
      <w:lvlJc w:val="left"/>
      <w:lvlText w:val="%1"/>
      <w:numFmt w:val="decimal"/>
      <w:start w:val="1"/>
    </w:lvl>
    <w:lvl w:ilvl="1">
      <w:lvlJc w:val="left"/>
      <w:lvlText w:val="(%2)"/>
      <w:numFmt w:val="lowerLetter"/>
      <w:start w:val="5"/>
    </w:lvl>
  </w:abstractNum>
  <w:abstractNum w:abstractNumId="77">
    <w:nsid w:val="74DE0EE3"/>
    <w:multiLevelType w:val="hybridMultilevel"/>
    <w:lvl w:ilvl="0">
      <w:lvlJc w:val="left"/>
      <w:lvlText w:val="%1."/>
      <w:numFmt w:val="decimal"/>
      <w:start w:val="16"/>
    </w:lvl>
    <w:lvl w:ilvl="1">
      <w:lvlJc w:val="left"/>
      <w:lvlText w:val="%2"/>
      <w:numFmt w:val="lowerLetter"/>
      <w:start w:val="1"/>
    </w:lvl>
  </w:abstractNum>
  <w:abstractNum w:abstractNumId="78">
    <w:nsid w:val="68EBC550"/>
    <w:multiLevelType w:val="hybridMultilevel"/>
    <w:lvl w:ilvl="0">
      <w:lvlJc w:val="left"/>
      <w:lvlText w:val="%1."/>
      <w:numFmt w:val="decimal"/>
      <w:start w:val="21"/>
    </w:lvl>
    <w:lvl w:ilvl="1">
      <w:lvlJc w:val="left"/>
      <w:lvlText w:val="(%2)"/>
      <w:numFmt w:val="lowerLetter"/>
      <w:start w:val="1"/>
    </w:lvl>
  </w:abstractNum>
  <w:abstractNum w:abstractNumId="79">
    <w:nsid w:val="2DF6D648"/>
    <w:multiLevelType w:val="hybridMultilevel"/>
    <w:lvl w:ilvl="0">
      <w:lvlJc w:val="left"/>
      <w:lvlText w:val="%1"/>
      <w:numFmt w:val="decimal"/>
      <w:start w:val="1"/>
    </w:lvl>
    <w:lvl w:ilvl="1">
      <w:lvlJc w:val="left"/>
      <w:lvlText w:val="(%2)"/>
      <w:numFmt w:val="lowerLetter"/>
      <w:start w:val="4"/>
    </w:lvl>
  </w:abstractNum>
  <w:abstractNum w:abstractNumId="80">
    <w:nsid w:val="46B7D447"/>
    <w:multiLevelType w:val="hybridMultilevel"/>
    <w:lvl w:ilvl="0">
      <w:lvlJc w:val="left"/>
      <w:lvlText w:val="%1."/>
      <w:numFmt w:val="decimal"/>
      <w:start w:val="24"/>
    </w:lvl>
    <w:lvl w:ilvl="1">
      <w:lvlJc w:val="left"/>
      <w:lvlText w:val="%2"/>
      <w:numFmt w:val="lowerLetter"/>
      <w:start w:val="1"/>
    </w:lvl>
  </w:abstractNum>
  <w:abstractNum w:abstractNumId="81">
    <w:nsid w:val="4A2AC315"/>
    <w:multiLevelType w:val="hybridMultilevel"/>
    <w:lvl w:ilvl="0">
      <w:lvlJc w:val="left"/>
      <w:lvlText w:val="%1."/>
      <w:numFmt w:val="decimal"/>
      <w:start w:val="26"/>
    </w:lvl>
  </w:abstractNum>
  <w:abstractNum w:abstractNumId="82">
    <w:nsid w:val="39EE015C"/>
    <w:multiLevelType w:val="hybridMultilevel"/>
    <w:lvl w:ilvl="0">
      <w:lvlJc w:val="left"/>
      <w:lvlText w:val="%1."/>
      <w:numFmt w:val="decimal"/>
      <w:start w:val="27"/>
    </w:lvl>
  </w:abstractNum>
  <w:abstractNum w:abstractNumId="83">
    <w:nsid w:val="57FC4FBB"/>
    <w:multiLevelType w:val="hybridMultilevel"/>
    <w:lvl w:ilvl="0">
      <w:lvlJc w:val="left"/>
      <w:lvlText w:val="%1."/>
      <w:numFmt w:val="upperLetter"/>
      <w:start w:val="9"/>
    </w:lvl>
    <w:lvl w:ilvl="1">
      <w:lvlJc w:val="left"/>
      <w:lvlText w:val="•"/>
      <w:numFmt w:val="bullet"/>
      <w:start w:val="1"/>
    </w:lvl>
  </w:abstractNum>
  <w:abstractNum w:abstractNumId="84">
    <w:nsid w:val="CC1016F"/>
    <w:multiLevelType w:val="hybridMultilevel"/>
    <w:lvl w:ilvl="0">
      <w:lvlJc w:val="left"/>
      <w:lvlText w:val="%1."/>
      <w:numFmt w:val="upperLetter"/>
      <w:start w:val="35"/>
    </w:lvl>
    <w:lvl w:ilvl="1">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1."/>
      <w:numFmt w:val="upperLetter"/>
      <w:start w:val="61"/>
    </w:lvl>
    <w:lvl w:ilvl="1">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1)"/>
      <w:numFmt w:val="decimal"/>
      <w:start w:val="2"/>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decimal"/>
      <w:start w:val="3"/>
    </w:lvl>
  </w:abstractNum>
  <w:abstractNum w:abstractNumId="96">
    <w:nsid w:val="7672BD23"/>
    <w:multiLevelType w:val="hybridMultilevel"/>
    <w:lvl w:ilvl="0">
      <w:lvlJc w:val="left"/>
      <w:lvlText w:val="%1."/>
      <w:numFmt w:val="upperLetter"/>
      <w:start w:val="22"/>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7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154" Type="http://schemas.openxmlformats.org/officeDocument/2006/relationships/hyperlink" Target="https://www.sec.gov/Archives/edgar/data/1816431/000110465921025083/tm217111d1_ex2-1.htm" TargetMode="External"/><Relationship Id="rId155" Type="http://schemas.openxmlformats.org/officeDocument/2006/relationships/hyperlink" Target="https://www.sec.gov/Archives/edgar/data/1816431/000162828024035626/qsiex31.htm" TargetMode="External"/><Relationship Id="rId156" Type="http://schemas.openxmlformats.org/officeDocument/2006/relationships/hyperlink" Target="https://www.sec.gov/Archives/edgar/data/1816431/000114036123025021/brhc20053005_ex3-1.htm" TargetMode="External"/><Relationship Id="rId159" Type="http://schemas.openxmlformats.org/officeDocument/2006/relationships/hyperlink" Target="https://www.sec.gov/Archives/edgar/data/1816431/000114036122007334/brhc10034564_ex3-2.htm" TargetMode="External"/><Relationship Id="rId160" Type="http://schemas.openxmlformats.org/officeDocument/2006/relationships/hyperlink" Target="https://www.sec.gov/Archives/edgar/data/1816431/000114036124010438/ef20015319_ex4-1.htm" TargetMode="External"/><Relationship Id="rId161" Type="http://schemas.openxmlformats.org/officeDocument/2006/relationships/hyperlink" Target="https://www.sec.gov/Archives/edgar/data/1816431/000110465921064151/tm217673d12_ex4-1.htm" TargetMode="External"/><Relationship Id="rId162" Type="http://schemas.openxmlformats.org/officeDocument/2006/relationships/hyperlink" Target="https://www.sec.gov/Archives/edgar/data/1816431/000110465920103448/tm2030387d1_ex4-1.htm" TargetMode="External"/><Relationship Id="rId163" Type="http://schemas.openxmlformats.org/officeDocument/2006/relationships/hyperlink" Target="https://www.sec.gov/Archives/edgar/data/1816431/000110465921025083/tm217111d1_ex10-1.htm" TargetMode="External"/><Relationship Id="rId164" Type="http://schemas.openxmlformats.org/officeDocument/2006/relationships/hyperlink" Target="https://www.sec.gov/Archives/edgar/data/1816431/000110465921025499/tm217238d1_ex10-2.htm" TargetMode="External"/><Relationship Id="rId165" Type="http://schemas.openxmlformats.org/officeDocument/2006/relationships/hyperlink" Target="https://www.sec.gov/Archives/edgar/data/1816431/000110465921025499/tm217238d1_ex10-3.htm" TargetMode="External"/><Relationship Id="rId166" Type="http://schemas.openxmlformats.org/officeDocument/2006/relationships/hyperlink" Target="https://www.sec.gov/Archives/edgar/data/1816431/000110465921026323/tm217569d1_ex10-1.htm" TargetMode="External"/><Relationship Id="rId167" Type="http://schemas.openxmlformats.org/officeDocument/2006/relationships/hyperlink" Target="https://www.sec.gov/Archives/edgar/data/1816431/000110465921025083/tm217111d1_ex10-4.htm" TargetMode="External"/><Relationship Id="rId168" Type="http://schemas.openxmlformats.org/officeDocument/2006/relationships/hyperlink" Target="https://www.sec.gov/Archives/edgar/data/1816431/000114036123012126/brhc10049653_ex10-6.htm" TargetMode="External"/><Relationship Id="rId169" Type="http://schemas.openxmlformats.org/officeDocument/2006/relationships/hyperlink" Target="https://www.sec.gov/Archives/edgar/data/1816431/000114036122035951/brhc10042621_ex10-1.htm" TargetMode="External"/><Relationship Id="rId170" Type="http://schemas.openxmlformats.org/officeDocument/2006/relationships/hyperlink" Target="https://www.sec.gov/Archives/edgar/data/1816431/000114036123022308/brhc20052203_ex10-1.htm" TargetMode="External"/><Relationship Id="rId171" Type="http://schemas.openxmlformats.org/officeDocument/2006/relationships/hyperlink" Target="https://www.sec.gov/Archives/edgar/data/1816431/000114036122007334/brhc10034564_ex10-12.htm" TargetMode="External"/><Relationship Id="rId172" Type="http://schemas.openxmlformats.org/officeDocument/2006/relationships/hyperlink" Target="https://www.sec.gov/Archives/edgar/data/1816431/000114036123012126/brhc10049653_ex10-14.htm" TargetMode="External"/><Relationship Id="rId173" Type="http://schemas.openxmlformats.org/officeDocument/2006/relationships/hyperlink" Target="https://www.sec.gov/Archives/edgar/data/1816431/000110465921081560/tm2118908d1_ex10-13d1.htm" TargetMode="External"/><Relationship Id="rId174" Type="http://schemas.openxmlformats.org/officeDocument/2006/relationships/hyperlink" Target="https://www.sec.gov/Archives/edgar/data/1816431/000110465921081560/tm2118908d1_ex10-13d2.htm" TargetMode="External"/><Relationship Id="rId176" Type="http://schemas.openxmlformats.org/officeDocument/2006/relationships/hyperlink" Target="https://www.sec.gov/Archives/edgar/data/1816431/000114036124010438/ef20015319_ex10-13-3.htm" TargetMode="External"/><Relationship Id="rId177" Type="http://schemas.openxmlformats.org/officeDocument/2006/relationships/hyperlink" Target="https://www.sec.gov/Archives/edgar/data/1816431/000110465921081560/tm2118908d1_ex10-14d1.htm" TargetMode="External"/><Relationship Id="rId178" Type="http://schemas.openxmlformats.org/officeDocument/2006/relationships/hyperlink" Target="https://www.sec.gov/Archives/edgar/data/1816431/000110465921081560/tm2118908d1_ex10-14d2.htm" TargetMode="External"/><Relationship Id="rId179" Type="http://schemas.openxmlformats.org/officeDocument/2006/relationships/hyperlink" Target="https://www.sec.gov/Archives/edgar/data/1816431/000110465921081560/tm2118908d1_ex10-14d3.htm" TargetMode="External"/><Relationship Id="rId180" Type="http://schemas.openxmlformats.org/officeDocument/2006/relationships/hyperlink" Target="https://www.sec.gov/Archives/edgar/data/1816431/000114036122040956/brhc10043872_ex99-1.htm" TargetMode="External"/><Relationship Id="rId181" Type="http://schemas.openxmlformats.org/officeDocument/2006/relationships/hyperlink" Target="https://www.sec.gov/Archives/edgar/data/1816431/000114036124010438/ef20015319_ex10-16.htm" TargetMode="External"/><Relationship Id="rId182" Type="http://schemas.openxmlformats.org/officeDocument/2006/relationships/hyperlink" Target="https://www.sec.gov/Archives/edgar/data/1816431/000110465921081560/tm2118908d1_ex10-16.htm" TargetMode="External"/><Relationship Id="rId183" Type="http://schemas.openxmlformats.org/officeDocument/2006/relationships/hyperlink" Target="https://www.sec.gov/Archives/edgar/data/1816431/000110465921081560/tm2118908d1_ex10-17.htm" TargetMode="External"/><Relationship Id="rId184" Type="http://schemas.openxmlformats.org/officeDocument/2006/relationships/hyperlink" Target="https://www.sec.gov/Archives/edgar/data/1816431/000110465921085103/tm2120588d1_ex10-1.htm" TargetMode="External"/><Relationship Id="rId185" Type="http://schemas.openxmlformats.org/officeDocument/2006/relationships/hyperlink" Target="https://www.sec.gov/Archives/edgar/data/1816431/000114036122000359/brhc10032381_ex10-1.htm" TargetMode="External"/><Relationship Id="rId186" Type="http://schemas.openxmlformats.org/officeDocument/2006/relationships/hyperlink" Target="https://www.sec.gov/Archives/edgar/data/1816431/000181643124000020/ex103quantum-siamended2023.htm" TargetMode="External"/><Relationship Id="rId187" Type="http://schemas.openxmlformats.org/officeDocument/2006/relationships/hyperlink" Target="https://www.sec.gov/Archives/edgar/data/1816431/000181643124000020/ex1031formofrsuagreement20.htm" TargetMode="External"/><Relationship Id="rId188" Type="http://schemas.openxmlformats.org/officeDocument/2006/relationships/hyperlink" Target="https://www.sec.gov/Archives/edgar/data/1816431/000114036123035435/brhc20056143_ex99-2.htm" TargetMode="External"/><Relationship Id="rId189" Type="http://schemas.openxmlformats.org/officeDocument/2006/relationships/hyperlink" Target="https://www.sec.gov/Archives/edgar/data/1816431/000181643124000020/ex101jvieceliemploymentlet.htm" TargetMode="External"/><Relationship Id="rId190" Type="http://schemas.openxmlformats.org/officeDocument/2006/relationships/hyperlink" Target="https://www.sec.gov/Archives/edgar/data/1816431/000181643124000020/ex102tbennettofferletterda.htm" TargetMode="External"/><Relationship Id="rId191" Type="http://schemas.openxmlformats.org/officeDocument/2006/relationships/hyperlink" Target="https://www.sec.gov/Archives/edgar/data/1816431/000114036124048977/ny20039409x4_ex10-1.htm" TargetMode="External"/><Relationship Id="rId192" Type="http://schemas.openxmlformats.org/officeDocument/2006/relationships/hyperlink" Target="https://www.sec.gov/Archives/edgar/data/1816431/000114036125000295/ny20041128x2_ex10-1.htm" TargetMode="External"/><Relationship Id="rId193" Type="http://schemas.openxmlformats.org/officeDocument/2006/relationships/hyperlink" Target="https://www.sec.gov/Archives/edgar/data/1816431/000114036125000295/ny20041128x2_ex10-2.htm" TargetMode="External"/><Relationship Id="rId194" Type="http://schemas.openxmlformats.org/officeDocument/2006/relationships/hyperlink" Target="https://www.sec.gov/Archives/edgar/data/1816431/000114036124029281/ef20030855_ex16-1.htm" TargetMode="External"/><Relationship Id="rId195" Type="http://schemas.openxmlformats.org/officeDocument/2006/relationships/hyperlink" Target="https://www.sec.gov/Archives/edgar/data/1816431/000114036123012126/brhc10049653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2025-03-03T16:24:09Z</dcterms:created>
  <dcterms:modified xsi:type="dcterms:W3CDTF">2025-03-03T16:24:09Z</dcterms:modified>
</cp:coreProperties>
</file>