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-224155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60" w:right="1760" w:hanging="3652"/>
        <w:spacing w:after="0" w:line="493"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40"/>
        <w:spacing w:after="0"/>
        <w:tabs>
          <w:tab w:leader="none" w:pos="6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4104640</wp:posOffset>
            </wp:positionH>
            <wp:positionV relativeFrom="paragraph">
              <wp:posOffset>-7620</wp:posOffset>
            </wp:positionV>
            <wp:extent cx="314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001-39486</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141605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85-1388175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6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530 Old Whitfield Street</w:t>
            </w:r>
          </w:p>
        </w:tc>
        <w:tc>
          <w:tcPr>
            <w:tcW w:w="3660" w:type="dxa"/>
            <w:vAlign w:val="bottom"/>
          </w:tcPr>
          <w:p>
            <w:pPr>
              <w:spacing w:after="0"/>
              <w:rPr>
                <w:sz w:val="24"/>
                <w:szCs w:val="24"/>
                <w:color w:val="auto"/>
              </w:rPr>
            </w:pPr>
          </w:p>
        </w:tc>
      </w:tr>
      <w:tr>
        <w:trPr>
          <w:trHeight w:val="220"/>
        </w:trPr>
        <w:tc>
          <w:tcPr>
            <w:tcW w:w="5460" w:type="dxa"/>
            <w:vAlign w:val="bottom"/>
          </w:tcPr>
          <w:p>
            <w:pPr>
              <w:jc w:val="center"/>
              <w:ind w:right="1030"/>
              <w:spacing w:after="0"/>
              <w:rPr>
                <w:sz w:val="20"/>
                <w:szCs w:val="20"/>
                <w:color w:val="auto"/>
              </w:rPr>
            </w:pPr>
            <w:r>
              <w:rPr>
                <w:rFonts w:ascii="Arial" w:cs="Arial" w:eastAsia="Arial" w:hAnsi="Arial"/>
                <w:sz w:val="18"/>
                <w:szCs w:val="18"/>
                <w:b w:val="1"/>
                <w:bCs w:val="1"/>
                <w:color w:val="auto"/>
                <w:w w:val="92"/>
              </w:rPr>
              <w:t>Guilford, Connecticut</w:t>
            </w:r>
          </w:p>
        </w:tc>
        <w:tc>
          <w:tcPr>
            <w:tcW w:w="366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06437</w:t>
            </w:r>
          </w:p>
        </w:tc>
      </w:tr>
      <w:tr>
        <w:trPr>
          <w:trHeight w:val="230"/>
        </w:trPr>
        <w:tc>
          <w:tcPr>
            <w:tcW w:w="546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1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458-7100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18"/>
        </w:trPr>
        <w:tc>
          <w:tcPr>
            <w:tcW w:w="4740" w:type="dxa"/>
            <w:vAlign w:val="bottom"/>
          </w:tcPr>
          <w:p>
            <w:pPr>
              <w:jc w:val="center"/>
              <w:spacing w:after="0"/>
              <w:rPr>
                <w:sz w:val="20"/>
                <w:szCs w:val="20"/>
                <w:color w:val="auto"/>
              </w:rPr>
            </w:pPr>
            <w:r>
              <w:rPr>
                <w:rFonts w:ascii="Arial" w:cs="Arial" w:eastAsia="Arial" w:hAnsi="Arial"/>
                <w:sz w:val="18"/>
                <w:szCs w:val="18"/>
                <w:color w:val="auto"/>
                <w:w w:val="89"/>
              </w:rPr>
              <w:t>Class A common stock, $0.0001 per share</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QSI</w:t>
            </w:r>
          </w:p>
        </w:tc>
        <w:tc>
          <w:tcPr>
            <w:tcW w:w="1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6"/>
              </w:rPr>
              <w:t>QSIAW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740" w:type="dxa"/>
            <w:vAlign w:val="bottom"/>
          </w:tcPr>
          <w:p>
            <w:pPr>
              <w:jc w:val="center"/>
              <w:spacing w:after="0"/>
              <w:rPr>
                <w:sz w:val="20"/>
                <w:szCs w:val="20"/>
                <w:color w:val="auto"/>
              </w:rPr>
            </w:pPr>
            <w:r>
              <w:rPr>
                <w:rFonts w:ascii="Arial" w:cs="Arial" w:eastAsia="Arial" w:hAnsi="Arial"/>
                <w:sz w:val="18"/>
                <w:szCs w:val="18"/>
                <w:color w:val="auto"/>
                <w:w w:val="89"/>
              </w:rPr>
              <w:t>share of Class A common stock, each at an exercise price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0"/>
        </w:trPr>
        <w:tc>
          <w:tcPr>
            <w:tcW w:w="4740" w:type="dxa"/>
            <w:vAlign w:val="bottom"/>
          </w:tcPr>
          <w:p>
            <w:pPr>
              <w:jc w:val="center"/>
              <w:spacing w:after="0"/>
              <w:rPr>
                <w:sz w:val="20"/>
                <w:szCs w:val="20"/>
                <w:color w:val="auto"/>
              </w:rPr>
            </w:pPr>
            <w:r>
              <w:rPr>
                <w:rFonts w:ascii="Arial" w:cs="Arial" w:eastAsia="Arial" w:hAnsi="Arial"/>
                <w:sz w:val="18"/>
                <w:szCs w:val="18"/>
                <w:color w:val="auto"/>
                <w:w w:val="86"/>
              </w:rPr>
              <w:t>$11.50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6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November 9, 2021, the registrant had 117,478,783 shares of Class A common stock outstanding and 19,937,500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523"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3"/>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926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2021 and December 31, 2020 (Unaudited)</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9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and Comprehensive Loss for the three and nine months ended September</w:t>
              </w:r>
            </w:hyperlink>
          </w:p>
        </w:tc>
        <w:tc>
          <w:tcPr>
            <w:tcW w:w="3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60" w:type="dxa"/>
            <w:vAlign w:val="bottom"/>
            <w:gridSpan w:val="20"/>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30, 2021 and 2020 (Unaudited)</w:t>
              </w:r>
            </w:hyperlink>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60" w:type="dxa"/>
            <w:vAlign w:val="bottom"/>
            <w:gridSpan w:val="20"/>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Changes in Convertible Preferred Stock and Stockholders’ Equity (Deficit) for the</w:t>
              </w:r>
            </w:hyperlink>
          </w:p>
        </w:tc>
        <w:tc>
          <w:tcPr>
            <w:tcW w:w="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78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and nine months ended September 30, 2021 and 2020 (Unaudited)</w:t>
              </w:r>
            </w:hyperlink>
          </w:p>
        </w:tc>
        <w:tc>
          <w:tcPr>
            <w:tcW w:w="4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60" w:type="dxa"/>
            <w:vAlign w:val="bottom"/>
            <w:gridSpan w:val="20"/>
            <w:shd w:val="clear" w:color="auto" w:fill="CCEEFF"/>
          </w:tcPr>
          <w:p>
            <w:pPr>
              <w:spacing w:after="0" w:line="17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Statements of Cash Flows for the nine months ended September 30, 2021 and 2020 (Unaudited)</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926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26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00" w:type="dxa"/>
            <w:vAlign w:val="bottom"/>
            <w:gridSpan w:val="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this Quarterly Report on Form 10-Q, the terms “we,” “us,” “our,” the “Company” and “Quantum-Si” mean Quantum-Si Incorporated (formerly HighCape Capital Acquisition Corp.) and our subsidiaries. On June 10, 2021 (the “Closing Date”), HighCape Capital Acquisition Corp., a Delaware corporation (“HighCape” and after the Business Combination described herein, the “Company”), consummated a business combination (the “Business Combination”) pursuant to the terms of the Business Combination Agreement, dated as of February 18, 2021 (the “Business Combination Agreement”), by and among HighCape,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(the “Merger”). In connection with the Transactions, HighCape changed its name to “Quantum-Si Incorporated” and Legacy Quantum-Si changed its name to “Q-SI Operations Inc.”</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Quarterly Report on Form 10-Q include, but are not limited to, statements about:</w:t>
      </w:r>
    </w:p>
    <w:p>
      <w:pPr>
        <w:spacing w:after="0" w:line="172" w:lineRule="exact"/>
        <w:rPr>
          <w:sz w:val="20"/>
          <w:szCs w:val="20"/>
          <w:color w:val="auto"/>
        </w:rPr>
      </w:pPr>
    </w:p>
    <w:p>
      <w:pPr>
        <w:ind w:left="820" w:hanging="205"/>
        <w:spacing w:after="0" w:line="25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and our ability to grow and manage growth profitably and retain our key employees;</w:t>
      </w:r>
    </w:p>
    <w:p>
      <w:pPr>
        <w:spacing w:after="0" w:line="1"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Stock Market LLC (“Nasdaq”);</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any product we may offer in the future;</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products once commercialized;</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for our products, and any related restrictions and limitations of any approved product;</w:t>
      </w:r>
    </w:p>
    <w:p>
      <w:pPr>
        <w:spacing w:after="0" w:line="20" w:lineRule="exact"/>
        <w:rPr>
          <w:rFonts w:ascii="Arial" w:cs="Arial" w:eastAsia="Arial" w:hAnsi="Arial"/>
          <w:sz w:val="17"/>
          <w:szCs w:val="17"/>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license agreements and manufacturing arrangements;</w:t>
      </w:r>
    </w:p>
    <w:p>
      <w:pPr>
        <w:spacing w:after="0" w:line="9" w:lineRule="exact"/>
        <w:rPr>
          <w:rFonts w:ascii="Arial" w:cs="Arial" w:eastAsia="Arial" w:hAnsi="Arial"/>
          <w:sz w:val="18"/>
          <w:szCs w:val="18"/>
          <w:color w:val="auto"/>
        </w:rPr>
      </w:pPr>
    </w:p>
    <w:p>
      <w:pPr>
        <w:ind w:left="820" w:hanging="205"/>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820" w:hanging="205"/>
        <w:spacing w:after="0" w:line="250"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the ability of each product to serve those markets once commercialized, either alone or in partnership with others;</w:t>
      </w: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9" w:lineRule="exact"/>
        <w:rPr>
          <w:rFonts w:ascii="Arial" w:cs="Arial" w:eastAsia="Arial" w:hAnsi="Arial"/>
          <w:sz w:val="18"/>
          <w:szCs w:val="18"/>
          <w:color w:val="auto"/>
        </w:rPr>
      </w:pPr>
    </w:p>
    <w:p>
      <w:pPr>
        <w:ind w:left="820" w:hanging="20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II of our Quarterly Report on Form 10-Q for the quarterly period ended June 30, 2021 and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9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438,102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505,202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37,858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 related party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509,526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40,592</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4,503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Convertible preferred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Convertible preferred stock (Series A, B, C, D, and E) $0.0001 par value with an aggregate liquidation preference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of $0 and $216 as of September 30, 2021 and December 31, 2020, respectively; 0 and 92,078,549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authorized as of September 30, 2021 and December 31, 2020, respectively; 0 and 90,789,268 shares issued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 as of September 30, 2021 and December 31, 2020,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195,814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Class A Common stock, $0.0001 par value; 600,000,000 and 90,000,000 shares authorized as of September 30,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2021 and December 31, 2020, respectively; 116,717,990 and 5,378,287 shares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September 30, 2021 and December 31, 2020,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Class B Common stock, $0.0001 par value; 27,000,000 and 0 shares authorized as of September 30, 2021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w w:val="91"/>
              </w:rPr>
              <w:t>December 31, 2020, respectively; 19,937,500 and 0 shares issued and outstanding as of September 30, 2021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731,711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12,517</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(237,810)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(172,243)</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 (deficit)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493,915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509,526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40,592</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34,211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25,175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8,552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69,118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27,156</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(27,156)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(18,091)</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(8,557)</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(65,567)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(27,068)</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(18,091)</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(8,557)</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(65,567)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(27,068)</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98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w w:val="96"/>
              </w:rPr>
              <w:t>Net loss per common share attributable to common stockholders, basic and</w:t>
            </w:r>
          </w:p>
        </w:tc>
        <w:tc>
          <w:tcPr>
            <w:tcW w:w="16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w w:val="96"/>
              </w:rPr>
              <w:t>Weighted-average shares used to compute net loss per share attibutable to</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common stockholders, basic and diluted</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136,456,848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5,360,497</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60,104,891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5,350,771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CONVERTIBLE PREFERRED STOCK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2620" w:type="dxa"/>
            <w:vAlign w:val="bottom"/>
          </w:tcPr>
          <w:p>
            <w:pPr>
              <w:spacing w:after="0"/>
              <w:rPr>
                <w:sz w:val="24"/>
                <w:szCs w:val="24"/>
                <w:color w:val="auto"/>
              </w:rPr>
            </w:pPr>
          </w:p>
        </w:tc>
        <w:tc>
          <w:tcPr>
            <w:tcW w:w="1820" w:type="dxa"/>
            <w:vAlign w:val="bottom"/>
            <w:tcBorders>
              <w:right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1"/>
              </w:rPr>
              <w:t>Convertible preferred</w:t>
            </w:r>
          </w:p>
        </w:tc>
        <w:tc>
          <w:tcPr>
            <w:tcW w:w="80" w:type="dxa"/>
            <w:vAlign w:val="bottom"/>
          </w:tcPr>
          <w:p>
            <w:pPr>
              <w:spacing w:after="0"/>
              <w:rPr>
                <w:sz w:val="24"/>
                <w:szCs w:val="24"/>
                <w:color w:val="auto"/>
              </w:rPr>
            </w:pPr>
          </w:p>
        </w:tc>
        <w:tc>
          <w:tcPr>
            <w:tcW w:w="148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Class A</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right"/>
              <w:ind w:right="244"/>
              <w:spacing w:after="0"/>
              <w:rPr>
                <w:sz w:val="20"/>
                <w:szCs w:val="20"/>
                <w:color w:val="auto"/>
              </w:rPr>
            </w:pPr>
            <w:r>
              <w:rPr>
                <w:rFonts w:ascii="Arial" w:cs="Arial" w:eastAsia="Arial" w:hAnsi="Arial"/>
                <w:sz w:val="18"/>
                <w:szCs w:val="18"/>
                <w:b w:val="1"/>
                <w:bCs w:val="1"/>
                <w:color w:val="auto"/>
              </w:rPr>
              <w:t>Class B</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820" w:type="dxa"/>
            <w:vAlign w:val="bottom"/>
            <w:tcBorders>
              <w:right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61"/>
        </w:trPr>
        <w:tc>
          <w:tcPr>
            <w:tcW w:w="26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paid-in</w:t>
            </w:r>
          </w:p>
        </w:tc>
        <w:tc>
          <w:tcPr>
            <w:tcW w:w="126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5"/>
                <w:szCs w:val="5"/>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130"/>
        </w:trPr>
        <w:tc>
          <w:tcPr>
            <w:tcW w:w="2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010101"/>
              </w:rPr>
              <w:t>Shares</w:t>
            </w: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010101"/>
              </w:rPr>
              <w:t>Amount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010101"/>
                <w:w w:val="89"/>
              </w:rPr>
              <w:t>Shares</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010101"/>
                <w:w w:val="97"/>
              </w:rPr>
              <w:t>Amount</w:t>
            </w:r>
          </w:p>
        </w:tc>
        <w:tc>
          <w:tcPr>
            <w:tcW w:w="1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Balance - December 31,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3"/>
              </w:rPr>
              <w:t>84,201,570</w:t>
            </w: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$ 160,555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7"/>
              </w:rPr>
              <w:t>5,263,403</w:t>
            </w:r>
          </w:p>
        </w:tc>
        <w:tc>
          <w:tcPr>
            <w:tcW w:w="1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(135,630)</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010101"/>
              </w:rPr>
              <w:t>Net loss</w:t>
            </w:r>
          </w:p>
        </w:tc>
        <w:tc>
          <w:tcPr>
            <w:tcW w:w="86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5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010101"/>
              </w:rPr>
              <w:t>(10,314)</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010101"/>
              </w:rPr>
              <w:t>(10,314)</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 convertible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6"/>
              </w:rPr>
              <w:t>preferred stock, net of issuance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costs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1,923,519</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10,288</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010101"/>
              </w:rPr>
              <w:t>87,796</w:t>
            </w:r>
          </w:p>
        </w:tc>
        <w:tc>
          <w:tcPr>
            <w:tcW w:w="5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010101"/>
              </w:rPr>
              <w:t>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18</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w w:val="89"/>
              </w:rPr>
              <w:t>Stock-based 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642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642</w:t>
            </w:r>
          </w:p>
        </w:tc>
        <w:tc>
          <w:tcPr>
            <w:tcW w:w="0" w:type="dxa"/>
            <w:vAlign w:val="bottom"/>
          </w:tcPr>
          <w:p>
            <w:pPr>
              <w:spacing w:after="0"/>
              <w:rPr>
                <w:sz w:val="1"/>
                <w:szCs w:val="1"/>
                <w:color w:val="auto"/>
              </w:rPr>
            </w:pPr>
          </w:p>
        </w:tc>
      </w:tr>
      <w:tr>
        <w:trPr>
          <w:trHeight w:val="27"/>
        </w:trPr>
        <w:tc>
          <w:tcPr>
            <w:tcW w:w="26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010101"/>
              </w:rPr>
              <w:t>Balance - March 31, 2020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010101"/>
                <w:w w:val="93"/>
              </w:rPr>
              <w:t>86,125,089</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010101"/>
                <w:w w:val="89"/>
              </w:rPr>
              <w:t>$ 170,843</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w w:val="97"/>
              </w:rPr>
              <w:t>5,351,199</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600" w:type="dxa"/>
            <w:vAlign w:val="bottom"/>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r>
              <w:rPr>
                <w:rFonts w:ascii="Arial" w:cs="Arial" w:eastAsia="Arial" w:hAnsi="Arial"/>
                <w:sz w:val="18"/>
                <w:szCs w:val="18"/>
                <w:b w:val="1"/>
                <w:bCs w:val="1"/>
                <w:color w:val="010101"/>
                <w:w w:val="9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010101"/>
              </w:rPr>
              <w:t>11,190</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01010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010101"/>
              </w:rPr>
              <w:t>(145,944)</w:t>
            </w:r>
          </w:p>
        </w:tc>
        <w:tc>
          <w:tcPr>
            <w:tcW w:w="140" w:type="dxa"/>
            <w:vAlign w:val="bottom"/>
          </w:tcPr>
          <w:p>
            <w:pPr>
              <w:spacing w:after="0"/>
              <w:rPr>
                <w:sz w:val="20"/>
                <w:szCs w:val="20"/>
                <w:color w:val="auto"/>
              </w:rPr>
            </w:pPr>
            <w:r>
              <w:rPr>
                <w:rFonts w:ascii="Arial" w:cs="Arial" w:eastAsia="Arial" w:hAnsi="Arial"/>
                <w:sz w:val="18"/>
                <w:szCs w:val="18"/>
                <w:b w:val="1"/>
                <w:bCs w:val="1"/>
                <w:color w:val="01010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10101"/>
              </w:rPr>
              <w:t>(134,753)</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(8,197)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(8,197)</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010101"/>
              </w:rPr>
              <w:t>Issuance of Series E convertible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010101"/>
                <w:w w:val="96"/>
              </w:rPr>
              <w:t>preferred stock, net of issuance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010101"/>
              </w:rPr>
              <w:t>costs</w:t>
            </w:r>
          </w:p>
        </w:tc>
        <w:tc>
          <w:tcPr>
            <w:tcW w:w="86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010101"/>
              </w:rPr>
              <w:t>(12)</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5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w w:val="89"/>
              </w:rPr>
              <w:t>Stock-based 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466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466</w:t>
            </w:r>
          </w:p>
        </w:tc>
        <w:tc>
          <w:tcPr>
            <w:tcW w:w="0" w:type="dxa"/>
            <w:vAlign w:val="bottom"/>
          </w:tcPr>
          <w:p>
            <w:pPr>
              <w:spacing w:after="0"/>
              <w:rPr>
                <w:sz w:val="1"/>
                <w:szCs w:val="1"/>
                <w:color w:val="auto"/>
              </w:rPr>
            </w:pPr>
          </w:p>
        </w:tc>
      </w:tr>
      <w:tr>
        <w:trPr>
          <w:trHeight w:val="27"/>
        </w:trPr>
        <w:tc>
          <w:tcPr>
            <w:tcW w:w="26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010101"/>
              </w:rPr>
              <w:t>Balance - June 30, 2020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010101"/>
                <w:w w:val="93"/>
              </w:rPr>
              <w:t>86,125,089</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010101"/>
                <w:w w:val="89"/>
              </w:rPr>
              <w:t>$ 170,831</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w w:val="97"/>
              </w:rPr>
              <w:t>5,351,199</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600" w:type="dxa"/>
            <w:vAlign w:val="bottom"/>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r>
              <w:rPr>
                <w:rFonts w:ascii="Arial" w:cs="Arial" w:eastAsia="Arial" w:hAnsi="Arial"/>
                <w:sz w:val="18"/>
                <w:szCs w:val="18"/>
                <w:b w:val="1"/>
                <w:bCs w:val="1"/>
                <w:color w:val="010101"/>
                <w:w w:val="9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010101"/>
              </w:rPr>
              <w:t>11,656</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01010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010101"/>
              </w:rPr>
              <w:t>(154,141)</w:t>
            </w:r>
          </w:p>
        </w:tc>
        <w:tc>
          <w:tcPr>
            <w:tcW w:w="140" w:type="dxa"/>
            <w:vAlign w:val="bottom"/>
          </w:tcPr>
          <w:p>
            <w:pPr>
              <w:spacing w:after="0"/>
              <w:rPr>
                <w:sz w:val="20"/>
                <w:szCs w:val="20"/>
                <w:color w:val="auto"/>
              </w:rPr>
            </w:pPr>
            <w:r>
              <w:rPr>
                <w:rFonts w:ascii="Arial" w:cs="Arial" w:eastAsia="Arial" w:hAnsi="Arial"/>
                <w:sz w:val="18"/>
                <w:szCs w:val="18"/>
                <w:b w:val="1"/>
                <w:bCs w:val="1"/>
                <w:color w:val="01010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10101"/>
              </w:rPr>
              <w:t>(142,484)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(8,557)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(8,557)</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010101"/>
              </w:rPr>
              <w:t>-</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010101"/>
              </w:rPr>
              <w:t>15,628</w:t>
            </w:r>
          </w:p>
        </w:tc>
        <w:tc>
          <w:tcPr>
            <w:tcW w:w="5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010101"/>
              </w:rPr>
              <w:t>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24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w w:val="89"/>
              </w:rPr>
              <w:t>Stock-based compensation expense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493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493</w:t>
            </w:r>
          </w:p>
        </w:tc>
        <w:tc>
          <w:tcPr>
            <w:tcW w:w="0" w:type="dxa"/>
            <w:vAlign w:val="bottom"/>
          </w:tcPr>
          <w:p>
            <w:pPr>
              <w:spacing w:after="0"/>
              <w:rPr>
                <w:sz w:val="1"/>
                <w:szCs w:val="1"/>
                <w:color w:val="auto"/>
              </w:rPr>
            </w:pPr>
          </w:p>
        </w:tc>
      </w:tr>
      <w:tr>
        <w:trPr>
          <w:trHeight w:val="27"/>
        </w:trPr>
        <w:tc>
          <w:tcPr>
            <w:tcW w:w="26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010101"/>
              </w:rPr>
              <w:t>Balance - September 30, 2020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010101"/>
                <w:w w:val="93"/>
              </w:rPr>
              <w:t>86,125,089</w:t>
            </w:r>
          </w:p>
        </w:tc>
        <w:tc>
          <w:tcPr>
            <w:tcW w:w="12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010101"/>
                <w:w w:val="89"/>
              </w:rPr>
              <w:t>$ 170,831</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w w:val="97"/>
              </w:rPr>
              <w:t>5,366,827</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600" w:type="dxa"/>
            <w:vAlign w:val="bottom"/>
          </w:tcPr>
          <w:p>
            <w:pPr>
              <w:jc w:val="right"/>
              <w:ind w:right="444"/>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r>
              <w:rPr>
                <w:rFonts w:ascii="Arial" w:cs="Arial" w:eastAsia="Arial" w:hAnsi="Arial"/>
                <w:sz w:val="18"/>
                <w:szCs w:val="18"/>
                <w:b w:val="1"/>
                <w:bCs w:val="1"/>
                <w:color w:val="010101"/>
                <w:w w:val="9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010101"/>
              </w:rPr>
              <w:t>12,173</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(162,698)</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(150,524)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CONVERTIBLE PREFERRED STOCK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620" w:type="dxa"/>
            <w:vAlign w:val="bottom"/>
          </w:tcPr>
          <w:p>
            <w:pPr>
              <w:spacing w:after="0"/>
              <w:rPr>
                <w:sz w:val="24"/>
                <w:szCs w:val="24"/>
                <w:color w:val="auto"/>
              </w:rPr>
            </w:pPr>
          </w:p>
        </w:tc>
        <w:tc>
          <w:tcPr>
            <w:tcW w:w="1940" w:type="dxa"/>
            <w:vAlign w:val="bottom"/>
            <w:tcBorders>
              <w:right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w w:val="93"/>
              </w:rPr>
              <w:t>Convertible preferred</w:t>
            </w:r>
          </w:p>
        </w:tc>
        <w:tc>
          <w:tcPr>
            <w:tcW w:w="1460" w:type="dxa"/>
            <w:vAlign w:val="bottom"/>
            <w:gridSpan w:val="2"/>
          </w:tcPr>
          <w:p>
            <w:pPr>
              <w:jc w:val="right"/>
              <w:ind w:right="244"/>
              <w:spacing w:after="0"/>
              <w:rPr>
                <w:sz w:val="20"/>
                <w:szCs w:val="20"/>
                <w:color w:val="auto"/>
              </w:rPr>
            </w:pPr>
            <w:r>
              <w:rPr>
                <w:rFonts w:ascii="Arial" w:cs="Arial" w:eastAsia="Arial" w:hAnsi="Arial"/>
                <w:sz w:val="18"/>
                <w:szCs w:val="18"/>
                <w:b w:val="1"/>
                <w:bCs w:val="1"/>
                <w:color w:val="auto"/>
              </w:rPr>
              <w:t>Class 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7"/>
              </w:rPr>
              <w:t>Class 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6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6"/>
              </w:rPr>
              <w:t>common stock</w:t>
            </w:r>
          </w:p>
        </w:tc>
        <w:tc>
          <w:tcPr>
            <w:tcW w:w="28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61"/>
        </w:trPr>
        <w:tc>
          <w:tcPr>
            <w:tcW w:w="262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4"/>
              </w:rPr>
              <w:t>paid-in</w:t>
            </w:r>
          </w:p>
        </w:tc>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Accumulated</w:t>
            </w:r>
          </w:p>
        </w:tc>
        <w:tc>
          <w:tcPr>
            <w:tcW w:w="16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130"/>
        </w:trPr>
        <w:tc>
          <w:tcPr>
            <w:tcW w:w="2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90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9"/>
              </w:rPr>
              <w:t>Amount</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010101"/>
              </w:rPr>
              <w:t>Shares</w:t>
            </w:r>
          </w:p>
        </w:tc>
        <w:tc>
          <w:tcPr>
            <w:tcW w:w="740" w:type="dxa"/>
            <w:vAlign w:val="bottom"/>
            <w:gridSpan w:val="3"/>
          </w:tcPr>
          <w:p>
            <w:pPr>
              <w:spacing w:after="0"/>
              <w:rPr>
                <w:sz w:val="20"/>
                <w:szCs w:val="20"/>
                <w:color w:val="auto"/>
              </w:rPr>
            </w:pPr>
            <w:r>
              <w:rPr>
                <w:rFonts w:ascii="Arial" w:cs="Arial" w:eastAsia="Arial" w:hAnsi="Arial"/>
                <w:sz w:val="18"/>
                <w:szCs w:val="18"/>
                <w:b w:val="1"/>
                <w:bCs w:val="1"/>
                <w:color w:val="010101"/>
              </w:rPr>
              <w:t>Amount</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010101"/>
              </w:rPr>
              <w:t>Shares</w:t>
            </w:r>
          </w:p>
        </w:tc>
        <w:tc>
          <w:tcPr>
            <w:tcW w:w="760" w:type="dxa"/>
            <w:vAlign w:val="bottom"/>
            <w:gridSpan w:val="2"/>
          </w:tcPr>
          <w:p>
            <w:pPr>
              <w:spacing w:after="0"/>
              <w:rPr>
                <w:sz w:val="20"/>
                <w:szCs w:val="20"/>
                <w:color w:val="auto"/>
              </w:rPr>
            </w:pPr>
            <w:r>
              <w:rPr>
                <w:rFonts w:ascii="Arial" w:cs="Arial" w:eastAsia="Arial" w:hAnsi="Arial"/>
                <w:sz w:val="18"/>
                <w:szCs w:val="18"/>
                <w:b w:val="1"/>
                <w:bCs w:val="1"/>
                <w:color w:val="010101"/>
              </w:rPr>
              <w:t>Amount</w:t>
            </w: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capital</w:t>
            </w:r>
          </w:p>
        </w:tc>
        <w:tc>
          <w:tcPr>
            <w:tcW w:w="180" w:type="dxa"/>
            <w:vAlign w:val="bottom"/>
          </w:tcPr>
          <w:p>
            <w:pPr>
              <w:spacing w:after="0"/>
              <w:rPr>
                <w:sz w:val="20"/>
                <w:szCs w:val="20"/>
                <w:color w:val="auto"/>
              </w:rPr>
            </w:pPr>
          </w:p>
        </w:tc>
        <w:tc>
          <w:tcPr>
            <w:tcW w:w="96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Balance -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9"/>
              </w:rPr>
              <w:t>90,789,268</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195,814</w:t>
            </w:r>
          </w:p>
        </w:tc>
        <w:tc>
          <w:tcPr>
            <w:tcW w:w="160" w:type="dxa"/>
            <w:vAlign w:val="bottom"/>
            <w:tcBorders>
              <w:right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010101"/>
              </w:rPr>
              <w:t>5,378,287</w:t>
            </w: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010101"/>
              </w:rPr>
              <w:t>-</w:t>
            </w: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12,517</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(172,243)</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010101"/>
              </w:rPr>
              <w:t>Net loss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4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010101"/>
              </w:rPr>
              <w:t>(11,779)</w:t>
            </w:r>
          </w:p>
        </w:tc>
        <w:tc>
          <w:tcPr>
            <w:tcW w:w="1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010101"/>
              </w:rPr>
              <w:t>(11,779)</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 convertible</w:t>
            </w: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6"/>
              </w:rPr>
              <w:t>preferred stock, net of issuance</w:t>
            </w:r>
          </w:p>
        </w:tc>
        <w:tc>
          <w:tcPr>
            <w:tcW w:w="9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(4)</w:t>
            </w:r>
          </w:p>
        </w:tc>
        <w:tc>
          <w:tcPr>
            <w:tcW w:w="1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4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010101"/>
              </w:rPr>
              <w:t>581,237</w:t>
            </w:r>
          </w:p>
        </w:tc>
        <w:tc>
          <w:tcPr>
            <w:tcW w:w="4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010101"/>
              </w:rPr>
              <w:t>999</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010101"/>
              </w:rPr>
              <w:t>999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w w:val="89"/>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457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457</w:t>
            </w:r>
          </w:p>
        </w:tc>
        <w:tc>
          <w:tcPr>
            <w:tcW w:w="0" w:type="dxa"/>
            <w:vAlign w:val="bottom"/>
          </w:tcPr>
          <w:p>
            <w:pPr>
              <w:spacing w:after="0"/>
              <w:rPr>
                <w:sz w:val="1"/>
                <w:szCs w:val="1"/>
                <w:color w:val="auto"/>
              </w:rPr>
            </w:pPr>
          </w:p>
        </w:tc>
      </w:tr>
      <w:tr>
        <w:trPr>
          <w:trHeight w:val="27"/>
        </w:trPr>
        <w:tc>
          <w:tcPr>
            <w:tcW w:w="26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010101"/>
              </w:rPr>
              <w:t>Balance - March 31, 2021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010101"/>
                <w:w w:val="99"/>
              </w:rPr>
              <w:t>90,789,268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010101"/>
                <w:w w:val="79"/>
              </w:rPr>
              <w:t>$</w:t>
            </w: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010101"/>
                <w:w w:val="95"/>
              </w:rPr>
              <w:t>195,810</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010101"/>
              </w:rPr>
              <w:t>5,959,524</w:t>
            </w:r>
          </w:p>
        </w:tc>
        <w:tc>
          <w:tcPr>
            <w:tcW w:w="400" w:type="dxa"/>
            <w:vAlign w:val="bottom"/>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010101"/>
              </w:rPr>
              <w:t>-</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010101"/>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010101"/>
              </w:rPr>
              <w:t>13,973</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(184,022)</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(170,048)</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101"/>
              </w:rPr>
              <w:t>(35,697)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(35,697)</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010101"/>
              </w:rPr>
              <w:t>1,327,823</w:t>
            </w:r>
          </w:p>
        </w:tc>
        <w:tc>
          <w:tcPr>
            <w:tcW w:w="4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010101"/>
              </w:rPr>
              <w:t>2,712</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010101"/>
              </w:rPr>
              <w:t>2,712</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Conversion of the convertible</w:t>
            </w: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010101"/>
                <w:w w:val="94"/>
              </w:rPr>
              <w:t>preferred stock into Class A and</w:t>
            </w:r>
          </w:p>
        </w:tc>
        <w:tc>
          <w:tcPr>
            <w:tcW w:w="9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Class B common stock</w:t>
            </w: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010101"/>
                <w:w w:val="94"/>
              </w:rPr>
              <w:t>(90,789,268)</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10101"/>
                <w:w w:val="88"/>
              </w:rPr>
              <w:t>(195,810)</w:t>
            </w:r>
          </w:p>
        </w:tc>
        <w:tc>
          <w:tcPr>
            <w:tcW w:w="1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52,466,941</w:t>
            </w:r>
          </w:p>
        </w:tc>
        <w:tc>
          <w:tcPr>
            <w:tcW w:w="4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5</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10101"/>
                <w:w w:val="95"/>
              </w:rPr>
              <w:t>19,937,500</w:t>
            </w:r>
          </w:p>
        </w:tc>
        <w:tc>
          <w:tcPr>
            <w:tcW w:w="4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2</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195,803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195,810</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010101"/>
              </w:rPr>
              <w:t>Net equity infusion from the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010101"/>
              </w:rPr>
              <w:t>Business Combination</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010101"/>
              </w:rPr>
              <w:t>56,708,872</w:t>
            </w:r>
          </w:p>
        </w:tc>
        <w:tc>
          <w:tcPr>
            <w:tcW w:w="4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6</w:t>
            </w:r>
          </w:p>
        </w:tc>
        <w:tc>
          <w:tcPr>
            <w:tcW w:w="980" w:type="dxa"/>
            <w:vAlign w:val="bottom"/>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010101"/>
              </w:rPr>
              <w:t>501,166</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010101"/>
              </w:rPr>
              <w:t>501,172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w w:val="89"/>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9,987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9,987</w:t>
            </w:r>
          </w:p>
        </w:tc>
        <w:tc>
          <w:tcPr>
            <w:tcW w:w="0" w:type="dxa"/>
            <w:vAlign w:val="bottom"/>
          </w:tcPr>
          <w:p>
            <w:pPr>
              <w:spacing w:after="0"/>
              <w:rPr>
                <w:sz w:val="1"/>
                <w:szCs w:val="1"/>
                <w:color w:val="auto"/>
              </w:rPr>
            </w:pPr>
          </w:p>
        </w:tc>
      </w:tr>
      <w:tr>
        <w:trPr>
          <w:trHeight w:val="27"/>
        </w:trPr>
        <w:tc>
          <w:tcPr>
            <w:tcW w:w="26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010101"/>
              </w:rPr>
              <w:t>Balance - June 30, 2021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010101"/>
              </w:rPr>
              <w:t>-</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010101"/>
                <w:w w:val="79"/>
              </w:rPr>
              <w:t>$</w:t>
            </w: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010101"/>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010101"/>
                <w:w w:val="91"/>
              </w:rPr>
              <w:t>116,463,160</w:t>
            </w:r>
          </w:p>
        </w:tc>
        <w:tc>
          <w:tcPr>
            <w:tcW w:w="400" w:type="dxa"/>
            <w:vAlign w:val="bottom"/>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010101"/>
                <w:w w:val="95"/>
              </w:rPr>
              <w:t>19,937,500</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r>
              <w:rPr>
                <w:rFonts w:ascii="Arial" w:cs="Arial" w:eastAsia="Arial" w:hAnsi="Arial"/>
                <w:sz w:val="18"/>
                <w:szCs w:val="18"/>
                <w:b w:val="1"/>
                <w:bCs w:val="1"/>
                <w:color w:val="010101"/>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010101"/>
              </w:rPr>
              <w:t>723,641</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(219,719)</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503,936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10101"/>
              </w:rPr>
              <w:t>(18,091)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(18,091)</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010101"/>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010101"/>
              </w:rPr>
              <w:t>254,830</w:t>
            </w:r>
          </w:p>
        </w:tc>
        <w:tc>
          <w:tcPr>
            <w:tcW w:w="4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010101"/>
              </w:rPr>
              <w:t>676</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010101"/>
              </w:rPr>
              <w:t>676</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Net equity infusion from the</w:t>
            </w: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010101"/>
              </w:rPr>
              <w:t>Business Combination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4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010101"/>
              </w:rPr>
              <w:t>(2)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(2)</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010101"/>
                <w:w w:val="89"/>
              </w:rPr>
              <w:t>Stock-based compensation expense</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010101"/>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4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01010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010101"/>
              </w:rPr>
              <w:t>-</w:t>
            </w:r>
          </w:p>
        </w:tc>
        <w:tc>
          <w:tcPr>
            <w:tcW w:w="48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010101"/>
              </w:rPr>
              <w:t>-</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010101"/>
              </w:rPr>
              <w:t>7,396</w:t>
            </w:r>
          </w:p>
        </w:tc>
        <w:tc>
          <w:tcPr>
            <w:tcW w:w="180" w:type="dxa"/>
            <w:vAlign w:val="bottom"/>
          </w:tcPr>
          <w:p>
            <w:pPr>
              <w:spacing w:after="0"/>
              <w:rPr>
                <w:sz w:val="19"/>
                <w:szCs w:val="19"/>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010101"/>
              </w:rPr>
              <w:t>-</w:t>
            </w:r>
          </w:p>
        </w:tc>
        <w:tc>
          <w:tcPr>
            <w:tcW w:w="1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010101"/>
              </w:rPr>
              <w:t>7,396</w:t>
            </w:r>
          </w:p>
        </w:tc>
        <w:tc>
          <w:tcPr>
            <w:tcW w:w="0" w:type="dxa"/>
            <w:vAlign w:val="bottom"/>
          </w:tcPr>
          <w:p>
            <w:pPr>
              <w:spacing w:after="0"/>
              <w:rPr>
                <w:sz w:val="1"/>
                <w:szCs w:val="1"/>
                <w:color w:val="auto"/>
              </w:rPr>
            </w:pPr>
          </w:p>
        </w:tc>
      </w:tr>
      <w:tr>
        <w:trPr>
          <w:trHeight w:val="256"/>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010101"/>
              </w:rPr>
              <w:t>Balance - September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60" w:type="dxa"/>
            <w:vAlign w:val="bottom"/>
            <w:tcBorders>
              <w:bottom w:val="single" w:sz="8" w:color="CCEEFF"/>
              <w:right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010101"/>
                <w:w w:val="91"/>
              </w:rPr>
              <w:t>116,717,990</w:t>
            </w:r>
          </w:p>
        </w:tc>
        <w:tc>
          <w:tcPr>
            <w:tcW w:w="40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010101"/>
                <w:w w:val="95"/>
              </w:rPr>
              <w:t>19,937,500</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010101"/>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731,711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(237,810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493,915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ind w:left="410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56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(65,567)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(27,068)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Unrealized losses of marketable securities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 of fixed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(3,442)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w:t>
            </w: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assets - related party</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r>
      <w:tr>
        <w:trPr>
          <w:trHeight w:val="216"/>
        </w:trPr>
        <w:tc>
          <w:tcPr>
            <w:tcW w:w="8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8680" w:type="dxa"/>
            <w:vAlign w:val="bottom"/>
            <w:gridSpan w:val="2"/>
          </w:tcPr>
          <w:p>
            <w:pPr>
              <w:ind w:left="50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(49,117)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(24,304)</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(438,736)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(441,090)</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10,310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proceeds from equity infusion from the Business Combination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notes payable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notes payable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Stock issuance costs for Series E convertible preferred stock</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23"/>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under capital lease obligations</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8680" w:type="dxa"/>
            <w:vAlign w:val="bottom"/>
            <w:tcBorders>
              <w:top w:val="single" w:sz="8" w:color="CCEEFF"/>
            </w:tcBorders>
            <w:gridSpan w:val="2"/>
          </w:tcPr>
          <w:p>
            <w:pPr>
              <w:ind w:left="66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515,400</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12,039</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(12,697)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36,910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32,930</w:t>
            </w:r>
          </w:p>
        </w:tc>
      </w:tr>
      <w:tr>
        <w:trPr>
          <w:trHeight w:val="25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62,103</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20,233</w:t>
            </w:r>
          </w:p>
        </w:tc>
        <w:tc>
          <w:tcPr>
            <w:tcW w:w="100" w:type="dxa"/>
            <w:vAlign w:val="bottom"/>
            <w:shd w:val="clear" w:color="auto" w:fill="CCEEFF"/>
          </w:tcPr>
          <w:p>
            <w:pPr>
              <w:spacing w:after="0"/>
              <w:rPr>
                <w:sz w:val="22"/>
                <w:szCs w:val="22"/>
                <w:color w:val="auto"/>
              </w:rPr>
            </w:pPr>
          </w:p>
        </w:tc>
      </w:tr>
      <w:tr>
        <w:trPr>
          <w:trHeight w:val="210"/>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received from exchange of research and development tax credits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acquisition of property and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Forgiveness of related party promissory notes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equity related transaction costs from the Business Combination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Noncash equity related warrants from the Business Combination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Conversion of the convertible preferred stock into Class A and Class B common stock</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Quantum-Si Incorporated (“Quantum-Si”, the “Company”, “we”, “us” and “our”), formerly known as HighCape Capital Acquisition Corp. (“HighCape”), was incorporated as a Delaware corporation on June 10, 2020. The Company’s legal name became Quantum-Si Incorporated in connection with the closing of the Business Combination on June 10, 2021 (the “Closing”), as defined and described in Note 3 “Business Combination”. In connection with the Closing, Quantum-Si Incorporated, a Delaware corporation (“Legacy Quantum-Si”), merged with and into a wholly-owned subsidiary of HighCape, became a wholly-owned subsidiary of the Company, and changed its name to Q-SI Operations Inc. The prior period financial information represents the financial results and condition of Legacy Quantum-Si.</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innovative life sciences company with the mission of transforming single molecule analysis and democratizing its use by providing researchers and clinicians access to the proteome, the set of proteins expressed within a cell. The Company has developed a proprietary universal single molecule detection platform that the Company is first applying to proteomics to enable Next Generation Protein Sequencing (“NGPS”), the ability to sequence proteins in a massively parallel fashion (rather than sequentially, one at a time), and can be used for the study of nucleic acids. The Company’s platform is comprised of the Carbon™ automated sample preparation instrument, the Platinum™ NGPS instrument, the Quantum-Si Cloud™ software service, and reagent kits and chips for use with its instruments.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the Company has incurred recurring losses in each year since inception, the Company expects its cash and cash equivalents, and marketable securities will be able to fund its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financial statements and notes included in the Legacy Quantum-Si audited financial statements as of and for the years ended December 31, 2020 and 2019. The condensed consolidated balance sheet as of December 31, 2020 included herein was derived from the audited financial statements as of that date, but does not include all disclosures, including certain notes required by U.S. GAAP, on an annual reporting basis.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opinion of management, the accompanying condensed consolidated financial statements reflect all normal recurring adjustments necessary to present fairly the financial position, results of operations, and cash flows for the interim periods. The results for the three and nine months ended September 30, 2021 are not necessarily indicative of the results to be expected for any subsequent quarter, the year ending December 31, 2021, or any other period.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described elsewhere in this Note 2 under the heading “Recently Issued Accounting Pronouncements” and Note 3 “Business Combination”, there have been no material changes to the Company’s significant accounting policies as described in the Legacy Quantum-Si audited financial statements as of and for the years ended December 31,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Outbreak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the Company’s operating results, financial condition and cash flows. The COVID-19 pandemic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would disrupt or delay the Company’s receipt of instruments, components and supplies from the third parties the Company relies on to, among other things, produce its products currently under development. The COVID-19 pandemic has also had an adverse effect on the Company’s ability to attract, recruit, interview and hire at the pace the Company would typically expect to support its rapidly expanding operations. To the extent that any governmental authority imposes additional regulatory requirements or changes existing laws, regulations, and policies that apply to the Company’s business and operations, such as additional workplace safety measures, the Company’s product development plans may be delayed, and the Company may incur further costs in bringing its business and operations into compliance with changing or new laws, regulations, and policies. The full extent to which the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w:t>
      </w:r>
    </w:p>
    <w:p>
      <w:pPr>
        <w:sectPr>
          <w:pgSz w:w="11900" w:h="16838" w:orient="portrait"/>
          <w:cols w:equalWidth="0" w:num="1">
            <w:col w:w="11240"/>
          </w:cols>
          <w:pgMar w:left="320" w:top="121" w:right="3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estimates of the impact on the Company’s business may change based on new information that may emerge concerning COVID-19 and the actions to contain it or address its impact and the economic impact on local, regional, national and international markets. While the Company is unable to predict the full impact that the COVID-19 pandemic will have on the Company’s future results of operations, liquidity and financial condition due to numerous uncertainties, including the duration of the pandemic, and the actions that may be taken by government authorities across the United States, it is not expected to result in any significant changes in costs going forward.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and cash equivalents and marketable securities. At September 30, 2021 and December 31, 2020, substantially all of the Company’s cash and cash equivalents and marketable securities were invested in mutual funds at one financial institution. The Company also maintains balances in various operating accounts above federally insured limits. The Company has not experienced any losses on such accounts and does not believe it is exposed to any significant credit risk on cash and cash equivalents and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condensed consolidated financial statements in conformity with U.S. GAAP requires the Company to make estimates and assumptions about future events that affect the amounts reported in its condensed consolidated financial statements and accompanying notes. Future events and their effects cannot be determined with certainty. On an ongoing basis, management evaluates these estimates and assumptions. Significant estimates and assumptions included:</w:t>
      </w:r>
    </w:p>
    <w:p>
      <w:pPr>
        <w:spacing w:after="0" w:line="18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allowances with respect to deferred tax assets;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of warrant liabilities;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underlying the fair value used in the calculation of the 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investments in marketable securities are ownership interests in fixed income mutual funds. The securities are stated at fair value, as determined by quoted market prices. As the securities have readily determinable fair value, unrealized gains and losses are reported as other (expense), net on the condensed consolidated statements of operations and comprehensive loss. Subsequent gains or losses realized upon redemption or sale of these securities are also recorded as other (expense), net on the condensed consolidated statements of operations and comprehensive loss. The Company considers all of its investments in marketable securities as available for use in current operations and therefore classifies these securities within current assets on the condensed consolidated balance sheets. For the three and nine months ended September 30, 2021, the Company recognized $634 of unrealized losses that relate to securities still held as of September 30,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its long-lived assets for impairment at least annually or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three and nine months ended September 30, 2021 and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Company’s outstanding warrants include publicly-traded warrants (the “Public Warrants”) which were issued as one-third of one redeemable warrant per unit issued during the Company’s initial public offering on September 9, 2020, and warrants sold in a private placement (the “Private Warrants”) to HighCape’s sponsor, HighCape Capital Acquisition LLC (the “Sponsor”). The Company evaluated its warrants under Accounting Standards Codification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(“ASC 815-40”), and concluded that they do not meet the criteria to be classified in stockholders’ equity. Since the Public Warrants and Private Warrants meet the definition of a derivative under ASC 815-40, the Company recorded these warrants as long-term liabilities on the balance sheet at fair value upon the Closing of the Business Combination, with subsequent changes in their respective fair values recognized in the condensed consolidated statements of operations and comprehensive loss at each reporting date.</w:t>
      </w:r>
    </w:p>
    <w:p>
      <w:pPr>
        <w:sectPr>
          <w:pgSz w:w="11900" w:h="16838" w:orient="portrait"/>
          <w:cols w:equalWidth="0" w:num="1">
            <w:col w:w="11240"/>
          </w:cols>
          <w:pgMar w:left="320" w:top="121"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Financial Accounting Standards Board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outlines a comprehensive lease accounting model and supersedes the current lease guidance. The new guidance requires lessees to recognize almost all their leases on the balance sheet by recording a lease liability and corresponding right-of-use assets. It also changes the definition of a lease and expands the disclosure requirements of lease arrangements. As per the latest ASU 2020-05</w:t>
      </w:r>
      <w:r>
        <w:rPr>
          <w:rFonts w:ascii="Arial" w:cs="Arial" w:eastAsia="Arial" w:hAnsi="Arial"/>
          <w:sz w:val="16"/>
          <w:szCs w:val="16"/>
          <w:i w:val="1"/>
          <w:iCs w:val="1"/>
          <w:color w:val="auto"/>
        </w:rPr>
        <w:t>, Revenue from Contracts with Customers (Topic 606) and 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842): Effective Dates for Certain Entities, </w:t>
      </w:r>
      <w:r>
        <w:rPr>
          <w:rFonts w:ascii="Arial" w:cs="Arial" w:eastAsia="Arial" w:hAnsi="Arial"/>
          <w:sz w:val="16"/>
          <w:szCs w:val="16"/>
          <w:color w:val="auto"/>
        </w:rPr>
        <w:t>issued by the FASB, entities that have not yet issued or made available for issuance the financial statements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June 3, 2020 can defer the new guidance for one year. For public entities, this guidance is effective for annual reporting periods beginning January 1, 2019, including interim periods within that annual reporting period. For the Company, this guidance is effective December 31, 2021. The Company is in the process of evaluating the impact that the adoption of this pronouncement will have on its condensed consolidated financial statements.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 Is a</w:t>
      </w:r>
      <w:r>
        <w:rPr>
          <w:rFonts w:ascii="Arial" w:cs="Arial" w:eastAsia="Arial" w:hAnsi="Arial"/>
          <w:sz w:val="17"/>
          <w:szCs w:val="17"/>
          <w:color w:val="auto"/>
        </w:rPr>
        <w:t xml:space="preserve"> </w:t>
      </w:r>
      <w:r>
        <w:rPr>
          <w:rFonts w:ascii="Arial" w:cs="Arial" w:eastAsia="Arial" w:hAnsi="Arial"/>
          <w:sz w:val="17"/>
          <w:szCs w:val="17"/>
          <w:i w:val="1"/>
          <w:iCs w:val="1"/>
          <w:color w:val="auto"/>
        </w:rPr>
        <w:t>Service Contract</w:t>
      </w:r>
      <w:r>
        <w:rPr>
          <w:rFonts w:ascii="Arial" w:cs="Arial" w:eastAsia="Arial" w:hAnsi="Arial"/>
          <w:sz w:val="17"/>
          <w:szCs w:val="17"/>
          <w:color w:val="auto"/>
        </w:rPr>
        <w:t>, which aligns the requirements for capitalizing implementation costs incurred in a hosting arrangement that is a service contract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capitalizing implementation costs incurred to develop or obtain internal-use software (and hosting arrangements that include an internal-use software license). For public entities, this guidance is effective for fiscal years beginning January 1, 2020 and interim periods within those fiscal years. For the Company, this guidance is effective December 31, 2021. The Company is in the process of evaluating the impact that the adoption of this pronouncement will have on its condensed consolidated financial statements.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ASU 2019-12 is intended to simplify various aspects related to accounting for income taxes. For public entities, this guidance is effective for annual reporting periods beginning January 1, 2021, including interim periods within that annual reporting period. For the Company, this guidance is effective December 31, 2021. The Company is in the process of evaluating the impact that the adoption of this pronouncement will have on its condensed consolidated financial statements.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w:t>
      </w:r>
      <w:r>
        <w:rPr>
          <w:rFonts w:ascii="Arial" w:cs="Arial" w:eastAsia="Arial" w:hAnsi="Arial"/>
          <w:sz w:val="18"/>
          <w:szCs w:val="18"/>
          <w:color w:val="auto"/>
        </w:rPr>
        <w:t xml:space="preserve"> and </w:t>
      </w:r>
      <w:r>
        <w:rPr>
          <w:rFonts w:ascii="Arial" w:cs="Arial" w:eastAsia="Arial" w:hAnsi="Arial"/>
          <w:sz w:val="18"/>
          <w:szCs w:val="18"/>
          <w:i w:val="1"/>
          <w:iCs w:val="1"/>
          <w:color w:val="auto"/>
        </w:rPr>
        <w:t>Derivatives and Hedging-Contracts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in Entity’s Own Equity (Subtopic 815-40): Accounting for Convertible Instruments and Contracts in an Entity’s Own Equity</w:t>
      </w:r>
      <w:r>
        <w:rPr>
          <w:rFonts w:ascii="Arial" w:cs="Arial" w:eastAsia="Arial" w:hAnsi="Arial"/>
          <w:sz w:val="18"/>
          <w:szCs w:val="18"/>
          <w:color w:val="auto"/>
        </w:rPr>
        <w:t>, which simplifies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convertible instruments by removing the separation models for convertible debt with a cash conversion feature and convertible instruments with a beneficial conversion feature. These changes will reduce reported interest expense and increase reported net income for entities that have issued a convertible instrument that was bifurcated according to previously existing rules. ASU 2020-06 also requires the application of the if-converted method for calculating diluted earnings per share and the treasury stock method will be no longer available. For public entities, this guidance is effective for annual reporting periods beginning January 1, 2022, including interim periods within that annual reporting period. For the Company, this guidance is effective beginning January 1, 2022. The Company is in the process of evaluating the impact that the adoption of this pronouncement will have on its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10, 2021, Quantum-Si Incorporated, a Delaware corporation (“Legacy Quantum-Si”), consummated the previously announced business combination (the “Business Combination”) with HighCape in which Legacy Quantum-Si merged with a wholly-owned subsidiary of HighCape (the “Merger”) and survived the Business Combination as a wholly-owned subsidiary of the Company. In connection with the Business Combination, the Company changed its name to Quantum-Si Incorporated and Legacy Quantum-Si changed its name to Q-SI Operations Inc.</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Combination is accounted for as a reverse recapitalization in accordance with U.S. GAAP primarily due to the fact that Legacy Quantum-Si stockholders continued to control the Company following the Closing of the Business Combination. Under this method of accounting, HighCape is treated as the “acquired” company for accounting purposes and the Business Combination is treated as the equivalent of Legacy Quantum-Si issuing stock for the net assets of HighCape, accompanied by a recapitalization. The net assets of HighCape are stated at historical cost, with no goodwill or other intangible assets recorded. Reported shares and earnings per share available to holders of the Company’s capital stock and equity awards prior to the Business Combination have been retroactively restated reflecting the exchange ratio of 0.7975 (the “Exchange Ratio”) established pursuant to the Business Combination Agreement dated as of February 18, 2021 (the “Business Combination Agreement”).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Agreement, at the effective time of the Merger (the “Effective Time”):</w:t>
      </w:r>
    </w:p>
    <w:p>
      <w:pPr>
        <w:spacing w:after="0" w:line="225" w:lineRule="exact"/>
        <w:rPr>
          <w:sz w:val="20"/>
          <w:szCs w:val="20"/>
          <w:color w:val="auto"/>
        </w:rPr>
      </w:pPr>
    </w:p>
    <w:p>
      <w:pPr>
        <w:jc w:val="both"/>
        <w:ind w:firstLine="8"/>
        <w:spacing w:after="0" w:line="286" w:lineRule="auto"/>
        <w:tabs>
          <w:tab w:leader="none" w:pos="225"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share of Legacy Quantum-Si capital stock (other than shares of Legacy Quantum-Si Series A preferred stock) that was issued and outstanding as of immediately prior to the Effective Time was automatically cancelled and extinguished and converted into the right to receive a number of shares of the Company’s Class A common stock equal to the Exchange Ratio, rounded down to the nearest whole number of shares;</w:t>
      </w:r>
    </w:p>
    <w:p>
      <w:pPr>
        <w:spacing w:after="0" w:line="165" w:lineRule="exact"/>
        <w:rPr>
          <w:rFonts w:ascii="Arial" w:cs="Arial" w:eastAsia="Arial" w:hAnsi="Arial"/>
          <w:sz w:val="17"/>
          <w:szCs w:val="17"/>
          <w:color w:val="auto"/>
        </w:rPr>
      </w:pPr>
    </w:p>
    <w:p>
      <w:pPr>
        <w:jc w:val="both"/>
        <w:ind w:firstLine="8"/>
        <w:spacing w:after="0" w:line="263"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share of Legacy Quantum-Si Series A preferred stock that was issued and outstanding as of immediately prior to the Effective Time was automatically cancelled and extinguished and converted into the right to receive a number of shares of the Company’s Class B common stock equal to the Exchange Ratio, rounded down to the nearest whole number of shares;</w:t>
      </w:r>
    </w:p>
    <w:p>
      <w:pPr>
        <w:spacing w:after="0" w:line="183" w:lineRule="exact"/>
        <w:rPr>
          <w:rFonts w:ascii="Arial" w:cs="Arial" w:eastAsia="Arial" w:hAnsi="Arial"/>
          <w:sz w:val="18"/>
          <w:szCs w:val="18"/>
          <w:color w:val="auto"/>
        </w:rPr>
      </w:pPr>
    </w:p>
    <w:p>
      <w:pPr>
        <w:jc w:val="both"/>
        <w:ind w:firstLine="8"/>
        <w:spacing w:after="0" w:line="255"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option to purchase shares of Legacy Quantum-Si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Quantum-Si common stock subject to such option immediately prior to the Effective Time multiplied by the Exchange Ratio, rounded down to the nearest whole number of shares, at an exercise price per share equal to the exercise price per share of such option immediately prior to the Effective Time divided by the Exchange Ratio, rounded up to the nearest whole cent; and</w:t>
      </w:r>
    </w:p>
    <w:p>
      <w:pPr>
        <w:spacing w:after="0" w:line="192" w:lineRule="exact"/>
        <w:rPr>
          <w:rFonts w:ascii="Arial" w:cs="Arial" w:eastAsia="Arial" w:hAnsi="Arial"/>
          <w:sz w:val="18"/>
          <w:szCs w:val="18"/>
          <w:color w:val="auto"/>
        </w:rPr>
      </w:pPr>
    </w:p>
    <w:p>
      <w:pPr>
        <w:jc w:val="both"/>
        <w:ind w:firstLine="8"/>
        <w:spacing w:after="0" w:line="259" w:lineRule="auto"/>
        <w:tabs>
          <w:tab w:leader="none" w:pos="225"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Legacy Quantum-Si restricted stock unit outstanding immediately prior to the Effective Time was assumed by the Company and became a restricted stock unit with respect to a number of shares of the Company’s Class A common stock equal to the number of shares of Legacy Quantum-Si common stock subject to such Legacy Quantum-Si restricted stock unit immediately prior to the Effective Time multiplied by the Exchange Ratio, rounded down to the nearest whole share.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Exchange Ratio was calculated based on the quotient resulting by dividing (i) the quotient of (x) $810,000 plus the excess of Legacy Quantum-Si cash over Legacy Quantum-Si debt as of immediately prior to the Effective Time plus the excess of certain HighCape expenses in connection with the Business Combination over $8,025 divided by (y) the number of issued and outstanding shares of Legacy Quantum-Si as of immediately prior to the Effective Time plus the number of issued vested Legacy Quantum-Si options at such time (where such number of vested options is calculated on net basis), by (ii) $10.00.</w:t>
      </w:r>
    </w:p>
    <w:p>
      <w:pPr>
        <w:spacing w:after="0" w:line="15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10, 2021, HighCape filed the Second Amended and Restated Certificate of Incorporation (the “Restated Certificate”) with the Secretary of State of the State of Delaware, which became effective simultaneously with the Effective Time. As a consequence of filing the Restated Certificate, the Company adopted a dual class structure, comprised of the Company’s Class A common stock, which is entitled to one vote per share, and the Company’s Class B common stock, which is entitled to 20 votes per share. The Company’s Class B common stock has the same economic terms as the Company’s Class A common stock, but is subject to a “sunset” provision if Jonathan M. Rothberg, Ph.D., the founder of Legacy Quantum-Si and Executive Chairman of the Company (“Dr. Rothberg”), and other permitted holders of the Company’s Class B common stock collectively cease to beneficially own at least twenty percent (20%) of the number of shares of the Company’s Class B common stock (as such number of shares is equitably adjusted in respect of any reclassification, stock dividend, subdivision, combination or recapitalization of the Company’s Class B common stock) collectively held by Dr. Rothberg and permitted transferees of the Company’s Class B common stock as of the Effective Time.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execution of the Business Combination Agreement, HighCape entered into subscription agreements (the “PIPE Investor Subscription Agreements”) with certain institutional investors and accredited investors (the “PIPE Investors”), pursuant to which the PIPE Investors purchased, immediately prior to the Closing, an aggregate of 42,500,000 shares of HighCape Class A common stock at a purchase price of $10.00 per share (the “PIPE Financing”).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concurrently with the execution of the Business Combination Agreement, HighCape entered into subscription agreements (the “Subscription Agreements”), with certain affiliates of Foresite Capital Management, LLC (the “Foresite Funds”), pursuant to which the Foresite Funds purchased immediately prior to the Closing, an aggregate of 696,250 shares of HighCape Class A common stock at a purchase price of $0.001 per share for aggregate gross proceeds of $1 after a corresponding number of shares of HighCape Class B common stock was irrevocably forfeited by HighCape’s Sponsor to HighCape for no consideration and automatically cancelled.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total number of shares of the Company’s Class A common stock outstanding immediately following the Closing was 116,463,160, comprising:</w:t>
      </w:r>
    </w:p>
    <w:p>
      <w:pPr>
        <w:spacing w:after="0" w:line="237" w:lineRule="exact"/>
        <w:rPr>
          <w:sz w:val="20"/>
          <w:szCs w:val="20"/>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59,754,288 shares of the Company’s Class A common stock issued to Legacy Quantum-Si stockholders (other than holders of Legacy Quantum-Si Series A preferred stock) in the Business Combination,</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42,500,000 shares of the Company’s Class A common stock issued in connection with the Closing to the PIPE Investors pursuant to the PIPE Financing,</w:t>
      </w:r>
    </w:p>
    <w:p>
      <w:pPr>
        <w:spacing w:after="0" w:line="248" w:lineRule="exact"/>
        <w:rPr>
          <w:rFonts w:ascii="Arial" w:cs="Arial" w:eastAsia="Arial" w:hAnsi="Arial"/>
          <w:sz w:val="16"/>
          <w:szCs w:val="16"/>
          <w:color w:val="auto"/>
        </w:rPr>
      </w:pPr>
    </w:p>
    <w:p>
      <w:pPr>
        <w:ind w:firstLine="8"/>
        <w:spacing w:after="0" w:line="277" w:lineRule="auto"/>
        <w:tabs>
          <w:tab w:leader="none" w:pos="225" w:val="left"/>
        </w:tabs>
        <w:numPr>
          <w:ilvl w:val="0"/>
          <w:numId w:val="6"/>
        </w:numPr>
        <w:rPr>
          <w:rFonts w:ascii="Arial" w:cs="Arial" w:eastAsia="Arial" w:hAnsi="Arial"/>
          <w:sz w:val="18"/>
          <w:szCs w:val="18"/>
          <w:color w:val="auto"/>
        </w:rPr>
      </w:pPr>
      <w:r>
        <w:rPr>
          <w:rFonts w:ascii="Arial" w:cs="Arial" w:eastAsia="Arial" w:hAnsi="Arial"/>
          <w:sz w:val="18"/>
          <w:szCs w:val="18"/>
          <w:color w:val="auto"/>
        </w:rPr>
        <w:t>696,250 shares of the Company’s Class A common stock issued in connection with the Closing to the Foresite Funds pursuant to the Subscription Agreements;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8"/>
        <w:spacing w:after="0" w:line="311"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2,178,750 shares of the Company’s Class A common stock issued to the initial stockholders holding the 2,178,750 shares of HighCape Class B common stock outstanding at the Effective Time, after reflecting the irrevocable forfeiture by the Sponsor to HighCape of 696,250 shares of HighCape Class B common stock for no consideration and automatic cancellation as of immediately prior to, and subject to the consummation of, the Closing;</w:t>
      </w:r>
    </w:p>
    <w:p>
      <w:pPr>
        <w:spacing w:after="0" w:line="148" w:lineRule="exact"/>
        <w:rPr>
          <w:rFonts w:ascii="Arial" w:cs="Arial" w:eastAsia="Arial" w:hAnsi="Arial"/>
          <w:sz w:val="16"/>
          <w:szCs w:val="16"/>
          <w:color w:val="auto"/>
        </w:rPr>
      </w:pPr>
    </w:p>
    <w:p>
      <w:pPr>
        <w:ind w:right="20"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405,000 shares of the Company’s Class A common stock held by the Sponsor holding shares of HighCape Class A common stock outstanding at the Effective Time, and</w:t>
      </w:r>
    </w:p>
    <w:p>
      <w:pPr>
        <w:spacing w:after="0" w:line="170" w:lineRule="exact"/>
        <w:rPr>
          <w:rFonts w:ascii="Arial" w:cs="Arial" w:eastAsia="Arial" w:hAnsi="Arial"/>
          <w:sz w:val="18"/>
          <w:szCs w:val="18"/>
          <w:color w:val="auto"/>
        </w:rPr>
      </w:pPr>
    </w:p>
    <w:p>
      <w:pPr>
        <w:ind w:firstLine="8"/>
        <w:spacing w:after="0" w:line="277" w:lineRule="auto"/>
        <w:tabs>
          <w:tab w:leader="none" w:pos="225" w:val="left"/>
        </w:tabs>
        <w:numPr>
          <w:ilvl w:val="0"/>
          <w:numId w:val="7"/>
        </w:numPr>
        <w:rPr>
          <w:rFonts w:ascii="Arial" w:cs="Arial" w:eastAsia="Arial" w:hAnsi="Arial"/>
          <w:sz w:val="18"/>
          <w:szCs w:val="18"/>
          <w:color w:val="auto"/>
        </w:rPr>
      </w:pPr>
      <w:r>
        <w:rPr>
          <w:rFonts w:ascii="Arial" w:cs="Arial" w:eastAsia="Arial" w:hAnsi="Arial"/>
          <w:sz w:val="18"/>
          <w:szCs w:val="18"/>
          <w:color w:val="auto"/>
        </w:rPr>
        <w:t>10,928,872 shares of the Company’s Class A common stock held by public stockholders holding shares of HighCape Class A common stock outstanding at the Effective Time, after reflecting redemptions of 571,128 shares of HighCape Class A common stock.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number of shares of the Company’s Class B common stock outstanding immediately following the Closing was 19,937,500 shares. Immediately following the Closing, Dr. Rothberg held approximately 80.4% of the combined voting power of the Company. Accordingly, Dr. Rothberg and his permitted transferees control the Company and the Company is a controlled company within the meaning of the Nasdaq listing rules.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most significant change in the post-combination Company’s reported financial position and results was an increase in cash of $540,276 consisting of $425,001 from the PIPE investors and $115,275 from HighCape. The increase in cash was offset by transaction costs of $17,824, payment of the Paycheck Protection Program (“PPP”) loan of $1,764 including interest, payments to redeeming Company shareholders of $5,712, and payment of $3,800 to a third-party service provider, resulting in proceeds of $511,176 on the date of the Closing of the Business Combination on June 10, 2021. In addition, the post-combination balance sheet increased by the warrant liabilities of $11,618 and other insignificant assets and liabilities. Additional transaction costs were incurred prior to the Business Combination not settled on the date of Closing. Transaction costs of $7,383 were expensed during the nine months ended September 30, 2021 in the condensed consolidated statements of operations and comprehensive loss.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On the date of Closing, the proceeds of $540,276 were offset against the warrant liabilities of $11,618, payments to redeeming Company shareholders of $5,712, and other liabilities and related transaction costs of $21,776, which resulted in an equity infusion from the Business Combination of $501,170 in the condensed consolidated statements of changes in convertible preferred stock and stockholders’ equity (deficit) for the nine months ended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4"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firstLine="8"/>
        <w:spacing w:after="0" w:line="308" w:lineRule="auto"/>
        <w:tabs>
          <w:tab w:leader="none" w:pos="22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Level 2 </w:t>
      </w:r>
      <w:r>
        <w:rPr>
          <w:rFonts w:ascii="Arial" w:cs="Arial" w:eastAsia="Arial" w:hAnsi="Arial"/>
          <w:sz w:val="17"/>
          <w:szCs w:val="17"/>
          <w:color w:val="auto"/>
        </w:rPr>
        <w:t>- Valuations based on quoted prices for similar assets or liabilities, quoted prices for identical assets or liabilities in markets that are not active,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other inputs that are observable or can be corroborated by observable data for substantially the full term of the assets or liabilities.</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Level 3 </w:t>
      </w:r>
      <w:r>
        <w:rPr>
          <w:rFonts w:ascii="Arial" w:cs="Arial" w:eastAsia="Arial" w:hAnsi="Arial"/>
          <w:sz w:val="16"/>
          <w:szCs w:val="16"/>
          <w:color w:val="auto"/>
        </w:rPr>
        <w:t>- Valuations based on inputs that are supported by little or no market activity and that are significant to the fair value of the assets or liabilities.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value of cash and cash equivalents, notes receivable, accounts payable and accrued expenses and other current liabilities approximates their fair values due to the short-term or on demand nature of these instruments. There were no transfers between fair value measurement levels during the three and nine months ended September 30, 2021. The Company accounted for the warrants as liabilities in accordance with ASC 815-40 and are presented within warrant liabilities on the condensed consolidated balance sheets. The warrant liabilities are measured at fair value at inception and on a recurring basis, with changes in fair value presented within change in fair value of warrant liabilities in the condensed consolidated statements of operations and comprehensive loss.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Public Warrants and Private Warrants were carried at fair value as of September 30, 2021.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September 30, 2021, the significant assumptions used in preparing the binomial lattice model for valuing the Private Warrants liability include (i) volatility of 52.3%, (ii) risk-free interest rate of 0.91%, (iii) strike price ($11.50), (iv) fair value of common stock ($8.34), and (v) expected life of 4.7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Mutual funds were valued using quoted market prices and accordingly were classified as Level 1.</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 by level, within the fair value hierarchy as of September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8"/>
          </w:tcPr>
          <w:p>
            <w:pPr>
              <w:ind w:left="520"/>
              <w:spacing w:after="0"/>
              <w:rPr>
                <w:sz w:val="20"/>
                <w:szCs w:val="20"/>
                <w:color w:val="auto"/>
              </w:rPr>
            </w:pPr>
            <w:r>
              <w:rPr>
                <w:rFonts w:ascii="Arial" w:cs="Arial" w:eastAsia="Arial" w:hAnsi="Arial"/>
                <w:sz w:val="18"/>
                <w:szCs w:val="18"/>
                <w:b w:val="1"/>
                <w:bCs w:val="1"/>
                <w:color w:val="auto"/>
              </w:rPr>
              <w:t>Fair Value Measurement Level</w:t>
            </w:r>
          </w:p>
        </w:tc>
      </w:t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02"/>
        </w:trPr>
        <w:tc>
          <w:tcPr>
            <w:tcW w:w="5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 - Cash and cash equivalents</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59,896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Mutual funds - Marketable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438,102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438,102</w:t>
            </w:r>
          </w:p>
        </w:tc>
        <w:tc>
          <w:tcPr>
            <w:tcW w:w="18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497,998</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497,998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7,782</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8,176</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7,782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ind w:left="8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394</w:t>
            </w: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had $36,040 of money market funds included in cash and cash equivalents as of December 31, 2020. These assets were valued using quoted market prices and accordingly were classified as Level 1. The fair value of the notes payable using Level 2 inputs was deemed to approximate the carrying value as of December 31, 2020. There were no transfers between fair value measurement levels during the year ended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ind w:left="60"/>
              <w:spacing w:after="0"/>
              <w:rPr>
                <w:sz w:val="20"/>
                <w:szCs w:val="20"/>
                <w:color w:val="auto"/>
              </w:rPr>
            </w:pPr>
            <w:r>
              <w:rPr>
                <w:rFonts w:ascii="Arial" w:cs="Arial" w:eastAsia="Arial" w:hAnsi="Arial"/>
                <w:sz w:val="18"/>
                <w:szCs w:val="18"/>
                <w:b w:val="1"/>
                <w:bCs w:val="1"/>
                <w:color w:val="auto"/>
              </w:rPr>
              <w:t>5. PROPERTY AND EQUIPMENT, NET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8"/>
                <w:szCs w:val="18"/>
                <w:color w:val="auto"/>
              </w:rPr>
              <w:t>Property and equipment, net, are recorded at historical cost and consist of the following:</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CEEFF"/>
          </w:tcPr>
          <w:p>
            <w:pPr>
              <w:spacing w:after="0"/>
              <w:rPr>
                <w:sz w:val="18"/>
                <w:szCs w:val="18"/>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(3,944)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(3,232)</w:t>
            </w:r>
          </w:p>
        </w:tc>
      </w:tr>
      <w:tr>
        <w:trPr>
          <w:trHeight w:val="257"/>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amounted to $264 and $222 for the three months ended September 30, 2021 and 2020, respectively, and $712 and $676 for the nine months ended September 30,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Contracted services</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Legal fees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57"/>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received loan proceeds of $1,749 under the PPP. The Company used the loan proceeds for eligible purposes, including payroll, benefits, rent and utilities, and maintains its payroll levels. The Company accounted for the loan as debt.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Business Combination as discussed in Note 3 “Business Combination”, the Company repaid the loan in full in June 2021. The Company recognized an insignificant amount of interest expense in the condensed consolidated statements of operations and comprehensive loss related to the loan.</w:t>
      </w:r>
    </w:p>
    <w:p>
      <w:pPr>
        <w:sectPr>
          <w:pgSz w:w="11900" w:h="16838" w:orient="portrait"/>
          <w:cols w:equalWidth="0" w:num="1">
            <w:col w:w="11240"/>
          </w:cols>
          <w:pgMar w:left="320" w:top="122"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issued five series of convertible preferred stock, Series A through Series E (the “Convertible Preferred Stock”). The following table summarizes the authorized, issued and outstanding Convertible Preferred Stock of the Company immediately prior to the Business Combination and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Initial</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Issuance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2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6"/>
              </w:rPr>
              <w:t>Proceeds 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Liquidation</w:t>
            </w: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3"/>
              </w:rPr>
              <w:t>Class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 per</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 and</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Exchange</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5"/>
              </w:rPr>
              <w:t>Issuance</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Net Carrying</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Price per</w:t>
            </w:r>
          </w:p>
        </w:tc>
      </w:tr>
      <w:tr>
        <w:trPr>
          <w:trHeight w:val="241"/>
        </w:trPr>
        <w:tc>
          <w:tcPr>
            <w:tcW w:w="2000" w:type="dxa"/>
            <w:vAlign w:val="bottom"/>
          </w:tcPr>
          <w:p>
            <w:pPr>
              <w:spacing w:after="0"/>
              <w:rPr>
                <w:sz w:val="20"/>
                <w:szCs w:val="20"/>
                <w:color w:val="auto"/>
              </w:rPr>
            </w:pPr>
            <w:r>
              <w:rPr>
                <w:rFonts w:ascii="Arial" w:cs="Arial" w:eastAsia="Arial" w:hAnsi="Arial"/>
                <w:sz w:val="18"/>
                <w:szCs w:val="18"/>
                <w:b w:val="1"/>
                <w:bCs w:val="1"/>
                <w:color w:val="auto"/>
              </w:rPr>
              <w:t>Class</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Authorized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w:t>
            </w:r>
          </w:p>
        </w:tc>
      </w:tr>
      <w:tr>
        <w:trPr>
          <w:trHeight w:val="216"/>
        </w:trPr>
        <w:tc>
          <w:tcPr>
            <w:tcW w:w="2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0.04</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25,000,000</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Series B</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0.80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31,250,000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31,250,000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1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2015-2016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4.61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8,164,323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8,164,323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37,310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Series D</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4.71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12,738,853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12,738,853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59,586</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2018 - 2020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5.36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14,925,373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13,636,092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92,078,549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90,789,268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Closing of the Business Combination, there were no significant changes to the terms of the Convertible Preferred Stock as compared to December 31, 2020. Upon the Closing of the Business Combination, the Convertible Preferred Stock converted into Class A and Class B common stock based on the Business Combination’s Exchange Ratio of 0.7975 of the Company’s shares for each Legacy Quantum-Si share. The Company recorded the conversion at the carrying value of the Convertible Preferred Stock at the time of the Closing. There are no shares of Convertible Preferred Stock outstanding as of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as described in Note 3 “Business Combination”.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nine months ended September 30, 2021, the Company granted 3,104,585 option awards subject to service and/or performance conditions. The service condition requires the participant’s continued employment with the Company through the applicable vesting date, and the performance condition requires the consummation of a contemplated business combination defined in the option award agreement. For options with performance conditions, stock-based compensation expense is only recognized if the performance conditions become probable to be satisfied. As the performance condition is a business combination, the performance condition would only become probable once a business combination was consummated. Accordingly, the Company recorded stock-based compensation expense of $2,381 for the nine months ended September 30, 2021 including $1,343 related to these option awards during the six months ended June 30, 2021, as the Business Combination was consummated during this time period. The stock-based compensation expense for stock options for the three and nine months ended September 30, 2021 was $1,556 and $4,608,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2013 Plan and the 2021 Plan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Weighted</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Average Exercise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2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Aggregate</w:t>
            </w:r>
          </w:p>
        </w:tc>
      </w:tr>
      <w:tr>
        <w:trPr>
          <w:trHeight w:val="234"/>
        </w:trPr>
        <w:tc>
          <w:tcPr>
            <w:tcW w:w="558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Intrinsic Value</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7,369,541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2.37</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3,104,585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9.07</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(2,163,932)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2.03</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(184,017)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8.64</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8,126,177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30,222</w:t>
            </w: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Options exercisable at September 30, 2021</w:t>
            </w:r>
          </w:p>
        </w:tc>
        <w:tc>
          <w:tcPr>
            <w:tcW w:w="1080" w:type="dxa"/>
            <w:vAlign w:val="bottom"/>
          </w:tcPr>
          <w:p>
            <w:pPr>
              <w:jc w:val="right"/>
              <w:spacing w:after="0"/>
              <w:rPr>
                <w:sz w:val="20"/>
                <w:szCs w:val="20"/>
                <w:color w:val="auto"/>
              </w:rPr>
            </w:pPr>
            <w:r>
              <w:rPr>
                <w:rFonts w:ascii="Arial" w:cs="Arial" w:eastAsia="Arial" w:hAnsi="Arial"/>
                <w:sz w:val="18"/>
                <w:szCs w:val="18"/>
                <w:color w:val="auto"/>
              </w:rPr>
              <w:t>4,371,817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2.61</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25,100</w:t>
            </w:r>
          </w:p>
        </w:tc>
      </w:tr>
      <w:tr>
        <w:trPr>
          <w:trHeight w:val="23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September 30, 2021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7,805,361</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4.78</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29,784</w:t>
            </w:r>
          </w:p>
        </w:tc>
      </w:tr>
      <w:tr>
        <w:trPr>
          <w:trHeight w:val="20"/>
        </w:trPr>
        <w:tc>
          <w:tcPr>
            <w:tcW w:w="5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nine months ended September 30, 2021, the Company granted 4,861,315 restricted stock unit (“RSU”) awards subject to service, performance and/or market conditions. The RSU awards include 1,703,460 and 170,346 RSU awards to the Company’s Chief Executive Officer and General Counsel, respectively, subject to service and performance conditions, 1,800,000 RSU awards to the Executive Chairman of the Company and two members of the board of directors subject to service and/or performance conditions, and 453,777 RSU awards to the Company’s Chief Executive Officer subject to service, market and performance conditions. The service condition requires the participant’s continued employment with the Company through the applicable vesting date, and the performance condition requires the consummation of a contemplated business combination or financing transaction defined in the award agreement. The market condition requires that the Company’s Class A common stock subsequent to a business combination trades above a specified level for a defined period of time, or that a subsequent financing transaction meets defined pricing thresholds and that the Company’s common stock subsequent to a business combination trades above a specified level for a defined period of time. For RSU awards with performance conditions, stock-based compensation expense is only recognized if the performance conditions become probable to be satisfied. As the performance condition is a business combination or financing transaction, the performance condition would only become probable once a business combination or financing transaction was consummated. Accordingly, the Company recorded stock-based compensation expense of $13,089 for the nine months ended September 30, 2021 including $7,393 related to these RSU awards during the six months ended June 30, 2021, as the Business Combination was consummated during this time period. The stock-based compensation expense for RSU awards for the three and nine months ended September 30,2021 was $5,840 and $13,232,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A summary of the RSU activity under the 2013 Plan and the 2021 Plan is presented in the table below:</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86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2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Average Grant-</w:t>
            </w:r>
          </w:p>
        </w:tc>
      </w:tr>
      <w:tr>
        <w:trPr>
          <w:trHeight w:val="234"/>
        </w:trPr>
        <w:tc>
          <w:tcPr>
            <w:tcW w:w="86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RSUs</w:t>
            </w:r>
          </w:p>
        </w:tc>
        <w:tc>
          <w:tcPr>
            <w:tcW w:w="22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4,861,315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00" w:type="dxa"/>
            <w:vAlign w:val="bottom"/>
          </w:tcPr>
          <w:p>
            <w:pPr>
              <w:ind w:left="180"/>
              <w:spacing w:after="0"/>
              <w:rPr>
                <w:sz w:val="20"/>
                <w:szCs w:val="20"/>
                <w:color w:val="auto"/>
              </w:rPr>
            </w:pPr>
            <w:r>
              <w:rPr>
                <w:rFonts w:ascii="Arial" w:cs="Arial" w:eastAsia="Arial" w:hAnsi="Arial"/>
                <w:sz w:val="18"/>
                <w:szCs w:val="18"/>
                <w:color w:val="auto"/>
              </w:rPr>
              <w:t>Restrictions lapsed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RSUs at September 30,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4,861,315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stock-based compensation expense is allocated to the following operating expense categories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7"/>
        </w:trPr>
        <w:tc>
          <w:tcPr>
            <w:tcW w:w="56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7,396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17,840</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1,601</w:t>
            </w:r>
          </w:p>
        </w:tc>
      </w:tr>
      <w:tr>
        <w:trPr>
          <w:trHeight w:val="20"/>
        </w:trPr>
        <w:tc>
          <w:tcPr>
            <w:tcW w:w="5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outstanding Convertible Preferred Stock and stock options, to the extent dilutive. Basic and diluted net loss per share was the same for each period presented as the inclusion of all common share equivalents would have been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net loss per share for the Company’s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290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7"/>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(65,567)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(27,068)</w:t>
            </w:r>
          </w:p>
        </w:tc>
      </w:tr>
      <w:tr>
        <w:trPr>
          <w:trHeight w:val="198"/>
        </w:trPr>
        <w:tc>
          <w:tcPr>
            <w:tcW w:w="5660" w:type="dxa"/>
            <w:vAlign w:val="bottom"/>
            <w:tcBorders>
              <w:top w:val="single" w:sz="8" w:color="CCEEFF"/>
            </w:tcBorders>
          </w:tcPr>
          <w:p>
            <w:pPr>
              <w:ind w:left="180"/>
              <w:spacing w:after="0" w:line="198" w:lineRule="exact"/>
              <w:rPr>
                <w:sz w:val="20"/>
                <w:szCs w:val="20"/>
                <w:color w:val="auto"/>
              </w:rPr>
            </w:pPr>
            <w:r>
              <w:rPr>
                <w:rFonts w:ascii="Arial" w:cs="Arial" w:eastAsia="Arial" w:hAnsi="Arial"/>
                <w:sz w:val="18"/>
                <w:szCs w:val="18"/>
                <w:b w:val="1"/>
                <w:bCs w:val="1"/>
                <w:color w:val="auto"/>
                <w:w w:val="95"/>
              </w:rPr>
              <w:t>Numerator for basic and diluted EPS - loss attributable to common</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5660" w:type="dxa"/>
            <w:vAlign w:val="bottom"/>
          </w:tcPr>
          <w:p>
            <w:pPr>
              <w:ind w:left="340"/>
              <w:spacing w:after="0"/>
              <w:rPr>
                <w:sz w:val="20"/>
                <w:szCs w:val="20"/>
                <w:color w:val="auto"/>
              </w:rPr>
            </w:pPr>
            <w:r>
              <w:rPr>
                <w:rFonts w:ascii="Arial" w:cs="Arial" w:eastAsia="Arial" w:hAnsi="Arial"/>
                <w:sz w:val="18"/>
                <w:szCs w:val="18"/>
                <w:b w:val="1"/>
                <w:bCs w:val="1"/>
                <w:color w:val="auto"/>
              </w:rPr>
              <w:t>stockholders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(18,091)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(8,557)</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(65,567)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(27,068)</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136,456,848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5,360,497</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60,104,891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5,350,771</w:t>
            </w:r>
          </w:p>
        </w:tc>
      </w:tr>
      <w:tr>
        <w:trPr>
          <w:trHeight w:val="198"/>
        </w:trPr>
        <w:tc>
          <w:tcPr>
            <w:tcW w:w="566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3"/>
              </w:rPr>
              <w:t>Denominator for basic and diluted EPS - weighted-average common</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136,456,848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5,360,497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60,104,891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5,350,771</w:t>
            </w:r>
          </w:p>
        </w:tc>
      </w:tr>
      <w:tr>
        <w:trPr>
          <w:trHeight w:val="27"/>
        </w:trPr>
        <w:tc>
          <w:tcPr>
            <w:tcW w:w="5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b w:val="1"/>
                <w:bCs w:val="1"/>
                <w:color w:val="auto"/>
              </w:rPr>
              <w:t>Basic and diluted net loss per share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(5.06)</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Company was in a net loss position for all periods presented, the basic net loss per shares calculation excludes preferred stock as it does not participate in net losses of the Company. Additionally, 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ectPr>
          <w:pgSz w:w="11900" w:h="16838" w:orient="portrait"/>
          <w:cols w:equalWidth="0" w:num="1">
            <w:col w:w="11240"/>
          </w:cols>
          <w:pgMar w:left="320" w:top="122"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66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640" w:type="dxa"/>
            <w:vAlign w:val="bottom"/>
          </w:tcPr>
          <w:p>
            <w:pPr>
              <w:spacing w:after="0"/>
              <w:rPr>
                <w:sz w:val="24"/>
                <w:szCs w:val="24"/>
                <w:color w:val="auto"/>
              </w:rPr>
            </w:pPr>
          </w:p>
        </w:tc>
        <w:tc>
          <w:tcPr>
            <w:tcW w:w="2900" w:type="dxa"/>
            <w:vAlign w:val="bottom"/>
            <w:gridSpan w:val="4"/>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680" w:type="dxa"/>
            <w:vAlign w:val="bottom"/>
            <w:gridSpan w:val="4"/>
          </w:tcPr>
          <w:p>
            <w:pP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10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8,126,177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7,978,697</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8,126,177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7,978,697</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Outstanding restricted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4,861,315</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4,861,315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3,968,319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Outstanding convertible preferred stock (Series A through 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68,684,758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68,684,758</w:t>
            </w: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46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16,955,811</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76,663,455</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16,955,811</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76,663,455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three months ended September 30, 2021, the Company identified a misstatement in the basic and diluted net loss per share calculation including the weighted-average common stock for the three and six months ended June 30, 2021. The Company has evaluated this correction in accordance with ASC 250-10-S99, </w:t>
      </w:r>
      <w:r>
        <w:rPr>
          <w:rFonts w:ascii="Arial" w:cs="Arial" w:eastAsia="Arial" w:hAnsi="Arial"/>
          <w:sz w:val="18"/>
          <w:szCs w:val="18"/>
          <w:i w:val="1"/>
          <w:iCs w:val="1"/>
          <w:color w:val="auto"/>
        </w:rPr>
        <w:t>Securities and Exchange Commission “SEC” Materials</w:t>
      </w:r>
      <w:r>
        <w:rPr>
          <w:rFonts w:ascii="Arial" w:cs="Arial" w:eastAsia="Arial" w:hAnsi="Arial"/>
          <w:sz w:val="18"/>
          <w:szCs w:val="18"/>
          <w:color w:val="auto"/>
        </w:rPr>
        <w:t xml:space="preserve"> (formerly SEC Staff Accounting Bulletin 99, </w:t>
      </w:r>
      <w:r>
        <w:rPr>
          <w:rFonts w:ascii="Arial" w:cs="Arial" w:eastAsia="Arial" w:hAnsi="Arial"/>
          <w:sz w:val="18"/>
          <w:szCs w:val="18"/>
          <w:i w:val="1"/>
          <w:iCs w:val="1"/>
          <w:color w:val="auto"/>
        </w:rPr>
        <w:t>Materiality</w:t>
      </w:r>
      <w:r>
        <w:rPr>
          <w:rFonts w:ascii="Arial" w:cs="Arial" w:eastAsia="Arial" w:hAnsi="Arial"/>
          <w:sz w:val="18"/>
          <w:szCs w:val="18"/>
          <w:color w:val="auto"/>
        </w:rPr>
        <w:t>) and concluded that the correction was not material. The Company plans on adjusting the basic and diluted net loss per share calculation including the weighted-average common stock in its future filings such as the Form 10-K for the year ending December 31, 2021 and in Form 10-Q for the three and six months ending June 30, 2022.</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adjustments to the Company’s previously issued condensed consolidated statements of operations and comprehensive loss and Note 10 to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 for the quarterly period ended June 30, 2021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June 30, 2021</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0"/>
              </w:rPr>
              <w:t>Six months ended June 30, 2021</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9"/>
              </w:rPr>
              <w:t>As Reported</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As Revised</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5"/>
              </w:rPr>
              <w:t>As Reported</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As Revised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11,696,084</w:t>
            </w: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36,890,502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8,629,355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21,296,162</w:t>
            </w: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b w:val="1"/>
                <w:bCs w:val="1"/>
                <w:color w:val="auto"/>
                <w:w w:val="96"/>
              </w:rPr>
              <w:t>Denominator for basic and diluted EPS - weighted-average common</w:t>
            </w: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11,696,084</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36,890,502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8,629,355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21,296,162</w:t>
            </w:r>
          </w:p>
        </w:tc>
        <w:tc>
          <w:tcPr>
            <w:tcW w:w="0" w:type="dxa"/>
            <w:vAlign w:val="bottom"/>
          </w:tcPr>
          <w:p>
            <w:pPr>
              <w:spacing w:after="0"/>
              <w:rPr>
                <w:sz w:val="1"/>
                <w:szCs w:val="1"/>
                <w:color w:val="auto"/>
              </w:rPr>
            </w:pPr>
          </w:p>
        </w:tc>
      </w:tr>
      <w:tr>
        <w:trPr>
          <w:trHeight w:val="27"/>
        </w:trPr>
        <w:tc>
          <w:tcPr>
            <w:tcW w:w="5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Basic and diluted net loss per share</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(0.97)</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1"/>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11. WARRANT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September 30, 2021,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225" w:lineRule="exact"/>
        <w:rPr>
          <w:rFonts w:ascii="Arial" w:cs="Arial" w:eastAsia="Arial" w:hAnsi="Arial"/>
          <w:sz w:val="18"/>
          <w:szCs w:val="18"/>
          <w:color w:val="auto"/>
        </w:rPr>
      </w:pPr>
    </w:p>
    <w:p>
      <w:pPr>
        <w:jc w:val="both"/>
        <w:ind w:firstLine="8"/>
        <w:spacing w:after="0" w:line="263"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the Public Warrants under ASC 815-40, in conjunction with the SEC Division of Corporation Finance’s April 12, 2021 Public Statement, </w:t>
      </w:r>
      <w:r>
        <w:rPr>
          <w:rFonts w:ascii="Arial" w:cs="Arial" w:eastAsia="Arial" w:hAnsi="Arial"/>
          <w:sz w:val="18"/>
          <w:szCs w:val="18"/>
          <w:i w:val="1"/>
          <w:iCs w:val="1"/>
          <w:color w:val="auto"/>
        </w:rPr>
        <w:t>Staff Statement on Accounting and Reporting Considerations for Warrants Issued by Special Purpose Acquisition Companies (“SPACs”)</w:t>
      </w:r>
      <w:r>
        <w:rPr>
          <w:rFonts w:ascii="Arial" w:cs="Arial" w:eastAsia="Arial" w:hAnsi="Arial"/>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should be classified as a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2021,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w:t>
      </w:r>
    </w:p>
    <w:p>
      <w:pPr>
        <w:sectPr>
          <w:pgSz w:w="11900" w:h="16838" w:orient="portrait"/>
          <w:cols w:equalWidth="0" w:num="1">
            <w:col w:w="11240"/>
          </w:cols>
          <w:pgMar w:left="320" w:top="114" w:right="339" w:bottom="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Private Warrants under ASC 815-40,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should be classified as a liability.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warrant liabilities was $11,618 and $8,176 as of the Closing of the Business Combination and as of September 30, 2021, respectively. The Company recognized a gain of $6,975 and $3,442, respectively, as a change in fair value of warrant liabilities in the condensed consolidated statement of operations and comprehensive loss for the three and nine months ended September 30, 2021. There were no exercises or redemptions of the Public Warrants or Private Warrants during the three and nine months ended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Income taxes for the three and nine months ended September 30, 2021 and 2020 are recorded at the Company’s estimated annual effective income tax rate, subject to adjustments for discrete events, if they occur. The Company’s estimated annual effective tax rate was 0.0% for the three and nine months ended September 30, 2021 and 2020. The primary reconciling items between the federal statutory rate of 21.0% for these periods and the Company’s overall effective tax rate of 0.0% were related to the effects of deferred state income taxes, nondeductible stock-based compensation, changes in the fair value of warrant liabilities, research and development credits, and the valuation allowance recorded against the full amount of its net deferred tax assets.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September 30, 2021 and 2020 since management believes that based on the earnings history of the Company, it is more likely than not that the benefits of these assets will not be realized.</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Business Combination, as well as any other equity issuances during the year, the Company is currently evaluating whether an ownership change has occurred under Section 382 of the Internal Revenue Code of 1986, as amended, and whether the Company’s ability to use its pre-change net operating loss and tax credit carryforwards will be limited in future periods. The Company expects to complete its analysis during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utilizes and subleases office and laboratory space in a building owned by a related party. The Company paid $80 and $241 for this space for the three and nine months ended September 30, 2021 and 2020,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and subleases other office and laboratory spaces from 4Catalyzer Corporation (“4C”), a company under common ownership. The Company paid $36 and $36 for these spaces for the three months ended September 30, 2021 and 2020, respectively, and $112 and $117 for these spaces for the nine months ended September 30, 2021 and 2020,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made payments to 4C to prefund the acquisition of certain shared capital assets, reflected in Other assets - related party on the condensed consolidated balance sheets of $0 and $738 at September 30, 2021 and December 31, 2020, respectively.</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was a party to an Amended and Restated Technology Services Agreement (the “ARTSA”), most recently amended on November 11, 2020, by and among 4C, the Company and other participant companies controlled by the Rothberg family.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As a result, the Company wrote off Other assets – related party of $700 which was recorded in General and administrative in the condensed consolidated statements of operations and comprehensive loss for the nine months ended September 30, 2021.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$203 and $396 during the three months ended September 30, 2021 and 2020, respectively, and $1,782 and $1,073 during the nine months ended September 30, 2021 and 2020, respectively. The amounts advanced and due from 4C at September 30, 2021 and December 31, 2020, related to operating expenses was $0 and $13, respectively, and are included in Prepaid expenses and other current assets on the condensed consolidated balance sheets.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ARTSA also provided for the participant companies to provide other services to each other. The Company also had transactions with other entities under common ownership, which included payments made to third parties on behalf of the Company. The amounts remaining payable at September 30, 2021 and December 31, 2020 were $170 and $28, respectively, and are included in the Accounts payable on the Company’s condensed consolidated balance sheets. In addition, the Company had transactions with these other entities under common ownership which included payments made by the Company to third parties on behalf of the other entities. The amounts remaining payable at September 30, 2021 and December 31, 2020 are in the aggregate $158 and $69, respectively, and are reflected in the Prepaid expenses and other current assets on the Company’s condensed consolidated balance sheets. All amounts were paid or received throughout the year within 30 days after the end of each month.</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is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The Company has not made any payments under the Collaboration for the three and nine months ended September 30, 2021.</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promissory notes with the President and Chief Operating Officer and other Company employees in amounts totaling $0 and $150 as of September 30, 2021 and December 31, 2020,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Dr. Rothberg and the Company entered into an Executive Chairman Agreement as of June 10, 2021 (the “Executive Chairman Agreement”) in which Dr. Rothberg provides consulting services to the Company for $400 annually. In addition to the Executive Chairman Agreement, Dr. Rothberg also receives fees as the Company’s Chairman of the Board of Directors and a member of the Nominating and Corporate Governance Committee. Quantum-Si paid $25 to Dr. Rothberg for the three and nine months ended September 30, 2021 for the services that were provided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acquired equipment under a capital lease-to-own agreement which commenced July 2019 and ended June 2021. The total value of the equipment acquired through capital lease arrangements was $124. Total interest expense was $0 and $1 during the three months ended September 30, 2021 and 2020, respectively, and $1 and $5 during the nine months ended September 30, 2021 and 2020, respectively. As of September 30, 2021, there was no remaining unamortized balance of the lease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June 2021, the Company entered into an operating lease for a facility in San Diego, California.  The lease commenced in the third quarter of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Minimum rental payments under operating leases are recognized on a straight-line basis over the term of the lease.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schedule of future minimum rental payments under a non-cancelable operating lease with initial terms in excess of one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5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6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2022</w:t>
            </w:r>
          </w:p>
        </w:tc>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2024</w:t>
            </w:r>
          </w:p>
        </w:tc>
        <w:tc>
          <w:tcPr>
            <w:tcW w:w="5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Thereafter</w:t>
            </w:r>
          </w:p>
        </w:tc>
        <w:tc>
          <w:tcPr>
            <w:tcW w:w="57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100" w:type="dxa"/>
            <w:vAlign w:val="bottom"/>
          </w:tcPr>
          <w:p>
            <w:pPr>
              <w:spacing w:after="0"/>
              <w:rPr>
                <w:sz w:val="19"/>
                <w:szCs w:val="19"/>
                <w:color w:val="auto"/>
              </w:rPr>
            </w:pPr>
          </w:p>
        </w:tc>
      </w:tr>
      <w:tr>
        <w:trPr>
          <w:trHeight w:val="256"/>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future minimum rental payments</w:t>
            </w:r>
          </w:p>
        </w:tc>
        <w:tc>
          <w:tcPr>
            <w:tcW w:w="5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4280" w:type="dxa"/>
            <w:vAlign w:val="bottom"/>
          </w:tcPr>
          <w:p>
            <w:pPr>
              <w:spacing w:after="0"/>
              <w:rPr>
                <w:sz w:val="24"/>
                <w:szCs w:val="24"/>
                <w:color w:val="auto"/>
              </w:rPr>
            </w:pPr>
          </w:p>
        </w:tc>
        <w:tc>
          <w:tcPr>
            <w:tcW w:w="5740" w:type="dxa"/>
            <w:vAlign w:val="bottom"/>
          </w:tcPr>
          <w:p>
            <w:pPr>
              <w:jc w:val="right"/>
              <w:ind w:right="4239"/>
              <w:spacing w:after="0"/>
              <w:rPr>
                <w:sz w:val="20"/>
                <w:szCs w:val="20"/>
                <w:color w:val="auto"/>
              </w:rPr>
            </w:pPr>
            <w:r>
              <w:rPr>
                <w:rFonts w:ascii="Arial" w:cs="Arial" w:eastAsia="Arial" w:hAnsi="Arial"/>
                <w:sz w:val="14"/>
                <w:szCs w:val="14"/>
                <w:color w:val="auto"/>
              </w:rPr>
              <w:t>19</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80" w:type="dxa"/>
            <w:vAlign w:val="bottom"/>
            <w:tcBorders>
              <w:bottom w:val="single" w:sz="8" w:color="auto"/>
            </w:tcBorders>
          </w:tcPr>
          <w:p>
            <w:pPr>
              <w:spacing w:after="0"/>
              <w:rPr>
                <w:sz w:val="4"/>
                <w:szCs w:val="4"/>
                <w:color w:val="auto"/>
              </w:rPr>
            </w:pPr>
          </w:p>
        </w:tc>
        <w:tc>
          <w:tcPr>
            <w:tcW w:w="5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Licenses related to certain intellectual property: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licenses certain intellectual property, some of which may be utilized in its future product offering. To preserve the right to use such intellectual property, the Company is required to make annual minimum fixed payments totaling $220. Once the Company commercializes its product and begins to generate revenues, there will be royalties payable by the Company based on the current anticipated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The Company did not make any matching contributions to the 401(k) plan for the three and nine months ended September 30, 2021 and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condensed consolidated statements of operations and comprehensive loss in connection with the indemnification provisions have not been material.</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29, 2021, the Company entered into an agreement with a third-party service provider pursuant to which the Company paid $3,800, which is recorded in General and administrative in the condensed consolidated statements of operations and comprehensive loss for the nine months ended September 30, 2021, in connection with the Closing of the Business Combination as discussed in Note 3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5, 2021, the Company acquired Majelac Technologies LLC (“Majelac”), a privately-owned company providing semiconductor packaging and integrated circuit assembly services located in Pennsylvania. The Company acquired Majelac for an aggregate purchase price equal to $5,000 in cash plus $132 in reimbursement for certain recently purchased equipment, 595,562 shares of Class A common stock subject to restrictions and up to $800 of earn-out payments. Approximately 10% of cash and shares were held back at closing to satisfy any post-closing indemnity claims by the Company. Quantum-Si expects the acquisition to secure semiconductor chip assembly and packaging capabilities in-house for the Company in order to secure its supply chain and support scaling commercialization efforts. Prior to the acquisition, Majelac was a vendor of the Company.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2020 contained in our proxy statement/prospectus filed with the Securities and Exchange Commission (the “SEC”) on May 14, 2021. This discussion contains forward looking statements and involves numerous risks and uncertainties, including, but not limited to, those described in the “Risk Factors” section of our Quarterly Report on Form 10-Q for the quarterly period ended June 30, 2021, filed with the SEC on August 16, 2021, and this Quarterly Report on Form 10-Q. Actual results may differ materially from those contained in any forward-looking statements. Unless the context otherwise requires, references to “we”, “us”, “our”, and “the Company” are intended to mean the business and operations of Quantum-Si Incorporated and its consolidated subsidiaries. The unaudited condensed consolidated financial statements for the three and nine months ended September 30, 2021 and 2020, respectively, present the financial position and results of operations of Quantum-Si Incorporated and its consolidated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an innovative life sciences company with the mission of transforming single molecule analysis and democratizing its use by providing researchers and clinicians access to the proteome, the set of proteins expressed within a cell. We have developed a proprietary universal single molecule detection platform that we are first applying to proteomics to enable Next Generation Protein Sequencing (“NGPS”), the ability to sequence proteins in a massively parallel fashion (rather than sequentially, one at a time), and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successfully launch and commercialize our platform, for research use only, in 2022, and have initiated our early access limited release to enable key thought leaders early access to our platform in 2021. We believe we are the first company to successfully enable NGPS on a semiconductor chip, thus digitizing a massive proteomics opportunity, which allows for a massively parallel solution at the ultimate level of sensitivity —single molecule detection.</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platform will offer a differentiated end-to-end workflow solution in a rapidly evolving proteomics tools market. Within our initial focus market of proteomics, our workflow will be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expanded our Platinum early access program to additional sites with participation from leading academic centers and key industry partners. The early access program introduces the Platinum single molecule sequencing system to key opinion leaders across the globe, for both expansion and development of applications and workflows.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our operating results, financial condition and cash flows. The COVID-19 pandemic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currently under development.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 The full extent to which the COVID-19 pandemic will directly or indirectly impact our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w:t>
      </w:r>
    </w:p>
    <w:p>
      <w:pPr>
        <w:sectPr>
          <w:pgSz w:w="11900" w:h="16838" w:orient="portrait"/>
          <w:cols w:equalWidth="0" w:num="1">
            <w:col w:w="11240"/>
          </w:cols>
          <w:pgMar w:left="320" w:top="121"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estimates of the impact on our business may change based on new information that may emerge concerning COVID-19 and the actions to contain it or treat its impact and the economic impact on local, regional, national and international markets. While we are unable to predict the full impact that the COVID-19 pandemic will have on our future results of operations, liquidity and financial condition due to numerous uncertainties, including the duration of the pandemic, and the actions that may be taken by government authorities across the United States, it is not expected to result in any significant changes in costs going forward.</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incurred any significant impairment losses in the carrying values of our assets as a result of the COVID-19 pandemic and are not aware of any specific related event or circumstance that would require us to revise our estimates reflected in our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10, 2021, we consummated the previously announced Business Combination. The Business Combination was approved by HighCape’s stockholders at its special meeting held on June 9, 2021. The transaction resulted in the combined company being renamed “Quantum-Si Incorporated” and Legacy Quantum-Si being renamed “Q-SI Operations Inc.” The combined company’s Class A common stock and warrants to purchase Class A common stock commenced trading on Nasdaq on June 11, 2021 under the symbol “QSI” and “QSIAW”, respectively. As a result of the Business Combination, we received proceeds of approximately $511.2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expenses primarily consist of personnel costs and benefits, stock-based compensation, lab supplies, consulting and professional fees, fabrication services, rent expense, software and other outsourced expenses. Research and development expenses are expensed as incurred. All of our research and development expenses are related to developing new products and services. Consulting expenses are related to general development activities, while fabrication services include certain third-party engineering costs. We expect to continue to make substantial investments in research and development activities in the future as we continue to invest in developing technologies in preparation for our anticipated commercialization.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primarily consist of personnel costs and benefits, stock-based compensation, patent and filing fees, facilities costs, depreciation expense, office expenses and outside services. Outside services consist of professional services, legal and other professional fees. We expect our general and administrative expenses to increase in the foreseeable future, mainly as a result of operating as a public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and marketing expenses primarily consist of personnel costs and benefits, stock-based compensation as well as consulting, product advertising and marketing. We expect sales and marketing expenses to increase in absolute dollars as we near our commercial launch date (expected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primarily consists of interest that was paid on the Paycheck Protection Program (“PPP”)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primarily consists of dividends earned on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primarily consists of the change in the fair value of our publicly-traded warrants (the “Public Warrants”) and our warrants sold in a private placement (the “Private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primarily consists of unrealized losses on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September 30, 2021 and 2020. Based on the available evidence, we believe that it is more likely than not that we will be unable to utilize all of our deferred tax assets in the future.</w:t>
      </w:r>
    </w:p>
    <w:p>
      <w:pPr>
        <w:sectPr>
          <w:pgSz w:w="11900" w:h="16838" w:orient="portrait"/>
          <w:cols w:equalWidth="0" w:num="1">
            <w:col w:w="11240"/>
          </w:cols>
          <w:pgMar w:left="320" w:top="121"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discussion of our results of operations for the three and nine months ended September 30, 2021 and 2020 and our accounting policies are described in Note 2 “Summary of Significant Accounting Policies” in our financial statements included elsewhere in this Quarterly Report on Form 10-Q.</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w w:val="97"/>
              </w:rPr>
              <w:t>Three months ended September 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8"/>
          </w:tcPr>
          <w:p>
            <w:pPr>
              <w:jc w:val="right"/>
              <w:ind w:right="72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66.9%</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32,190</w:t>
            </w: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696.4%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5,157</w:t>
            </w:r>
          </w:p>
        </w:tc>
        <w:tc>
          <w:tcPr>
            <w:tcW w:w="20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563.4%</w:t>
            </w:r>
          </w:p>
        </w:tc>
      </w:tr>
      <w:tr>
        <w:trPr>
          <w:trHeight w:val="223"/>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306.8%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229.3%</w:t>
            </w:r>
          </w:p>
        </w:tc>
      </w:tr>
      <w:tr>
        <w:trPr>
          <w:trHeight w:val="223"/>
        </w:trPr>
        <w:tc>
          <w:tcPr>
            <w:tcW w:w="324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25,175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8,552</w:t>
            </w:r>
          </w:p>
        </w:tc>
        <w:tc>
          <w:tcPr>
            <w:tcW w:w="16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69,118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27,156</w:t>
            </w:r>
          </w:p>
        </w:tc>
        <w:tc>
          <w:tcPr>
            <w:tcW w:w="200" w:type="dxa"/>
            <w:vAlign w:val="bottom"/>
          </w:tcPr>
          <w:p>
            <w:pPr>
              <w:spacing w:after="0"/>
              <w:rPr>
                <w:sz w:val="19"/>
                <w:szCs w:val="19"/>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154.5%</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(25,175)</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(8,552)</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(69,118)</w:t>
            </w: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(27,156)</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36850.0%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22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31250.0%</w:t>
            </w:r>
          </w:p>
        </w:tc>
      </w:tr>
      <w:tr>
        <w:trPr>
          <w:trHeight w:val="27"/>
        </w:trPr>
        <w:tc>
          <w:tcPr>
            <w:tcW w:w="3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b w:val="1"/>
                <w:bCs w:val="1"/>
                <w:color w:val="auto"/>
                <w:w w:val="95"/>
              </w:rPr>
              <w:t>Loss before provision for income taxes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(18,091)</w:t>
            </w:r>
          </w:p>
        </w:tc>
        <w:tc>
          <w:tcPr>
            <w:tcW w:w="22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(8,557)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(65,567)</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(27,068)</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142.2%</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(18,091)</w:t>
            </w: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(8,557)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111.4%</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(65,567)</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(27,068)</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142.2%</w:t>
            </w:r>
          </w:p>
        </w:tc>
      </w:tr>
      <w:tr>
        <w:trPr>
          <w:trHeight w:val="21"/>
        </w:trPr>
        <w:tc>
          <w:tcPr>
            <w:tcW w:w="3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5"/>
        </w:trPr>
        <w:tc>
          <w:tcPr>
            <w:tcW w:w="590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8"/>
              </w:rPr>
              <w:t>Comparison of the Three Months Ended September 30, 2021 and 2020</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00" w:type="dxa"/>
            <w:vAlign w:val="bottom"/>
            <w:gridSpan w:val="9"/>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220" w:type="dxa"/>
            <w:vAlign w:val="bottom"/>
          </w:tcPr>
          <w:p>
            <w:pPr>
              <w:spacing w:after="0"/>
              <w:rPr>
                <w:sz w:val="24"/>
                <w:szCs w:val="24"/>
                <w:color w:val="auto"/>
              </w:rPr>
            </w:pPr>
          </w:p>
        </w:tc>
        <w:tc>
          <w:tcPr>
            <w:tcW w:w="238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increased by $4.4 million, or 66.9%, for the three months ended September 30, 2021 compared to the three months ended September 30, 2020. This increase was primarily due to increases of $2.7 million in personnel costs as a result of increased headcount, including $1.2 million of stock-based compensation expense, as well as other internal and external product development activities.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740" w:type="dxa"/>
            <w:vAlign w:val="bottom"/>
          </w:tcPr>
          <w:p>
            <w:pPr>
              <w:spacing w:after="0"/>
              <w:rPr>
                <w:sz w:val="24"/>
                <w:szCs w:val="24"/>
                <w:color w:val="auto"/>
              </w:rPr>
            </w:pP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696.4%</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increased by $11.4 million for the three months ended September 30, 2021 compared to the three months ended September 30, 2020. This increase is primarily due to increases of $7.4 million in personnel costs as a result of increased headcount, including $5.6 million of stock-based compensation expense associated with investments to scale up our administrative and executive functions. In addition to personnel costs, the increase was primarily due to an increase in consulting, legal and professional fees and other general and administrative costs incremental to being a publicly traded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Sales and marketing</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740" w:type="dxa"/>
            <w:vAlign w:val="bottom"/>
          </w:tcPr>
          <w:p>
            <w:pPr>
              <w:spacing w:after="0"/>
              <w:rPr>
                <w:sz w:val="24"/>
                <w:szCs w:val="24"/>
                <w:color w:val="auto"/>
              </w:rPr>
            </w:pP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306.8%</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increased by $0.8 million for the three months ended September 30, 2021 compared to the three months ended September 30, 2020. This increase was primarily due to an increase of $0.3 million in personnel costs as a result of increased headcount, including $0.2 million of stock-based compensation expense, as well as an increase in consulting expenses.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85"/>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w w:val="96"/>
              </w:rPr>
              <w:t>Three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decreased for the three months ended September 30, 2021 compared to the three months ended September 30, 2020. The Company’s PPP loan was repaid in the second quarter of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4200" w:type="dxa"/>
            <w:vAlign w:val="bottom"/>
          </w:tcPr>
          <w:p>
            <w:pPr>
              <w:spacing w:after="0"/>
              <w:rPr>
                <w:sz w:val="24"/>
                <w:szCs w:val="24"/>
                <w:color w:val="auto"/>
              </w:rPr>
            </w:pPr>
          </w:p>
        </w:tc>
        <w:tc>
          <w:tcPr>
            <w:tcW w:w="4480" w:type="dxa"/>
            <w:vAlign w:val="bottom"/>
            <w:gridSpan w:val="7"/>
          </w:tcPr>
          <w:p>
            <w:pPr>
              <w:ind w:left="1520"/>
              <w:spacing w:after="0"/>
              <w:rPr>
                <w:sz w:val="20"/>
                <w:szCs w:val="20"/>
                <w:color w:val="auto"/>
              </w:rPr>
            </w:pPr>
            <w:r>
              <w:rPr>
                <w:rFonts w:ascii="Arial" w:cs="Arial" w:eastAsia="Arial" w:hAnsi="Arial"/>
                <w:sz w:val="18"/>
                <w:szCs w:val="18"/>
                <w:b w:val="1"/>
                <w:bCs w:val="1"/>
                <w:color w:val="auto"/>
                <w:w w:val="96"/>
              </w:rPr>
              <w:t>Three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36850.0%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$0.7 million for the three months ended September 30, 2021 compared to the three months ended September 30, 2020 as a result of higher invested cash balances in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480" w:type="dxa"/>
            <w:vAlign w:val="bottom"/>
          </w:tcPr>
          <w:p>
            <w:pPr>
              <w:spacing w:after="0"/>
              <w:rPr>
                <w:sz w:val="24"/>
                <w:szCs w:val="24"/>
                <w:color w:val="auto"/>
              </w:rPr>
            </w:pPr>
          </w:p>
        </w:tc>
        <w:tc>
          <w:tcPr>
            <w:tcW w:w="4420" w:type="dxa"/>
            <w:vAlign w:val="bottom"/>
            <w:gridSpan w:val="8"/>
          </w:tcPr>
          <w:p>
            <w:pPr>
              <w:ind w:left="1300"/>
              <w:spacing w:after="0"/>
              <w:rPr>
                <w:sz w:val="20"/>
                <w:szCs w:val="20"/>
                <w:color w:val="auto"/>
              </w:rPr>
            </w:pPr>
            <w:r>
              <w:rPr>
                <w:rFonts w:ascii="Arial" w:cs="Arial" w:eastAsia="Arial" w:hAnsi="Arial"/>
                <w:sz w:val="18"/>
                <w:szCs w:val="18"/>
                <w:b w:val="1"/>
                <w:bCs w:val="1"/>
                <w:color w:val="auto"/>
              </w:rPr>
              <w:t>Three Months Ended September 30,</w:t>
            </w: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Change in fair value of warrant liabilities resulted in a gain of $7.0 million for the three months ended September 30, 2021 compared to the three months ended September 30, 2020. The warrant liabilities were recorded as part of the Business Combination and therefore did not exist in the prior year.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4200" w:type="dxa"/>
            <w:vAlign w:val="bottom"/>
          </w:tcPr>
          <w:p>
            <w:pPr>
              <w:spacing w:after="0"/>
              <w:rPr>
                <w:sz w:val="24"/>
                <w:szCs w:val="24"/>
                <w:color w:val="auto"/>
              </w:rPr>
            </w:pPr>
          </w:p>
        </w:tc>
        <w:tc>
          <w:tcPr>
            <w:tcW w:w="4480" w:type="dxa"/>
            <w:vAlign w:val="bottom"/>
            <w:gridSpan w:val="7"/>
          </w:tcPr>
          <w:p>
            <w:pPr>
              <w:ind w:left="1520"/>
              <w:spacing w:after="0"/>
              <w:rPr>
                <w:sz w:val="20"/>
                <w:szCs w:val="20"/>
                <w:color w:val="auto"/>
              </w:rPr>
            </w:pPr>
            <w:r>
              <w:rPr>
                <w:rFonts w:ascii="Arial" w:cs="Arial" w:eastAsia="Arial" w:hAnsi="Arial"/>
                <w:sz w:val="18"/>
                <w:szCs w:val="18"/>
                <w:b w:val="1"/>
                <w:bCs w:val="1"/>
                <w:color w:val="auto"/>
                <w:w w:val="96"/>
              </w:rPr>
              <w:t>Three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5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increased by $0.6 million for the three months ended September 30, 2021 compared to the three months ended September 30, 2020 primarily as a result of unrealized losses on cash invested in marketable securities.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w w:val="92"/>
              </w:rPr>
              <w:t>Comparison of the Nine Months Ended September 30, 2021 and 2020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480" w:type="dxa"/>
            <w:vAlign w:val="bottom"/>
          </w:tcPr>
          <w:p>
            <w:pPr>
              <w:spacing w:after="0"/>
              <w:rPr>
                <w:sz w:val="20"/>
                <w:szCs w:val="20"/>
                <w:color w:val="auto"/>
              </w:rPr>
            </w:pPr>
            <w:r>
              <w:rPr>
                <w:rFonts w:ascii="Arial" w:cs="Arial" w:eastAsia="Arial" w:hAnsi="Arial"/>
                <w:sz w:val="18"/>
                <w:szCs w:val="18"/>
                <w:b w:val="1"/>
                <w:bCs w:val="1"/>
                <w:color w:val="auto"/>
              </w:rPr>
              <w:t>Research and development</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480" w:type="dxa"/>
            <w:vAlign w:val="bottom"/>
          </w:tcPr>
          <w:p>
            <w:pPr>
              <w:spacing w:after="0"/>
              <w:rPr>
                <w:sz w:val="24"/>
                <w:szCs w:val="24"/>
                <w:color w:val="auto"/>
              </w:rPr>
            </w:pPr>
          </w:p>
        </w:tc>
        <w:tc>
          <w:tcPr>
            <w:tcW w:w="3200" w:type="dxa"/>
            <w:vAlign w:val="bottom"/>
            <w:gridSpan w:val="7"/>
          </w:tcPr>
          <w:p>
            <w:pPr>
              <w:ind w:left="320"/>
              <w:spacing w:after="0"/>
              <w:rPr>
                <w:sz w:val="20"/>
                <w:szCs w:val="20"/>
                <w:color w:val="auto"/>
              </w:rPr>
            </w:pPr>
            <w:r>
              <w:rPr>
                <w:rFonts w:ascii="Arial" w:cs="Arial" w:eastAsia="Arial" w:hAnsi="Arial"/>
                <w:sz w:val="18"/>
                <w:szCs w:val="18"/>
                <w:b w:val="1"/>
                <w:bCs w:val="1"/>
                <w:color w:val="auto"/>
                <w:w w:val="96"/>
              </w:rPr>
              <w:t>Nine Months Ended September 30,</w:t>
            </w:r>
          </w:p>
        </w:tc>
        <w:tc>
          <w:tcPr>
            <w:tcW w:w="16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increased by $11.0 million, or 52.0%, for the nine months ended September 30, 2021 compared to the nine months ended September 30, 2020. This increase was primarily due to an increase of $9.6 million in personnel costs as a result of increased headcount, including $3.1 million of stock-based compensation expense, as well as other internal and external product development activities.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78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563.4%</w:t>
            </w: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increased by $29.1 million for the nine months ended September 30, 2021 compared to the nine months ended September 30, 2020. This increase was primarily due to an increase of $16.3 million in personnel costs as a result of increased headcount, including $12.8 million of stock-based compensation expense associated with investments to scale up our administrative and executive functions. In addition to personnel costs, the increase was primarily due to an increase of $8.8 million in consulting, legal and professional fees, including a $3.8 million payment to a third-party service provider in connection with the Closing of the Business Combination and a write off of Other assets – related party of $0.7 million in connection with the termination of the Company’s participation under the Amended and Restated Technology Services Agreement, most recently amended on November 11, 2020, by and among 4Catalyzer Corporation (“4C”), the Company and other participant companies controlled by the Rothberg family, as well as other general and administrative costs incremental to being a publicly traded company.</w:t>
      </w:r>
    </w:p>
    <w:p>
      <w:pPr>
        <w:sectPr>
          <w:pgSz w:w="11900" w:h="16838" w:orient="portrait"/>
          <w:cols w:equalWidth="0" w:num="1">
            <w:col w:w="11240"/>
          </w:cols>
          <w:pgMar w:left="320" w:top="114"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4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Sales and marketing</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229.3%</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increased by $1.9 million for the nine months ended September 30, 2021 compared to the nine months ended September 30, 2020. This increase was primarily due to an increase of $1.2 million in personnel costs as a result of increased headcount, including $0.4 million of stock-based compensation expense, as well as an increase in consulting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4240" w:type="dxa"/>
            <w:vAlign w:val="bottom"/>
          </w:tcPr>
          <w:p>
            <w:pPr>
              <w:spacing w:after="0"/>
              <w:rPr>
                <w:sz w:val="24"/>
                <w:szCs w:val="24"/>
                <w:color w:val="auto"/>
              </w:rPr>
            </w:pPr>
          </w:p>
        </w:tc>
        <w:tc>
          <w:tcPr>
            <w:tcW w:w="4440" w:type="dxa"/>
            <w:vAlign w:val="bottom"/>
            <w:gridSpan w:val="7"/>
          </w:tcPr>
          <w:p>
            <w:pPr>
              <w:ind w:left="1560"/>
              <w:spacing w:after="0"/>
              <w:rPr>
                <w:sz w:val="20"/>
                <w:szCs w:val="20"/>
                <w:color w:val="auto"/>
              </w:rPr>
            </w:pPr>
            <w:r>
              <w:rPr>
                <w:rFonts w:ascii="Arial" w:cs="Arial" w:eastAsia="Arial" w:hAnsi="Arial"/>
                <w:sz w:val="18"/>
                <w:szCs w:val="18"/>
                <w:b w:val="1"/>
                <w:bCs w:val="1"/>
                <w:color w:val="auto"/>
                <w:w w:val="96"/>
              </w:rPr>
              <w:t>Nine Months Ended September 30,</w:t>
            </w:r>
          </w:p>
        </w:tc>
        <w:tc>
          <w:tcPr>
            <w:tcW w:w="16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PPP loan remained unchanged for the nine months ended September 30, 2021 compared to the nine months ended September 30,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78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increased by $0.6 million for the nine months ended September 30, 2021 compared to the nine months ended September 30, 2020 as a result of higher invested cash balances in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840" w:type="dxa"/>
            <w:vAlign w:val="bottom"/>
          </w:tcPr>
          <w:p>
            <w:pPr>
              <w:spacing w:after="0"/>
              <w:rPr>
                <w:sz w:val="24"/>
                <w:szCs w:val="24"/>
                <w:color w:val="auto"/>
              </w:rPr>
            </w:pPr>
          </w:p>
        </w:tc>
        <w:tc>
          <w:tcPr>
            <w:tcW w:w="3040" w:type="dxa"/>
            <w:vAlign w:val="bottom"/>
            <w:gridSpan w:val="7"/>
          </w:tcPr>
          <w:p>
            <w:pPr>
              <w:spacing w:after="0"/>
              <w:rPr>
                <w:sz w:val="20"/>
                <w:szCs w:val="20"/>
                <w:color w:val="auto"/>
              </w:rPr>
            </w:pPr>
            <w:r>
              <w:rPr>
                <w:rFonts w:ascii="Arial" w:cs="Arial" w:eastAsia="Arial" w:hAnsi="Arial"/>
                <w:sz w:val="18"/>
                <w:szCs w:val="18"/>
                <w:b w:val="1"/>
                <w:bCs w:val="1"/>
                <w:color w:val="auto"/>
              </w:rPr>
              <w:t>Nine Months Ended September 30,</w:t>
            </w: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Change in fair value of warrant liabilities resulted in a gain of $3.4 million for the nine months ended September 30, 2021 compared to the nine months ended September 30, 2020. The warrant liabilities were recorded as part of the Business Combination and therefore did not exist in the prior year.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780" w:type="dxa"/>
            <w:vAlign w:val="bottom"/>
          </w:tcPr>
          <w:p>
            <w:pPr>
              <w:spacing w:after="0"/>
              <w:rPr>
                <w:sz w:val="24"/>
                <w:szCs w:val="24"/>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16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31250.0%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increased by $0.6 million for the nine months ended September 30, 2021 compared to the nine months ended September 30, 2020 primarily as a result of unrealized losses on cash invested in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non-GAAP financial measures in order to assist readers of our condensed consolidated financial statements in understanding the core operating results that our management uses to evaluate the business and for financial planning purposes. Our non-GAAP financial measure, Adjusted EBITDA, provides an additional tool for investors to use in comparing our financial performance over multiple periods.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is a key performance measure that our management uses to assess our operating performance. Adjusted EBITDA facilitates internal comparisons of our operating performance on a more consistent basis. We use this performance measure for business planning purposes and forecasting. We believe that Adjusted EBITDA enhances an investor’s understanding of our financial performance as it is useful in assessing our operating performance from period-to-period by excluding certain items that we believe are not representative of our core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Adjusted EBITDA may not be comparable to similarly titled measures of other companies because they may not calculate this measure in the same manner. Adjusted EBITDA is not prepared in accordance with U.S. GAAP and should not be considered in isolation of, or as an alternative to, measures prepared in accordance with U.S. GAAP. When evaluating our performance, you should consider Adjusted EBITDA alongside other financial performance measures prepared in accordance with U.S. GAAP, including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calculate Adjusted EBITDA as net loss adjusted to exclude interest expense, dividend income, change in fair value of warrant liabilities, other expense, net, stock-based compensation expense, depreciation and amortization, and other non-recurring items. The other non-recurring items include costs related to discretionary transaction bonuses and other costs incurred with the Closing of the Business Combination.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Adjusted EBITDA to net loss, the most directly comparable financial measure calculated and presented in accordance with U.S.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1"/>
              </w:rPr>
              <w:t>Three Months Ended September 30,</w:t>
            </w:r>
          </w:p>
        </w:tc>
        <w:tc>
          <w:tcPr>
            <w:tcW w:w="160" w:type="dxa"/>
            <w:vAlign w:val="bottom"/>
          </w:tcPr>
          <w:p>
            <w:pPr>
              <w:spacing w:after="0"/>
              <w:rPr>
                <w:sz w:val="20"/>
                <w:szCs w:val="20"/>
                <w:color w:val="auto"/>
              </w:rPr>
            </w:pPr>
          </w:p>
        </w:tc>
        <w:tc>
          <w:tcPr>
            <w:tcW w:w="30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(18,091)</w:t>
            </w:r>
          </w:p>
        </w:tc>
        <w:tc>
          <w:tcPr>
            <w:tcW w:w="4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(65,567)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(27,068)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income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(3,442)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17,840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Transaction related costs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7,383</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(17,515)</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(43,183)</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inception, we have generated no revenue and have funded our operations primarily with proceeds from the issuance of equity to private investors. In addition, on June 10, 2021, we completed the Business Combination, and as a result we received proceeds of approximately $511.2 million on the day of the close. Our primary uses of liquidity have been operating expenses and capital expenditures. Cash flow from operations have been historically negative as we continue to invest in the development of our technology in next generation protein sequencing. We expect to incur negative operating cash flows on an annual basis for the foreseeable future until such time that we can successfully commercialize our products that are currently under development. However, we can provide no assurance that such products will be successfully developed and commercialized in the future.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funds raised in connection with the Business Combination will be sufficient to meet our liquidity, capital expenditure, and anticipated working capital requirements and fund our operations for at least the next 12 months. We expect to use the funds raised in connection with the Business Combination to further invest in the research and development of our products, for other operating expenses, business acquisitions and for working capital and general corporate purposes.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2021, we had cash and cash equivalents and investments in marketable securities totaling $500.2 million. Our future capital requirements may vary from those currently planned and will depend on various factors including the timing of product commercialization.</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commercialize our products in 2022. During the ramp up to commercialization, the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commercialization; (iii) changes we may make in our business or commercialization strategy; (iv) the impact of the COVID-19 pandemic; (v) costs of running a public company; and (vi) other items affecting our forecasted level of expenditures and use of cash resources including potential acquisitions.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(49,751)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(440,456)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(432)</w:t>
            </w:r>
          </w:p>
        </w:tc>
      </w:tr>
      <w:tr>
        <w:trPr>
          <w:trHeight w:val="223"/>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515,400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25,193</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(12,697)</w:t>
            </w:r>
          </w:p>
        </w:tc>
      </w:tr>
      <w:tr>
        <w:trPr>
          <w:trHeight w:val="20"/>
        </w:trPr>
        <w:tc>
          <w:tcPr>
            <w:tcW w:w="10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represents the cash receipts and disbursements related to our activities other than investing and financing activities. We expect cash provided by financing activities will continue to be our primary source of funds to support operating needs and capital expenditures for the foreseeable future.</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net cash used in operating activities of $49.8 million for the nine months ended September 30, 2021 was due primarily to a net loss of $65.6 million and a change in fair value of warrant liabilities of $3.4 million, partially offset by stock-based compensation expense of $17.8 million.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used in operating activities of $24.3 million for the nine months ended September 30, 2020 was due primarily to a net loss of $27.1 million, partially offset by stock-based compensation expense of $1.6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used in investing activities of $440.5 million in the nine months ended September 30, 2021 was due to purchases of marketable securities of $438.1 million and property and equipment of $2.4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net cash used in investing activities of $0.4 million in the nine months ended September 30, 2020 was due to purchases of property and equipment.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provided by financing activities of $515.4 million in the nine months ended September 30, 2021 was primarily from $512.8 million from proceeds from the Business Combination and $4.4 million from proceeds from exercise of stock options, partially offset by a $1.7 million payment of notes payable.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provided by financing activities of $12.0 million in the nine months ended September 30, 2020 was primarily from $10.3 million from proceeds from issuance of Series E convertible preferred stock and $1.7 million from proceeds from notes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no material contractual obligations as of September 30, 2021 except the lease agreement entered into in San Diego, California in June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our contractual obligations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&lt;1 year</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&gt;5 years</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9,217</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related to certain intellectual property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license certain intellectual property, some of which may be utilized in our current or future product offerings. To preserve the right to use such intellectual property, there are minimum annual fixed royalty payments of approximately $0.2 million. Once we commercialize and begin to generate revenue, there will be royalties based on the current anticipated utilization.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ectPr>
          <w:pgSz w:w="11900" w:h="16838" w:orient="portrait"/>
          <w:cols w:equalWidth="0" w:num="1">
            <w:col w:w="11240"/>
          </w:cols>
          <w:pgMar w:left="320" w:top="114"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in Note 2 “Summary of Significant Accounting Policies – Recently Issued Accounting Pronouncements”, to our condensed consolidated financial statements included in this Quarterly Report on Form 10-Q, there have been no material changes to our critical accounting policies and estimates as compared to the critical accounting policies and estimates disclosed in our proxy statement/prospectus filed with the SEC on May 14,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condensed consolidated financial statements contained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Pursuant to the JOBS Act, an emerging growth company is provided the option to adopt new or revised accounting standards that may be issued by the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in this report may be different than the information you receive from other public companies.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intend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However, based on the market value of our common stock held by non-affiliates as of June 30, 2021, we expect to become a large-accelerated filer and thus cease to be an emerging growth company on December 31, 2021. At that time, we will be required to adopt new or revised accounting standards as required by public companies, including those standards which we had previously deferred pursuant to the JOBS Act. Additionally, we will no longer be able to take advantage of the reduced regulatory and reporting requirements of emerging growth companies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interest rate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cash and cash equivalents, and marketable securities are comprised primarily of cash and investments in mutual funds. The primary objective of our investments is the preservation of capital to fulfill liquidity needs. We do not enter into investments for trading or speculative purposes. Due to the short-term nature of these investments, we do not expect cash flows to be affected to any significant degree by a sudden change in market interest rates.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10, 2021 and (ii) the other material weakness described below that we are in the process of remediating, our disclosure controls and procedures were not effective as of September 30, 2021.</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Legacy Quantum-Si’s financial statement close process for the years ended December 31, 2020 and 2019, we identified a material weakness in the design and operating effectiveness of our internal control over financial reporting. Legacy Quantum-Si outsourced its accounting and financial reporting to a third-party service provider, and therefore as of and for the years ended December 31, 2020 and 2019, did not have its own finance function or finance or accounting professionals that had the requisite experience or were in a position to appropriately perform the supervision and review of the information received from that third-party service provider.</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as previously disclosed in our Amendment No. 1 to our Annual Report on Form 10-K/A for the year ended December 31, 2020, we identified a material weakness in our internal control over financial reporting related to inaccurate accounting for the Public Warrants and Private Warrants issued in connection with our initial public offering. Management identified this error when the SEC issued a </w:t>
      </w:r>
      <w:r>
        <w:rPr>
          <w:rFonts w:ascii="Arial" w:cs="Arial" w:eastAsia="Arial" w:hAnsi="Arial"/>
          <w:sz w:val="18"/>
          <w:szCs w:val="18"/>
          <w:i w:val="1"/>
          <w:iCs w:val="1"/>
          <w:color w:val="auto"/>
        </w:rPr>
        <w:t>Staff Statement on Accounting and Reporting</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 for Warrants Issued by Special Purpose Acquisition Companies (“SPACs”) dated April 12, 2021 (the “SEC Statement”)</w:t>
      </w:r>
      <w:r>
        <w:rPr>
          <w:rFonts w:ascii="Arial" w:cs="Arial" w:eastAsia="Arial" w:hAnsi="Arial"/>
          <w:sz w:val="18"/>
          <w:szCs w:val="18"/>
          <w:color w:val="auto"/>
        </w:rPr>
        <w:t>.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addresses certain accounting and reporting considerations related to warrants of a kind similar to those we issued in connection with our initial public offering in September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2021, we identified a presentation error of the basic and diluted net loss per share calculation including the weighted-average common stock for the three and six months ended June 30, 2021, which was provided by a third-party service provider. This presentation error was due to the material weakness in our ability to appropriately perform the supervision and review of the information received from the third-party service provider as discussed above.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these material weaknesses, management has concluded that our unaudited financial statements included in this Quarterly Report on Form 10-Q are fairly stated in all material respects in accordance with U.S. GAAP for each of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the Material Weakness in Internal Control over Financial Reporting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response to these material weaknesses, our management has expended, and will continue to expend, a substantial amount of effort and resources for the remediation and improvement of our internal control over financial reporting. Our management developed a remediation plan, which includes the hiring of additional accounting and finance personnel with technical public company accounting and financial reporting experience who can perform adequate supervision and review of information received from outsourced third-party service providers. Our plan also includes acquiring enhanced access to accounting literature, research materials and increased communication among our personnel and outsourced third-party professionals with whom we may consult regarding the application of complex accounting transactions. Our remediation plan can only be accomplished over time and will be continually reviewed to determine that it is achieving its objectives. This is no assurance that these initiatives will ultimately have the intended effects. The material weaknesses will not be considered remediated until management designs and implements effective controls that operate for a sufficient period of time and management has concluded through testing that these controls are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disclosed above, there were no changes in our internal control over financial reporting during the quarter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21"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results of operations and financial condition are subject to various risks and uncertainties including the risk factors described under the caption “Risk Factors” in our Quarterly Report on Form 10-Q for the quarterly period ended June 30, 2021, filed with the SEC on August 16, 2021, and there have been no material changes to the risk factors described therein or in any of our subsequently filed reports.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three months ended September 30, 2021.</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9, 2021, our Board of Directors approved an adjustment to the bonus opportunity for John Stark, our Chief Executive Officer, such that, with respect to Mr. Stark’s bonus for 2022 performance rather than his bonus for 2021 performance, any bonus determined by the Board of Directors based upon the achievement of corporate and/or individual performance goals as determined by the Board of Directors or Compensation Committee of the Board of Directors will be payable only upon us achieving commercial revenue in excess of $20.0 million, contingent upon Mr. Stark’s employment through the scheduled date of payment of such bonus. Any bonus for 2021 performance will be based upon the achievement of corporate and/or individual performance goals as determined by the Board of Directors or Compensation Committee of the Board of Directors and will be paid in March 2022.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Incorporated by</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Reference Herein</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22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from</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4"/>
              </w:rPr>
              <w:t>SEC File/</w:t>
            </w:r>
          </w:p>
        </w:tc>
      </w:tr>
      <w:tr>
        <w:trPr>
          <w:trHeight w:val="241"/>
        </w:trPr>
        <w:tc>
          <w:tcPr>
            <w:tcW w:w="122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2940" w:type="dxa"/>
            <w:vAlign w:val="bottom"/>
            <w:gridSpan w:val="2"/>
          </w:tcPr>
          <w:p>
            <w:pPr>
              <w:ind w:left="680"/>
              <w:spacing w:after="0"/>
              <w:rPr>
                <w:sz w:val="20"/>
                <w:szCs w:val="20"/>
                <w:color w:val="auto"/>
              </w:rPr>
            </w:pPr>
            <w:r>
              <w:rPr>
                <w:rFonts w:ascii="Arial" w:cs="Arial" w:eastAsia="Arial" w:hAnsi="Arial"/>
                <w:sz w:val="18"/>
                <w:szCs w:val="18"/>
                <w:b w:val="1"/>
                <w:bCs w:val="1"/>
                <w:color w:val="auto"/>
              </w:rPr>
              <w:t>Exhibit Description</w:t>
            </w:r>
          </w:p>
        </w:tc>
        <w:tc>
          <w:tcPr>
            <w:tcW w:w="1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Filed Herewith</w:t>
            </w:r>
          </w:p>
        </w:tc>
        <w:tc>
          <w:tcPr>
            <w:tcW w:w="17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Form or Schedule</w:t>
            </w:r>
          </w:p>
        </w:tc>
        <w:tc>
          <w:tcPr>
            <w:tcW w:w="1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Filing Date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Reg. Number</w:t>
            </w:r>
          </w:p>
        </w:tc>
      </w:tr>
      <w:tr>
        <w:trPr>
          <w:trHeight w:val="175"/>
        </w:trPr>
        <w:tc>
          <w:tcPr>
            <w:tcW w:w="420" w:type="dxa"/>
            <w:vAlign w:val="bottom"/>
            <w:tcBorders>
              <w:top w:val="single" w:sz="8" w:color="auto"/>
            </w:tcBorders>
            <w:gridSpan w:val="3"/>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Technology and Services Exchange</w:t>
            </w:r>
          </w:p>
        </w:tc>
        <w:tc>
          <w:tcPr>
            <w:tcW w:w="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Agreement, dated as of February 17,</w:t>
            </w: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2021, by and among Q-SI Operations</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 (formerly Quantum-Si</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Incorporated) and the participants</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named therein</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Binders Collaboration Agreement,</w:t>
            </w:r>
          </w:p>
        </w:tc>
        <w:tc>
          <w:tcPr>
            <w:tcW w:w="1780" w:type="dxa"/>
            <w:vAlign w:val="bottom"/>
            <w:gridSpan w:val="2"/>
            <w:shd w:val="clear" w:color="auto" w:fill="CCEEFF"/>
          </w:tcPr>
          <w:p>
            <w:pPr>
              <w:jc w:val="center"/>
              <w:ind w:right="60"/>
              <w:spacing w:after="0" w:line="176"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0"/>
              </w:rPr>
              <w:t>dated as of September 20, 2021, by and</w:t>
            </w: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between Quantum-Si Incorporated and</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Protein Evolution, Inc.</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5"/>
        </w:trPr>
        <w:tc>
          <w:tcPr>
            <w:tcW w:w="1160" w:type="dxa"/>
            <w:vAlign w:val="bottom"/>
            <w:gridSpan w:val="4"/>
            <w:shd w:val="clear" w:color="auto" w:fill="CCEEFF"/>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10.3+</w:t>
              </w:r>
            </w:hyperlink>
          </w:p>
        </w:tc>
        <w:tc>
          <w:tcPr>
            <w:tcW w:w="6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Form of Restricted Stock Unit</w:t>
            </w:r>
          </w:p>
        </w:tc>
        <w:tc>
          <w:tcPr>
            <w:tcW w:w="1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center"/>
              <w:ind w:right="60"/>
              <w:spacing w:after="0" w:line="176" w:lineRule="exact"/>
              <w:rPr>
                <w:sz w:val="20"/>
                <w:szCs w:val="20"/>
                <w:color w:val="auto"/>
              </w:rPr>
            </w:pPr>
            <w:r>
              <w:rPr>
                <w:rFonts w:ascii="Arial" w:cs="Arial" w:eastAsia="Arial" w:hAnsi="Arial"/>
                <w:sz w:val="18"/>
                <w:szCs w:val="18"/>
                <w:color w:val="auto"/>
                <w:w w:val="90"/>
              </w:rPr>
              <w:t>Form S-8</w:t>
            </w:r>
          </w:p>
        </w:tc>
        <w:tc>
          <w:tcPr>
            <w:tcW w:w="1720" w:type="dxa"/>
            <w:vAlign w:val="bottom"/>
            <w:shd w:val="clear" w:color="auto" w:fill="CCEEFF"/>
          </w:tcPr>
          <w:p>
            <w:pPr>
              <w:jc w:val="right"/>
              <w:ind w:right="450"/>
              <w:spacing w:after="0" w:line="176" w:lineRule="exact"/>
              <w:rPr>
                <w:sz w:val="20"/>
                <w:szCs w:val="20"/>
                <w:color w:val="auto"/>
              </w:rPr>
            </w:pPr>
            <w:r>
              <w:rPr>
                <w:rFonts w:ascii="Arial" w:cs="Arial" w:eastAsia="Arial" w:hAnsi="Arial"/>
                <w:sz w:val="18"/>
                <w:szCs w:val="18"/>
                <w:color w:val="auto"/>
              </w:rPr>
              <w:t>9/2/2021</w:t>
            </w: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333-259271</w:t>
            </w: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Agreement under 2021 Equity</w:t>
            </w: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6"/>
              </w:rPr>
              <w:t>(Exhibit 99.3)</w:t>
            </w:r>
          </w:p>
        </w:tc>
        <w:tc>
          <w:tcPr>
            <w:tcW w:w="17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Plan</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Certification of the Principal Executive</w:t>
            </w:r>
          </w:p>
        </w:tc>
        <w:tc>
          <w:tcPr>
            <w:tcW w:w="1780" w:type="dxa"/>
            <w:vAlign w:val="bottom"/>
            <w:gridSpan w:val="2"/>
            <w:shd w:val="clear" w:color="auto" w:fill="CCEEFF"/>
          </w:tcPr>
          <w:p>
            <w:pPr>
              <w:jc w:val="center"/>
              <w:ind w:right="60"/>
              <w:spacing w:after="0" w:line="176"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Officer pursuant to Section 302 of the</w:t>
            </w: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Certification of the Principal Financial</w:t>
            </w:r>
          </w:p>
        </w:tc>
        <w:tc>
          <w:tcPr>
            <w:tcW w:w="1780" w:type="dxa"/>
            <w:vAlign w:val="bottom"/>
            <w:gridSpan w:val="2"/>
            <w:shd w:val="clear" w:color="auto" w:fill="CCEEFF"/>
          </w:tcPr>
          <w:p>
            <w:pPr>
              <w:jc w:val="center"/>
              <w:ind w:right="60"/>
              <w:spacing w:after="0" w:line="176"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Officer pursuant to Section 302 of the</w:t>
            </w: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32*</w:t>
              </w:r>
            </w:hyperlink>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Certifications of the Chief Executive</w:t>
            </w:r>
          </w:p>
        </w:tc>
        <w:tc>
          <w:tcPr>
            <w:tcW w:w="1780" w:type="dxa"/>
            <w:vAlign w:val="bottom"/>
            <w:gridSpan w:val="2"/>
            <w:shd w:val="clear" w:color="auto" w:fill="CCEEFF"/>
          </w:tcPr>
          <w:p>
            <w:pPr>
              <w:jc w:val="center"/>
              <w:ind w:right="60"/>
              <w:spacing w:after="0" w:line="176"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Officer and Chief Financial Officer</w:t>
            </w: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pursuant to Section 906 of the</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1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Inline XBRL Instance Document (the</w:t>
            </w:r>
          </w:p>
        </w:tc>
        <w:tc>
          <w:tcPr>
            <w:tcW w:w="17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instance document does not appear in</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Interactive Data File because its</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tags are embedded within the</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Inline XBRL document)</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1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101.SCH</w:t>
            </w: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7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Schema Document</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1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7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Calculation Linkbase Document</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1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7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Definition Linkbase Document</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1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7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Label Linkbase Document</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12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w:t>
            </w:r>
          </w:p>
        </w:tc>
        <w:tc>
          <w:tcPr>
            <w:tcW w:w="17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Presentation Linkbase Document</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Cover Page Interactive Data File</w:t>
            </w:r>
          </w:p>
        </w:tc>
        <w:tc>
          <w:tcPr>
            <w:tcW w:w="17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9"/>
              </w:rPr>
              <w:t>X</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within the Inline XBRL</w:t>
            </w: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document)</w:t>
            </w: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firstLine="8"/>
        <w:spacing w:after="0" w:line="259" w:lineRule="auto"/>
        <w:tabs>
          <w:tab w:leader="none" w:pos="1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certifications attached as Exhibit 32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ectPr>
          <w:pgSz w:w="11900" w:h="16838" w:orient="portrait"/>
          <w:cols w:equalWidth="0" w:num="1">
            <w:col w:w="11240"/>
          </w:cols>
          <w:pgMar w:left="320" w:top="121" w:right="339" w:bottom="571"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71"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4"/>
          </w:tcPr>
          <w:p>
            <w:pPr>
              <w:ind w:left="1920"/>
              <w:spacing w:after="0"/>
              <w:rPr>
                <w:sz w:val="20"/>
                <w:szCs w:val="20"/>
                <w:color w:val="auto"/>
              </w:rPr>
            </w:pPr>
            <w:r>
              <w:rPr>
                <w:rFonts w:ascii="Arial" w:cs="Arial" w:eastAsia="Arial" w:hAnsi="Arial"/>
                <w:sz w:val="18"/>
                <w:szCs w:val="18"/>
                <w:b w:val="1"/>
                <w:bCs w:val="1"/>
                <w:color w:val="auto"/>
              </w:rPr>
              <w:t>QUANTUM-SI INCORPORATED</w:t>
            </w:r>
          </w:p>
        </w:tc>
      </w:tr>
      <w:tr>
        <w:trPr>
          <w:trHeight w:val="392"/>
        </w:trPr>
        <w:tc>
          <w:tcPr>
            <w:tcW w:w="3720" w:type="dxa"/>
            <w:vAlign w:val="bottom"/>
          </w:tcPr>
          <w:p>
            <w:pPr>
              <w:spacing w:after="0"/>
              <w:rPr>
                <w:sz w:val="20"/>
                <w:szCs w:val="20"/>
                <w:color w:val="auto"/>
              </w:rPr>
            </w:pPr>
            <w:r>
              <w:rPr>
                <w:rFonts w:ascii="Arial" w:cs="Arial" w:eastAsia="Arial" w:hAnsi="Arial"/>
                <w:sz w:val="18"/>
                <w:szCs w:val="18"/>
                <w:color w:val="auto"/>
              </w:rPr>
              <w:t>Date: November 12, 2021</w:t>
            </w:r>
          </w:p>
        </w:tc>
        <w:tc>
          <w:tcPr>
            <w:tcW w:w="7520" w:type="dxa"/>
            <w:vAlign w:val="bottom"/>
            <w:gridSpan w:val="4"/>
          </w:tcPr>
          <w:p>
            <w:pPr>
              <w:ind w:left="1920"/>
              <w:spacing w:after="0"/>
              <w:rPr>
                <w:sz w:val="20"/>
                <w:szCs w:val="20"/>
                <w:color w:val="auto"/>
              </w:rPr>
            </w:pPr>
            <w:r>
              <w:rPr>
                <w:rFonts w:ascii="Arial" w:cs="Arial" w:eastAsia="Arial" w:hAnsi="Arial"/>
                <w:sz w:val="18"/>
                <w:szCs w:val="18"/>
                <w:color w:val="auto"/>
              </w:rPr>
              <w:t>By: /s/ John Stark</w:t>
            </w:r>
          </w:p>
        </w:tc>
      </w:tr>
      <w:tr>
        <w:trPr>
          <w:trHeight w:val="222"/>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Stark</w:t>
            </w:r>
          </w:p>
        </w:tc>
        <w:tc>
          <w:tcPr>
            <w:tcW w:w="4300" w:type="dxa"/>
            <w:vAlign w:val="bottom"/>
            <w:gridSpan w:val="2"/>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391"/>
        </w:trPr>
        <w:tc>
          <w:tcPr>
            <w:tcW w:w="3720" w:type="dxa"/>
            <w:vAlign w:val="bottom"/>
          </w:tcPr>
          <w:p>
            <w:pPr>
              <w:spacing w:after="0"/>
              <w:rPr>
                <w:sz w:val="20"/>
                <w:szCs w:val="20"/>
                <w:color w:val="auto"/>
              </w:rPr>
            </w:pPr>
            <w:r>
              <w:rPr>
                <w:rFonts w:ascii="Arial" w:cs="Arial" w:eastAsia="Arial" w:hAnsi="Arial"/>
                <w:sz w:val="18"/>
                <w:szCs w:val="18"/>
                <w:color w:val="auto"/>
              </w:rPr>
              <w:t>Date: November 12, 2021</w:t>
            </w:r>
          </w:p>
        </w:tc>
        <w:tc>
          <w:tcPr>
            <w:tcW w:w="7520" w:type="dxa"/>
            <w:vAlign w:val="bottom"/>
            <w:gridSpan w:val="4"/>
          </w:tcPr>
          <w:p>
            <w:pPr>
              <w:ind w:left="1920"/>
              <w:spacing w:after="0"/>
              <w:rPr>
                <w:sz w:val="20"/>
                <w:szCs w:val="20"/>
                <w:color w:val="auto"/>
              </w:rPr>
            </w:pPr>
            <w:r>
              <w:rPr>
                <w:rFonts w:ascii="Arial" w:cs="Arial" w:eastAsia="Arial" w:hAnsi="Arial"/>
                <w:sz w:val="18"/>
                <w:szCs w:val="18"/>
                <w:color w:val="auto"/>
              </w:rPr>
              <w:t>By: /s/ Claudia Drayton</w:t>
            </w:r>
          </w:p>
        </w:tc>
      </w:tr>
      <w:tr>
        <w:trPr>
          <w:trHeight w:val="222"/>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Claudia Drayton</w:t>
            </w:r>
          </w:p>
        </w:tc>
        <w:tc>
          <w:tcPr>
            <w:tcW w:w="386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595"/>
        </w:trPr>
        <w:tc>
          <w:tcPr>
            <w:tcW w:w="3720" w:type="dxa"/>
            <w:vAlign w:val="bottom"/>
          </w:tcPr>
          <w:p>
            <w:pPr>
              <w:spacing w:after="0"/>
              <w:rPr>
                <w:sz w:val="24"/>
                <w:szCs w:val="24"/>
                <w:color w:val="auto"/>
              </w:rPr>
            </w:pPr>
          </w:p>
        </w:tc>
        <w:tc>
          <w:tcPr>
            <w:tcW w:w="2240" w:type="dxa"/>
            <w:vAlign w:val="bottom"/>
          </w:tcPr>
          <w:p>
            <w:pPr>
              <w:jc w:val="right"/>
              <w:ind w:right="175"/>
              <w:spacing w:after="0"/>
              <w:rPr>
                <w:sz w:val="20"/>
                <w:szCs w:val="20"/>
                <w:color w:val="auto"/>
              </w:rPr>
            </w:pPr>
            <w:r>
              <w:rPr>
                <w:rFonts w:ascii="Arial" w:cs="Arial" w:eastAsia="Arial" w:hAnsi="Arial"/>
                <w:sz w:val="14"/>
                <w:szCs w:val="14"/>
                <w:color w:val="auto"/>
              </w:rPr>
              <w:t>32</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7"/>
        </w:trPr>
        <w:tc>
          <w:tcPr>
            <w:tcW w:w="37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TECHNOLOGY AND SERVICES EXCHANGE AGREEMENT</w:t>
      </w:r>
    </w:p>
    <w:p>
      <w:pPr>
        <w:spacing w:after="0" w:line="23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THIS TECHNOLOGY AND SERVICES EXCHANGE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is dated February 17, 2021, is effective as of the Effective Time (defined below) and is entered into by and among Quantum-Si Incorporated (“</w:t>
      </w:r>
      <w:r>
        <w:rPr>
          <w:rFonts w:ascii="Arial" w:cs="Arial" w:eastAsia="Arial" w:hAnsi="Arial"/>
          <w:sz w:val="22"/>
          <w:szCs w:val="22"/>
          <w:b w:val="1"/>
          <w:bCs w:val="1"/>
          <w:color w:val="auto"/>
        </w:rPr>
        <w:t>Quantum-Si</w:t>
      </w:r>
      <w:r>
        <w:rPr>
          <w:rFonts w:ascii="Arial" w:cs="Arial" w:eastAsia="Arial" w:hAnsi="Arial"/>
          <w:sz w:val="22"/>
          <w:szCs w:val="22"/>
          <w:color w:val="auto"/>
        </w:rPr>
        <w:t>”) and each entity set forth on the signature pages hereto (each such entity is a “</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and any additional entities that become Participants in accordance with </w:t>
      </w:r>
      <w:r>
        <w:rPr>
          <w:rFonts w:ascii="Arial" w:cs="Arial" w:eastAsia="Arial" w:hAnsi="Arial"/>
          <w:sz w:val="22"/>
          <w:szCs w:val="22"/>
          <w:u w:val="single" w:color="auto"/>
          <w:color w:val="auto"/>
        </w:rPr>
        <w:t>Section 5</w:t>
      </w:r>
      <w:r>
        <w:rPr>
          <w:rFonts w:ascii="Arial" w:cs="Arial" w:eastAsia="Arial" w:hAnsi="Arial"/>
          <w:sz w:val="22"/>
          <w:szCs w:val="22"/>
          <w:color w:val="auto"/>
        </w:rPr>
        <w:t>.</w:t>
      </w:r>
    </w:p>
    <w:p>
      <w:pPr>
        <w:spacing w:after="0" w:line="21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4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information, ideas, data or know-how, whether provided in written, oral, visual or other form, and whether provided affirmatively by one party to another pursuant to this Agreement, or indirectly through access to facilities, equipment or materials shared by the parties. Confidential Information shall not include any such information, idea, data or know-how that (i) is already known to the receiving party (other than under an obligation of confidentiality) at the time of disclosure, (ii) is or becomes generally available to the public other than through any act or omission of the receiving party, (iii) is disclosed to the receiving party by a third party who had no separate nondisclosure obligation in respect of such information, idea, data or know-how, or (iv) is independently discovered or developed by or on behalf of the receiving party without use of the Confidential Information of the disclosing party.</w:t>
      </w:r>
    </w:p>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Time</w:t>
      </w:r>
      <w:r>
        <w:rPr>
          <w:rFonts w:ascii="Arial" w:cs="Arial" w:eastAsia="Arial" w:hAnsi="Arial"/>
          <w:sz w:val="21"/>
          <w:szCs w:val="21"/>
          <w:color w:val="auto"/>
        </w:rPr>
        <w:t>” means the effective time of any merger in which Quantum-Si is a constituent party, and the other party to such merger is either (i) a corporate entity, the securities of which are listed on a public exchange or (ii) a direct or indirect parent company or subsidiary of a corporate entity, the securities of which are listed on a public exchange.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Non-Core Technologies</w:t>
      </w:r>
      <w:r>
        <w:rPr>
          <w:rFonts w:ascii="Arial" w:cs="Arial" w:eastAsia="Arial" w:hAnsi="Arial"/>
          <w:sz w:val="21"/>
          <w:szCs w:val="21"/>
          <w:color w:val="auto"/>
        </w:rPr>
        <w:t>” means, with respect to Quantum-Si or a Participant, any technology, information or equipment owned or otherwise controlled by Quantum-Si or such Participant, respectively, that are not specifically related to the core business area of Quantum-Si or such Participant, respectively. Non-Core Technologies may include, without limitation, software, hardware, electronics, fabrication and supplier information, vendor lists and contractor lists.</w:t>
      </w:r>
    </w:p>
    <w:p>
      <w:pPr>
        <w:spacing w:after="0" w:line="20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NON-CORE TECHNOLOGY SHARE</w:t>
      </w:r>
    </w:p>
    <w:p>
      <w:pPr>
        <w:spacing w:after="0" w:line="2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2.1 Any Participant may, in its sole discretion, permit Quantum-Si to use such Participant’s Non-Core Technologies as set forth in a written work order entered into by and between Quantum-Si and such Participant pursuant to (and subject to) this Agreement, that describes at least (i) the Non-Core Technologies permitted to be used, (ii) the terms of such use and restrictions with respect to such use, (iii) any fees or other compensation payable for such use, which shall be fair market value, (iv) payment terms, and (iv) such other terms as the two parties may agree (each a “</w:t>
      </w:r>
      <w:r>
        <w:rPr>
          <w:rFonts w:ascii="Arial" w:cs="Arial" w:eastAsia="Arial" w:hAnsi="Arial"/>
          <w:sz w:val="19"/>
          <w:szCs w:val="19"/>
          <w:b w:val="1"/>
          <w:bCs w:val="1"/>
          <w:color w:val="auto"/>
        </w:rPr>
        <w:t>Technology Work Order</w:t>
      </w:r>
      <w:r>
        <w:rPr>
          <w:rFonts w:ascii="Arial" w:cs="Arial" w:eastAsia="Arial" w:hAnsi="Arial"/>
          <w:sz w:val="19"/>
          <w:szCs w:val="19"/>
          <w:color w:val="auto"/>
        </w:rPr>
        <w:t>”). Quantum-Si may, in its sole discretion, permit a Participant to use Quantum-Si’s Non-Core Technologies as set forth in a Technology Work Order entered into by and between Quantum-Si and such Participant. Each Technology Work Order is subject to and governed by the terms of this Agreement. In the event of a conflict between the terms of a Technology Work Order and the terms of this Agreement, the terms of this Agreement shall take precedence.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4" w:name="page35"/>
    <w:bookmarkEnd w:id="34"/>
    <w:p>
      <w:pPr>
        <w:jc w:val="both"/>
        <w:ind w:firstLine="648"/>
        <w:spacing w:after="0" w:line="234" w:lineRule="auto"/>
        <w:rPr>
          <w:sz w:val="20"/>
          <w:szCs w:val="20"/>
          <w:color w:val="auto"/>
        </w:rPr>
      </w:pPr>
      <w:r>
        <w:rPr>
          <w:rFonts w:ascii="Arial" w:cs="Arial" w:eastAsia="Arial" w:hAnsi="Arial"/>
          <w:sz w:val="22"/>
          <w:szCs w:val="22"/>
          <w:color w:val="auto"/>
        </w:rPr>
        <w:t>2.2 Each party will use no less than reasonable care in its use of the other party’s shared Non-Core Technologies, and, subject to the terms of the applicable Technology Work Order and this Agreement, shall not share such Non-Core Technologies with any other party or any third party (except for consultants and contractors for use on such party’s behalf). In addition, each party may allow third parties to use the other party’s Non-Core Technologies subject to the terms of the applicable Technology Work Order, but in any case only in the same manner such party is allowed to use the same under the applicable Technology Work Order to the extent such technologies are embedded in or required for the use by such third parties of such party’s own products or services.</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2.3 For avoidance of doubt, as among the parties and any third party receiving the shared Non-Core Technology directly or indirectly from a receiving party, ownership of Non-Core Technologies (and all intellectual property rights therein) shall remain with the party that originally shared such Non-Core Technologies.</w:t>
      </w:r>
    </w:p>
    <w:p>
      <w:pPr>
        <w:spacing w:after="0" w:line="21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SHARED SERVICES</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3.1 Subject to the terms of this Agreement, Quantum-Si may, in its sole discretion, permit a Participant to engage the personnel of Quantum-Si, and any Participant may, in its sole discretion, permit Quantum-Si to engage the personnel of such Participant, in either case to perform professional, technical or consulting services for such party as shall be set forth in a written work order entered into by and between Quantum-Si and such Participant pursuant to (and referring to) this Agreement that, at least, identifies and describes (i) the personnel to perform the services, (ii) the services to be provided, (iii) the fees or other compensation payable for such services, which shall be fair market value, (iv) payment terms, and (v) such other terms as the two parties may agree (each a “</w:t>
      </w:r>
      <w:r>
        <w:rPr>
          <w:rFonts w:ascii="Arial" w:cs="Arial" w:eastAsia="Arial" w:hAnsi="Arial"/>
          <w:sz w:val="19"/>
          <w:szCs w:val="19"/>
          <w:b w:val="1"/>
          <w:bCs w:val="1"/>
          <w:color w:val="auto"/>
        </w:rPr>
        <w:t>Services Work Order</w:t>
      </w:r>
      <w:r>
        <w:rPr>
          <w:rFonts w:ascii="Arial" w:cs="Arial" w:eastAsia="Arial" w:hAnsi="Arial"/>
          <w:sz w:val="19"/>
          <w:szCs w:val="19"/>
          <w:color w:val="auto"/>
        </w:rPr>
        <w:t>”). Notwithstanding anything to the contrary in this Agreement or in any Service Work Order or Technology Work Order, no personnel engaged under this Agreement may solicit, perform, or provide, or attempt to perform or provide any services that compete directly or indirectly with the core business area of the Originating Participant. Each Services Work Order is subject to and governed by the terms of this Agreement. In the event of a conflict between the terms of a Services Work Order and the terms of this Agreement, the terms of this Agreement shall take precedence.</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3.2 Subject to Section 3.1, unless otherwise agreed to by Quantum-Si and the Participant in the Services Work Order, all rights, title and interest in and to any inventions, works-of-authorship, idea, data or know-how invented, made, created or developed by the personnel (employees, contractors or consultants) of the party in the course of conducting services for the other party pursuant to a Services Work Order (the “</w:t>
      </w:r>
      <w:r>
        <w:rPr>
          <w:rFonts w:ascii="Arial" w:cs="Arial" w:eastAsia="Arial" w:hAnsi="Arial"/>
          <w:sz w:val="19"/>
          <w:szCs w:val="19"/>
          <w:b w:val="1"/>
          <w:bCs w:val="1"/>
          <w:color w:val="auto"/>
        </w:rPr>
        <w:t>Recipient Participant</w:t>
      </w:r>
      <w:r>
        <w:rPr>
          <w:rFonts w:ascii="Arial" w:cs="Arial" w:eastAsia="Arial" w:hAnsi="Arial"/>
          <w:sz w:val="19"/>
          <w:szCs w:val="19"/>
          <w:color w:val="auto"/>
        </w:rPr>
        <w:t>”) shall be owned by the Recipient Participant (“</w:t>
      </w:r>
      <w:r>
        <w:rPr>
          <w:rFonts w:ascii="Arial" w:cs="Arial" w:eastAsia="Arial" w:hAnsi="Arial"/>
          <w:sz w:val="19"/>
          <w:szCs w:val="19"/>
          <w:b w:val="1"/>
          <w:bCs w:val="1"/>
          <w:color w:val="auto"/>
        </w:rPr>
        <w:t>Created IP</w:t>
      </w:r>
      <w:r>
        <w:rPr>
          <w:rFonts w:ascii="Arial" w:cs="Arial" w:eastAsia="Arial" w:hAnsi="Arial"/>
          <w:sz w:val="19"/>
          <w:szCs w:val="19"/>
          <w:color w:val="auto"/>
        </w:rPr>
        <w:t xml:space="preserve">”). Each Originating Participant (defined below) hereby makes any assignments necessary to accomplish the foregoing ownership provision, and agrees to execute any documents reasonably requested by the Recipient Participant to further effect or provide evidence of such assignment. Each party agrees that it has and will have appropriate agreements with all of its personnel to fully effect the provisions of this </w:t>
      </w:r>
      <w:r>
        <w:rPr>
          <w:rFonts w:ascii="Arial" w:cs="Arial" w:eastAsia="Arial" w:hAnsi="Arial"/>
          <w:sz w:val="19"/>
          <w:szCs w:val="19"/>
          <w:u w:val="single" w:color="auto"/>
          <w:color w:val="auto"/>
        </w:rPr>
        <w:t>Section 3.2</w:t>
      </w:r>
      <w:r>
        <w:rPr>
          <w:rFonts w:ascii="Arial" w:cs="Arial" w:eastAsia="Arial" w:hAnsi="Arial"/>
          <w:sz w:val="19"/>
          <w:szCs w:val="19"/>
          <w:color w:val="auto"/>
        </w:rPr>
        <w:t>. Unless otherwise agreed to by Quantum-Si and the Participant in the Services Work Order, each Recipient Participant hereby grants to the party that had its personnel provide the services that resulted in the creation of the Created IP (the “</w:t>
      </w:r>
      <w:r>
        <w:rPr>
          <w:rFonts w:ascii="Arial" w:cs="Arial" w:eastAsia="Arial" w:hAnsi="Arial"/>
          <w:sz w:val="19"/>
          <w:szCs w:val="19"/>
          <w:b w:val="1"/>
          <w:bCs w:val="1"/>
          <w:color w:val="auto"/>
        </w:rPr>
        <w:t>Originating Participant</w:t>
      </w:r>
      <w:r>
        <w:rPr>
          <w:rFonts w:ascii="Arial" w:cs="Arial" w:eastAsia="Arial" w:hAnsi="Arial"/>
          <w:sz w:val="19"/>
          <w:szCs w:val="19"/>
          <w:color w:val="auto"/>
        </w:rPr>
        <w:t>”) a royalty-free, perpetual, limited, worldwide, non-exclusive, sublicensable (and with respect to software, sublicensable in object code only) license to utilize the Created IP only in the core business field of the Originating Participant, including the license to create and use derivative works based on the Created IP in the Originating Participant’s core business field, subject to any restrictions as may be set forth in this Agreement and the applicable Services Work Order. Notwithstanding the foregoing, Quantum-Si and each Participant agree that no Recipient Participant will use Created IP to compete directly or indirectly in the core business area of the Originating Participant.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both"/>
        <w:ind w:firstLine="648"/>
        <w:spacing w:after="0" w:line="274" w:lineRule="auto"/>
        <w:rPr>
          <w:sz w:val="20"/>
          <w:szCs w:val="20"/>
          <w:color w:val="auto"/>
        </w:rPr>
      </w:pPr>
      <w:r>
        <w:rPr>
          <w:rFonts w:ascii="Arial" w:cs="Arial" w:eastAsia="Arial" w:hAnsi="Arial"/>
          <w:sz w:val="19"/>
          <w:szCs w:val="19"/>
          <w:color w:val="auto"/>
        </w:rPr>
        <w:t>3.3 Each party agrees that all of its personnel who conduct any services hereunder for a Recipient Participant may be required by the Recipient Participant to enter into a consulting agreement, a nondisclosure agreement, a non-solicitation agreement and/or a noncompetition agreement with the Recipient Participant with respect to the core business field of the Recipient Participant, as reasonably determined by the Recipient Participant. In the event that the obligations of each such personnel under this Agreement conflict with the obligations of such personnel under such consulting agreement and/or noncompetition agreement, as the case may be, the obligations of such personnel under this Agreement shall take precedence. Notwithstanding the foregoing, unless expressly permitted under this Agreement, if any obligations of such personnel under any such consulting agreement, non-disclosure agreement and/or noncompetition agreement conflict with the obligations of such personnel’s employment agreement, the obligations of such employment agreement shall take precedence.</w:t>
      </w:r>
    </w:p>
    <w:p>
      <w:pPr>
        <w:spacing w:after="0" w:line="18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4.1 Each of the parties recognizes that the Confidential Information of each other party constitutes highly valuable and proprietary confidential information. Each party agrees that it will keep confidential, and will cause its employees, consultants, designees and affiliates to keep confidential, all Confidential Information of the other parties during the term of this Agreement and for a period of ten (10) years thereafter. Each party shall use Confidential Information of the other parties only to conduct its business. Each party will disclose Confidential Information of another party only to its employees, consultants, designees and affiliates on a “need-to-know” basis. Such disclosures shall only be made to the extent any such persons receiving the other party’s Confidential Information are bound by written confidentiality obligations to maintain the confidentiality thereof and not to use such Confidential Information except as permitted by this Agreement. Without limiting the foregoing, each party may disclose information to the extent such disclosure is reasonably necessary to comply with applicable laws, regulations or court orders. Each party shall take such action to preserve the confidentiality of the other parties’ Confidential Information as it would customarily take to preserve the confidentiality of its own Confidential Information, using, in all such circumstances, not less than reasonable care. Each party, upon the request of the other party but subject to such requested party’s rights under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will return all the Confidential Information disclosed or transferred to it by the other party pursuant to this Agreement within sixty (60) days of such request or, if earlier, the termination or expiration of this Agreement. Each party, as receiving party, will comply with any and all third party restrictions placed on the disclosing party of which it was made aware by the disclosing party with respect to the use or disclosure of Confidential Information of the disclosing party.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PARTICIPANTS.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5.1 Additional entities may be added as Participants to this Agreement by executing and delivering additional joinder counterpart signature pages to this Agreement signed by such new Participant and by Quantum-Si, and such entity shall be deemed a “Participant” for all purposes hereunder. No action or consent by the other Participants shall be required for such joinder to this Agreement by such additional Participant.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5.2 Quantum-Si shall not permit any entity to become a Participant if any material portion of such new entity’s business directly overlaps with the core business field of an existing Participant, unless such existing Participant consents to such addition.</w:t>
      </w:r>
    </w:p>
    <w:p>
      <w:pPr>
        <w:spacing w:after="0" w:line="21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NON-RELIANCE.</w:t>
      </w:r>
    </w:p>
    <w:p>
      <w:pPr>
        <w:spacing w:after="0" w:line="24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6.1 EXCEPT AS EXPRESSLY SET FORTH IN THIS AGREEMENT, NONE OF THE PARTIES MAKE ANY WARRANTIES TO ANY OF THE OTHER PARTIES WITH RESPECT TO THE SERVICES, TECHNOLOGIES OR INFORMATION PROVIDED OR SHARED UNDER THIS AGREEMENT, EITHER EXPRESS OR IMPLIED, AND THERE ARE NO EXPRESS OR IMPLIED WARRANTIES OF MERCHANTABILITY OR FITNESS FOR A PARTICULAR PURPOSE. EACH PARTY HEREBY CONFIRMS THAT IN ENTERING INTO THIS AGREEMENT OR RECEIVING ANY SERVICES OR INFORMATION HEREUNDER, IT DID NOT RELY AND DOES NOT RELY ON ANY INFORMATION, REPRESENTATION OR WARRANTY OF ANY KIND NOT SPECIFICALLY MADE IN THIS AGREEMENT.</w:t>
      </w:r>
    </w:p>
    <w:p>
      <w:pPr>
        <w:spacing w:after="0" w:line="21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43" w:lineRule="exact"/>
        <w:rPr>
          <w:sz w:val="20"/>
          <w:szCs w:val="20"/>
          <w:color w:val="auto"/>
        </w:rPr>
      </w:pPr>
    </w:p>
    <w:p>
      <w:pPr>
        <w:ind w:firstLine="648"/>
        <w:spacing w:after="0" w:line="204"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b w:val="1"/>
          <w:bCs w:val="1"/>
          <w:color w:val="auto"/>
        </w:rPr>
        <w:t>Term; Expiration.</w:t>
      </w:r>
      <w:r>
        <w:rPr>
          <w:rFonts w:ascii="Arial" w:cs="Arial" w:eastAsia="Arial" w:hAnsi="Arial"/>
          <w:sz w:val="20"/>
          <w:szCs w:val="20"/>
          <w:color w:val="auto"/>
        </w:rPr>
        <w:t xml:space="preserve"> Unless terminated earlier as permitted herein, the term of this Agreement commences upon the Effective Time and expires on the fifth (5</w:t>
      </w:r>
      <w:r>
        <w:rPr>
          <w:rFonts w:ascii="Arial" w:cs="Arial" w:eastAsia="Arial" w:hAnsi="Arial"/>
          <w:sz w:val="32"/>
          <w:szCs w:val="32"/>
          <w:color w:val="auto"/>
          <w:vertAlign w:val="superscript"/>
        </w:rPr>
        <w:t>th</w:t>
      </w:r>
      <w:r>
        <w:rPr>
          <w:rFonts w:ascii="Arial" w:cs="Arial" w:eastAsia="Arial" w:hAnsi="Arial"/>
          <w:sz w:val="20"/>
          <w:szCs w:val="20"/>
          <w:color w:val="auto"/>
        </w:rPr>
        <w:t>) anniversary thereof, and thereafter shall automatically be extended for up to five</w:t>
      </w:r>
    </w:p>
    <w:p>
      <w:pPr>
        <w:spacing w:after="0" w:line="2" w:lineRule="exact"/>
        <w:rPr>
          <w:sz w:val="20"/>
          <w:szCs w:val="20"/>
          <w:color w:val="auto"/>
        </w:rPr>
      </w:pPr>
    </w:p>
    <w:p>
      <w:pPr>
        <w:ind w:firstLine="8"/>
        <w:spacing w:after="0" w:line="236" w:lineRule="auto"/>
        <w:tabs>
          <w:tab w:leader="none" w:pos="318" w:val="left"/>
        </w:tabs>
        <w:numPr>
          <w:ilvl w:val="0"/>
          <w:numId w:val="18"/>
        </w:numPr>
        <w:rPr>
          <w:rFonts w:ascii="Arial" w:cs="Arial" w:eastAsia="Arial" w:hAnsi="Arial"/>
          <w:sz w:val="22"/>
          <w:szCs w:val="22"/>
          <w:color w:val="auto"/>
        </w:rPr>
      </w:pPr>
      <w:r>
        <w:rPr>
          <w:rFonts w:ascii="Arial" w:cs="Arial" w:eastAsia="Arial" w:hAnsi="Arial"/>
          <w:sz w:val="22"/>
          <w:szCs w:val="22"/>
          <w:color w:val="auto"/>
        </w:rPr>
        <w:t>additional and consecutive one-year renewal terms. For the avoidance of doubt, this Agreement shall not be effective if the Effective Time does not occur.</w:t>
      </w:r>
    </w:p>
    <w:p>
      <w:pPr>
        <w:spacing w:after="0" w:line="20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Termination</w:t>
      </w:r>
      <w:r>
        <w:rPr>
          <w:rFonts w:ascii="Arial" w:cs="Arial" w:eastAsia="Arial" w:hAnsi="Arial"/>
          <w:sz w:val="22"/>
          <w:szCs w:val="22"/>
          <w:color w:val="auto"/>
        </w:rPr>
        <w:t>. Each Participant may terminate this Agreement with respect to its involvement as a Participant by providing written notice of such termination to Quantum-Si at least 30 days prior to the date of termination. Quantum-Si may terminate this Agreement for any reason or no reason by providing written notice of such termination to the other Participants at least 30 days prior to the date of termination.</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b w:val="1"/>
          <w:bCs w:val="1"/>
          <w:color w:val="auto"/>
        </w:rPr>
        <w:t>Survival</w:t>
      </w:r>
      <w:r>
        <w:rPr>
          <w:rFonts w:ascii="Arial" w:cs="Arial" w:eastAsia="Arial" w:hAnsi="Arial"/>
          <w:sz w:val="21"/>
          <w:szCs w:val="21"/>
          <w:color w:val="auto"/>
        </w:rPr>
        <w:t xml:space="preserve">. Remedies for breach, rights to accrued payments and </w:t>
      </w:r>
      <w:r>
        <w:rPr>
          <w:rFonts w:ascii="Arial" w:cs="Arial" w:eastAsia="Arial" w:hAnsi="Arial"/>
          <w:sz w:val="21"/>
          <w:szCs w:val="21"/>
          <w:u w:val="single" w:color="auto"/>
          <w:color w:val="auto"/>
        </w:rPr>
        <w:t>Sections 2.2</w:t>
      </w:r>
      <w:r>
        <w:rPr>
          <w:rFonts w:ascii="Arial" w:cs="Arial" w:eastAsia="Arial" w:hAnsi="Arial"/>
          <w:sz w:val="21"/>
          <w:szCs w:val="21"/>
          <w:color w:val="auto"/>
        </w:rPr>
        <w:t xml:space="preserve">, </w:t>
      </w:r>
      <w:r>
        <w:rPr>
          <w:rFonts w:ascii="Arial" w:cs="Arial" w:eastAsia="Arial" w:hAnsi="Arial"/>
          <w:sz w:val="21"/>
          <w:szCs w:val="21"/>
          <w:u w:val="single" w:color="auto"/>
          <w:color w:val="auto"/>
        </w:rPr>
        <w:t>2.3</w:t>
      </w:r>
      <w:r>
        <w:rPr>
          <w:rFonts w:ascii="Arial" w:cs="Arial" w:eastAsia="Arial" w:hAnsi="Arial"/>
          <w:sz w:val="21"/>
          <w:szCs w:val="21"/>
          <w:color w:val="auto"/>
        </w:rPr>
        <w:t xml:space="preserve">, </w:t>
      </w:r>
      <w:r>
        <w:rPr>
          <w:rFonts w:ascii="Arial" w:cs="Arial" w:eastAsia="Arial" w:hAnsi="Arial"/>
          <w:sz w:val="21"/>
          <w:szCs w:val="21"/>
          <w:u w:val="single" w:color="auto"/>
          <w:color w:val="auto"/>
        </w:rPr>
        <w:t>3.2</w:t>
      </w:r>
      <w:r>
        <w:rPr>
          <w:rFonts w:ascii="Arial" w:cs="Arial" w:eastAsia="Arial" w:hAnsi="Arial"/>
          <w:sz w:val="21"/>
          <w:szCs w:val="21"/>
          <w:color w:val="auto"/>
        </w:rPr>
        <w:t xml:space="preserve">, </w:t>
      </w:r>
      <w:r>
        <w:rPr>
          <w:rFonts w:ascii="Arial" w:cs="Arial" w:eastAsia="Arial" w:hAnsi="Arial"/>
          <w:sz w:val="21"/>
          <w:szCs w:val="21"/>
          <w:u w:val="single" w:color="auto"/>
          <w:color w:val="auto"/>
        </w:rPr>
        <w:t>4</w:t>
      </w:r>
      <w:r>
        <w:rPr>
          <w:rFonts w:ascii="Arial" w:cs="Arial" w:eastAsia="Arial" w:hAnsi="Arial"/>
          <w:sz w:val="21"/>
          <w:szCs w:val="21"/>
          <w:color w:val="auto"/>
        </w:rPr>
        <w:t xml:space="preserve">, </w:t>
      </w:r>
      <w:r>
        <w:rPr>
          <w:rFonts w:ascii="Arial" w:cs="Arial" w:eastAsia="Arial" w:hAnsi="Arial"/>
          <w:sz w:val="21"/>
          <w:szCs w:val="21"/>
          <w:u w:val="single" w:color="auto"/>
          <w:color w:val="auto"/>
        </w:rPr>
        <w:t>6</w:t>
      </w:r>
      <w:r>
        <w:rPr>
          <w:rFonts w:ascii="Arial" w:cs="Arial" w:eastAsia="Arial" w:hAnsi="Arial"/>
          <w:sz w:val="21"/>
          <w:szCs w:val="21"/>
          <w:color w:val="auto"/>
        </w:rPr>
        <w:t xml:space="preserve">, </w:t>
      </w:r>
      <w:r>
        <w:rPr>
          <w:rFonts w:ascii="Arial" w:cs="Arial" w:eastAsia="Arial" w:hAnsi="Arial"/>
          <w:sz w:val="21"/>
          <w:szCs w:val="21"/>
          <w:u w:val="single" w:color="auto"/>
          <w:color w:val="auto"/>
        </w:rPr>
        <w:t>7.3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w:t>
      </w:r>
      <w:r>
        <w:rPr>
          <w:rFonts w:ascii="Arial" w:cs="Arial" w:eastAsia="Arial" w:hAnsi="Arial"/>
          <w:sz w:val="21"/>
          <w:szCs w:val="21"/>
          <w:color w:val="auto"/>
        </w:rPr>
        <w:t xml:space="preserve"> shall survive any termination or expiration of this Agreement. For avoidance of doubt, upon termination or expiration of this Agreement with respect to Quantum-Si and a Participant, (i) unless set forth otherwise in a Technology Work Order, Quantum-Si or such Participant, as applicable, shall continue to have the right to utilize the Non-Core Technologies that were shared with it prior to such termination or expiration date and (ii) the license to Created IP shall survive termination.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4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Limitation of Liability</w:t>
      </w:r>
      <w:r>
        <w:rPr>
          <w:rFonts w:ascii="Arial" w:cs="Arial" w:eastAsia="Arial" w:hAnsi="Arial"/>
          <w:sz w:val="19"/>
          <w:szCs w:val="19"/>
          <w:color w:val="auto"/>
        </w:rPr>
        <w:t xml:space="preserve">. In no event shall any party be liable to any other party for any indirect incidental, punitive, special or consequential damages arising out of or relating to this Agreement, whether in contract, tort or otherwise, even if such party has been advised of such damages. The aggregate and cumulative liability of each party to each other party for all damages arising out of or relating to this Agreement shall in no event exceed the amounts paid and payable by such party to such other party under the Technology Work Order or Service Work Order (as applicable) under which the liability arose. Damages caused by a party’s breach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or its violation of applicable laws are not limited by this </w:t>
      </w:r>
      <w:r>
        <w:rPr>
          <w:rFonts w:ascii="Arial" w:cs="Arial" w:eastAsia="Arial" w:hAnsi="Arial"/>
          <w:sz w:val="19"/>
          <w:szCs w:val="19"/>
          <w:u w:val="single" w:color="auto"/>
          <w:color w:val="auto"/>
        </w:rPr>
        <w:t>Section 8.1</w:t>
      </w:r>
      <w:r>
        <w:rPr>
          <w:rFonts w:ascii="Arial" w:cs="Arial" w:eastAsia="Arial" w:hAnsi="Arial"/>
          <w:sz w:val="19"/>
          <w:szCs w:val="19"/>
          <w:color w:val="auto"/>
        </w:rPr>
        <w:t>.</w:t>
      </w:r>
    </w:p>
    <w:p>
      <w:pPr>
        <w:spacing w:after="0" w:line="17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color w:val="auto"/>
        </w:rPr>
        <w:t>Governing Law/Venue</w:t>
      </w:r>
      <w:r>
        <w:rPr>
          <w:rFonts w:ascii="Arial" w:cs="Arial" w:eastAsia="Arial" w:hAnsi="Arial"/>
          <w:sz w:val="21"/>
          <w:szCs w:val="21"/>
          <w:color w:val="auto"/>
        </w:rPr>
        <w:t>. The construction, validity, performance and effect of this Agreement will be governed by the laws of the State of Connecticut, without regard to provisions relating to conflicts of laws. Any controversy, dispute or claim arising out of, related to or in connection with this Agreement shall be submitted for resolution to the exclusive jurisdiction of the United States District Court for the District of Connecticut sitting in New Haven County, or if that court is unable to exercise jurisdiction for any reason, the Connecticut State Courts sitting in New Haven County. Each party hereby consents to the exclusive jurisdiction of the United States District Court for the District of Connecticut and the Connecticut state courts sitting in New Haven County. Accordingly, with respect to any such court action, each party: (A) submits to the personal jurisdiction of these courts; (B) waives any other requirement (whether imposed by statute, rule of court, or otherwise) with respect to personal jurisdiction or service of process; and (C) waives any objection to jurisdiction based on improper venue, improper jurisdiction, inconvenient forum, violation of public policy or any other basis. Each party expressly acknowledge that any breach or threatened breach of any of the terms and/or conditions set forth in Section 3.2 or 4 of this Agreement will result in substantial, continuing and irreparable injury to the non-breaching party. Therefore, in addition to any other relief to which the non-breaching party may be entitled, each party hereby agrees that the non-breaching party shall be entitled to temporary, preliminary and permanent injunctive or other equitable relief in the event of any such breach or threatened breach, without the need to post any bond.</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b w:val="1"/>
          <w:bCs w:val="1"/>
          <w:color w:val="auto"/>
        </w:rPr>
        <w:t>Assignment</w:t>
      </w:r>
      <w:r>
        <w:rPr>
          <w:rFonts w:ascii="Arial" w:cs="Arial" w:eastAsia="Arial" w:hAnsi="Arial"/>
          <w:sz w:val="21"/>
          <w:szCs w:val="21"/>
          <w:color w:val="auto"/>
        </w:rPr>
        <w:t>. Except as specifically permitted hereunder, neither this Agreement nor any right or obligation hereunder may be assigned, delegated or otherwise transferred, in whole or part, by a party without the prior express written consent of the other parties. Each party may assign this Agreement in its entirety in connection with the sale of all or substantially all of its assets or business to which this Agreement relates or pursuant to a similar change of control or by operation of law. This Agreement binds the parties’ successors and permitted assigns.</w:t>
      </w:r>
    </w:p>
    <w:p>
      <w:pPr>
        <w:spacing w:after="0" w:line="1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b w:val="1"/>
          <w:bCs w:val="1"/>
          <w:color w:val="auto"/>
        </w:rPr>
        <w:t>Force Majeure</w:t>
      </w:r>
      <w:r>
        <w:rPr>
          <w:rFonts w:ascii="Arial" w:cs="Arial" w:eastAsia="Arial" w:hAnsi="Arial"/>
          <w:sz w:val="21"/>
          <w:szCs w:val="21"/>
          <w:color w:val="auto"/>
        </w:rPr>
        <w:t>. No party shall be deemed to be in breach of this Agreement, or otherwise be liable to any other party, by reason of any delay in performance, or non-performance, of any of its obligations pursuant to this Agreement to the extent that such delay or non-performance is due in whole or in part to any act, event, omission or accident beyond the reasonable control of that party, including, without limitation, any act of God or nature (including flood, earthquake, volcanic activity or other natural disaster), extreme adverse weather conditions, pandemic or epidemic (whether or not declared by a governmental entity), sabotage, fire, explosion, war, riot, act of terrorism and embargo.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firstLine="648"/>
        <w:spacing w:after="0" w:line="239"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b w:val="1"/>
          <w:bCs w:val="1"/>
          <w:color w:val="auto"/>
        </w:rPr>
        <w:t>Severability</w:t>
      </w:r>
      <w:r>
        <w:rPr>
          <w:rFonts w:ascii="Arial" w:cs="Arial" w:eastAsia="Arial" w:hAnsi="Arial"/>
          <w:sz w:val="22"/>
          <w:szCs w:val="22"/>
          <w:color w:val="auto"/>
        </w:rPr>
        <w:t>. If any provision(s) of this Agreement are or become invalid, are ruled illegal by any court of competent jurisdiction or are deemed unenforceable under then current applicable law from time to time in effect during the term hereof, it is the intention of the parties that such provision(s) be deemed to be severed from this Agreement and the remainder of this Agreement shall not be affected thereby.</w:t>
      </w:r>
    </w:p>
    <w:p>
      <w:pPr>
        <w:spacing w:after="0" w:line="208"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b w:val="1"/>
          <w:bCs w:val="1"/>
          <w:color w:val="auto"/>
        </w:rPr>
        <w:t>Status</w:t>
      </w:r>
      <w:r>
        <w:rPr>
          <w:rFonts w:ascii="Arial" w:cs="Arial" w:eastAsia="Arial" w:hAnsi="Arial"/>
          <w:sz w:val="22"/>
          <w:szCs w:val="22"/>
          <w:color w:val="auto"/>
        </w:rPr>
        <w:t>. Nothing in this Agreement is intended or shall be deemed to constitute a partner, agency, employer-employee, or joint venture relationship among the parties. Each party renders services under a Services Work Order as an independent contractor and not as an employee of any other party.</w:t>
      </w:r>
    </w:p>
    <w:p>
      <w:pPr>
        <w:spacing w:after="0" w:line="204"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color w:val="auto"/>
        </w:rPr>
        <w:t>Further Assurances</w:t>
      </w:r>
      <w:r>
        <w:rPr>
          <w:rFonts w:ascii="Arial" w:cs="Arial" w:eastAsia="Arial" w:hAnsi="Arial"/>
          <w:sz w:val="19"/>
          <w:szCs w:val="19"/>
          <w:color w:val="auto"/>
        </w:rPr>
        <w:t>. Each party agrees to execute, acknowledge and deliver such further instructions, and to do all such other acts, as may be necessary or appropriate in order to carry out the purposes and intent of this Agreement.</w:t>
      </w:r>
    </w:p>
    <w:p>
      <w:pPr>
        <w:spacing w:after="0" w:line="1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simultaneously in one or more counterparts, each of which shall be deemed an original, but all of which together shall constitute one and the same instrument.</w:t>
      </w:r>
    </w:p>
    <w:p>
      <w:pPr>
        <w:spacing w:after="0" w:line="18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and each Technology Work Order and Services Work Order sets forth the entire agreement between and among the parties and supersedes all prior agreements, promises, covenants, arrangements, communications, representations or warranties, whether oral or written, by any party or any of the parties’ agents, with respect to the subject matter hereof. For the avoidance of doubt, the terms of that certain Amended and Restated Technology Services Agreement dated November 11, 2020, entered into by and among Quantum-Si, 4Catalyzer Corporation and certain other Participants does not cover the subject matter of this Agreement and is not affected by this Agreement.</w:t>
      </w:r>
    </w:p>
    <w:p>
      <w:pPr>
        <w:spacing w:after="0" w:line="17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8.10 </w:t>
      </w:r>
      <w:r>
        <w:rPr>
          <w:rFonts w:ascii="Arial" w:cs="Arial" w:eastAsia="Arial" w:hAnsi="Arial"/>
          <w:sz w:val="21"/>
          <w:szCs w:val="21"/>
          <w:b w:val="1"/>
          <w:bCs w:val="1"/>
          <w:color w:val="auto"/>
        </w:rPr>
        <w:t>Miscellaneous</w:t>
      </w:r>
      <w:r>
        <w:rPr>
          <w:rFonts w:ascii="Arial" w:cs="Arial" w:eastAsia="Arial" w:hAnsi="Arial"/>
          <w:sz w:val="21"/>
          <w:szCs w:val="21"/>
          <w:color w:val="auto"/>
        </w:rPr>
        <w:t>. No provision of this Agreement may be waived, amended, modified or discharged unless the parties agree to the waiver, amendment, modification or discharge in writing. No waiver by either party at any time of any breach by the other party of any condition or provision of this Agreement to be performed by the other party shall be deemed a waiver of similar or dissimilar provisions or conditions at the same or at any prior or subsequent time. All descriptive headings in this Agreement are inserted for convenience only and shall be disregarded in construing or applying any provision of this Agreement. All notices required hereunder shall be in writing and shall be sent by (a) U.S. mail (first class), or (b) nationally recognized courier service (e.g., DHL, Federal Express), with all postage or delivery charges prepaid, and shall be addressed to the parties at their principal place of business and send to the attention of “Legal Department”, or such other address and person as may be furnished by notice in the manner set forth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IN WITNESS WHEREOF, the parties have executed this Agreement, effective as of the Effective Time.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QUANTUM-SI INCORPORATED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Jonathan M. Rothberg,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Jonathan M. Rothberg, Ph.D.</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271780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IN WITNESS WHEREOF, the parties have executed this Agreement, effective as of the Effective Time.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AI THERAPEUTICS, INC.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Alexander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Alexander Magary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[Signature Page to Technology and Services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41" w:name="page42"/>
    <w:bookmarkEnd w:id="41"/>
    <w:p>
      <w:pPr>
        <w:spacing w:after="0"/>
        <w:rPr>
          <w:sz w:val="20"/>
          <w:szCs w:val="20"/>
          <w:color w:val="auto"/>
        </w:rPr>
      </w:pPr>
      <w:r>
        <w:rPr>
          <w:rFonts w:ascii="Arial" w:cs="Arial" w:eastAsia="Arial" w:hAnsi="Arial"/>
          <w:sz w:val="19"/>
          <w:szCs w:val="19"/>
          <w:color w:val="auto"/>
        </w:rPr>
        <w:t>IN WITNESS WHEREOF, the parties have executed this Agreement, effective as of the Effective Time.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HYPERFINE RESEARCH, INC.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Alexander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Alexander Magary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[Signature Page to Technology and Services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42" w:name="page43"/>
    <w:bookmarkEnd w:id="42"/>
    <w:p>
      <w:pPr>
        <w:spacing w:after="0"/>
        <w:rPr>
          <w:sz w:val="20"/>
          <w:szCs w:val="20"/>
          <w:color w:val="auto"/>
        </w:rPr>
      </w:pPr>
      <w:r>
        <w:rPr>
          <w:rFonts w:ascii="Arial" w:cs="Arial" w:eastAsia="Arial" w:hAnsi="Arial"/>
          <w:sz w:val="19"/>
          <w:szCs w:val="19"/>
          <w:color w:val="auto"/>
        </w:rPr>
        <w:t>IN WITNESS WHEREOF, the parties have executed this Agreement, effective as of the Effective Time.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4BIONICS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Alexander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Alexander Magary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[Signature Page to Technology and Services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auto"/>
        </w:rPr>
        <w:t>IN WITNESS WHEREOF, the parties have executed this Agreement, effective as of the Effective Time.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TESSERACT HEALTH, INC.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Alexander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Alexander Magary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[Signature Page to Technology and Services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44" w:name="page45"/>
    <w:bookmarkEnd w:id="44"/>
    <w:p>
      <w:pPr>
        <w:spacing w:after="0"/>
        <w:rPr>
          <w:sz w:val="20"/>
          <w:szCs w:val="20"/>
          <w:color w:val="auto"/>
        </w:rPr>
      </w:pPr>
      <w:r>
        <w:rPr>
          <w:rFonts w:ascii="Arial" w:cs="Arial" w:eastAsia="Arial" w:hAnsi="Arial"/>
          <w:sz w:val="19"/>
          <w:szCs w:val="19"/>
          <w:color w:val="auto"/>
        </w:rPr>
        <w:t>IN WITNESS WHEREOF, the parties have executed this Agreement, effective as of the Effective Time.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LIMINAL SCIENCES, INC.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Alexander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Alexander Magary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[Signature Page to Technology and Services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427355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IN WITNESS WHEREOF, the parties have executed this Agreement, effective as of the Effective Time.</w:t>
      </w:r>
    </w:p>
    <w:p>
      <w:pPr>
        <w:spacing w:after="0" w:line="27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DETECT, INC.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PARTICIPANT</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Alexander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Alexander Magary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[Signature Page to Technology and Services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Joinder for additional Participants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Amended and Restated Technology and Services Agreement</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Joining Party below hereby acknowledges, agrees and confirms that, by its execution below, the Joining Party shall, as of the date hereof, be a party to and “Participant” under the Technology and Services Exchange Agreement dated February 17, 2021 and effective as of the Effective Time (as defined therein), and agrees to be bound by all of the terms, provisions and conditions contained in such Technology and Services Exchange Agreement.</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 August 11, 2021</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JOINING PARTY/ PARTICIPANT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Joining Party: Protein Evolution,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Alexander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19202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Alexander Magary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QUANTUM-SI INCORPORATED</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Christian LaPointe, Ph.D.</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Name: Christian LaPointe, Ph.D.</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Title: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color w:val="auto"/>
        </w:rPr>
        <w:t>Joinder for additional Participants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Technology and Services Exchange Agreement</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Joining Party below hereby acknowledges, agrees and confirms that, by its execution below, the Joining Party shall, as of the date hereof, be a party to and “Participant” under the Technology and Services Exchange Agreement dated as of __________,</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2021 and effective as of the Effective Time (as defined therein), and agrees to be bound by all of the terms, provisions and conditions contained in such Technology and Services Exchange Agreement.</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Date: _______ _______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JOINING PARTY/ PARTICIPANT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Joining</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QUANTUM-SI INCORPORATED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Services Work Order No.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Binders Collaboration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 September 20, 2021</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Services Work Order (“Work Order”) is made pursuant to, and is governed by, the Technology and Services Exchange Agreement (“</w:t>
      </w:r>
      <w:r>
        <w:rPr>
          <w:rFonts w:ascii="Arial" w:cs="Arial" w:eastAsia="Arial" w:hAnsi="Arial"/>
          <w:sz w:val="22"/>
          <w:szCs w:val="22"/>
          <w:b w:val="1"/>
          <w:bCs w:val="1"/>
          <w:color w:val="auto"/>
        </w:rPr>
        <w:t>TSEA</w:t>
      </w:r>
      <w:r>
        <w:rPr>
          <w:rFonts w:ascii="Arial" w:cs="Arial" w:eastAsia="Arial" w:hAnsi="Arial"/>
          <w:sz w:val="22"/>
          <w:szCs w:val="22"/>
          <w:color w:val="auto"/>
        </w:rPr>
        <w:t>”) between Quantum-Si Incorporated (“</w:t>
      </w:r>
      <w:r>
        <w:rPr>
          <w:rFonts w:ascii="Arial" w:cs="Arial" w:eastAsia="Arial" w:hAnsi="Arial"/>
          <w:sz w:val="22"/>
          <w:szCs w:val="22"/>
          <w:b w:val="1"/>
          <w:bCs w:val="1"/>
          <w:color w:val="auto"/>
        </w:rPr>
        <w:t>Q-Si</w:t>
      </w:r>
      <w:r>
        <w:rPr>
          <w:rFonts w:ascii="Arial" w:cs="Arial" w:eastAsia="Arial" w:hAnsi="Arial"/>
          <w:sz w:val="22"/>
          <w:szCs w:val="22"/>
          <w:color w:val="auto"/>
        </w:rPr>
        <w:t>”) and Protein Evolution, Inc. (“</w:t>
      </w:r>
      <w:r>
        <w:rPr>
          <w:rFonts w:ascii="Arial" w:cs="Arial" w:eastAsia="Arial" w:hAnsi="Arial"/>
          <w:sz w:val="22"/>
          <w:szCs w:val="22"/>
          <w:b w:val="1"/>
          <w:bCs w:val="1"/>
          <w:color w:val="auto"/>
        </w:rPr>
        <w:t>PEI</w:t>
      </w:r>
      <w:r>
        <w:rPr>
          <w:rFonts w:ascii="Arial" w:cs="Arial" w:eastAsia="Arial" w:hAnsi="Arial"/>
          <w:sz w:val="22"/>
          <w:szCs w:val="22"/>
          <w:color w:val="auto"/>
        </w:rPr>
        <w:t>”), joined by PEI on August 11, 2021 and made effective as of the Effective Time (as defined in the TSEA). As used herein, a “</w:t>
      </w:r>
      <w:r>
        <w:rPr>
          <w:rFonts w:ascii="Arial" w:cs="Arial" w:eastAsia="Arial" w:hAnsi="Arial"/>
          <w:sz w:val="22"/>
          <w:szCs w:val="22"/>
          <w:b w:val="1"/>
          <w:bCs w:val="1"/>
          <w:color w:val="auto"/>
        </w:rPr>
        <w:t>Party</w:t>
      </w:r>
      <w:r>
        <w:rPr>
          <w:rFonts w:ascii="Arial" w:cs="Arial" w:eastAsia="Arial" w:hAnsi="Arial"/>
          <w:sz w:val="22"/>
          <w:szCs w:val="22"/>
          <w:color w:val="auto"/>
        </w:rPr>
        <w:t>” means Q-Si or PEI, and the “</w:t>
      </w:r>
      <w:r>
        <w:rPr>
          <w:rFonts w:ascii="Arial" w:cs="Arial" w:eastAsia="Arial" w:hAnsi="Arial"/>
          <w:sz w:val="22"/>
          <w:szCs w:val="22"/>
          <w:b w:val="1"/>
          <w:bCs w:val="1"/>
          <w:color w:val="auto"/>
        </w:rPr>
        <w:t>Parties</w:t>
      </w:r>
      <w:r>
        <w:rPr>
          <w:rFonts w:ascii="Arial" w:cs="Arial" w:eastAsia="Arial" w:hAnsi="Arial"/>
          <w:sz w:val="22"/>
          <w:szCs w:val="22"/>
          <w:color w:val="auto"/>
        </w:rPr>
        <w:t>” means Q-Si and PEI. This Work Order is made effective on the last date of signature below, having been signed by both Parties.</w:t>
      </w:r>
    </w:p>
    <w:p>
      <w:pPr>
        <w:spacing w:after="0" w:line="21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Work Order</w:t>
      </w:r>
    </w:p>
    <w:p>
      <w:pPr>
        <w:spacing w:after="0" w:line="249" w:lineRule="exact"/>
        <w:rPr>
          <w:sz w:val="20"/>
          <w:szCs w:val="20"/>
          <w:color w:val="auto"/>
        </w:rPr>
      </w:pPr>
    </w:p>
    <w:p>
      <w:pPr>
        <w:jc w:val="both"/>
        <w:ind w:left="660"/>
        <w:spacing w:after="0" w:line="274" w:lineRule="auto"/>
        <w:rPr>
          <w:sz w:val="20"/>
          <w:szCs w:val="20"/>
          <w:color w:val="auto"/>
        </w:rPr>
      </w:pPr>
      <w:r>
        <w:rPr>
          <w:rFonts w:ascii="Arial" w:cs="Arial" w:eastAsia="Arial" w:hAnsi="Arial"/>
          <w:sz w:val="19"/>
          <w:szCs w:val="19"/>
          <w:color w:val="auto"/>
        </w:rPr>
        <w:t>The objective of the Work Order is to develop technology and methods in the field of nanobodies and potentially other binders to produce novel biological reagents and data relating thereto (as more specifically defined in the Work Plan, the “</w:t>
      </w:r>
      <w:r>
        <w:rPr>
          <w:rFonts w:ascii="Arial" w:cs="Arial" w:eastAsia="Arial" w:hAnsi="Arial"/>
          <w:sz w:val="19"/>
          <w:szCs w:val="19"/>
          <w:b w:val="1"/>
          <w:bCs w:val="1"/>
          <w:color w:val="auto"/>
        </w:rPr>
        <w:t>Reagents</w:t>
      </w:r>
      <w:r>
        <w:rPr>
          <w:rFonts w:ascii="Arial" w:cs="Arial" w:eastAsia="Arial" w:hAnsi="Arial"/>
          <w:sz w:val="19"/>
          <w:szCs w:val="19"/>
          <w:color w:val="auto"/>
        </w:rPr>
        <w:t>”) useful to Q-Si and PEI in their respective core business areas. PEI will provide research and development services (the “</w:t>
      </w:r>
      <w:r>
        <w:rPr>
          <w:rFonts w:ascii="Arial" w:cs="Arial" w:eastAsia="Arial" w:hAnsi="Arial"/>
          <w:sz w:val="19"/>
          <w:szCs w:val="19"/>
          <w:b w:val="1"/>
          <w:bCs w:val="1"/>
          <w:color w:val="auto"/>
        </w:rPr>
        <w:t>Services</w:t>
      </w:r>
      <w:r>
        <w:rPr>
          <w:rFonts w:ascii="Arial" w:cs="Arial" w:eastAsia="Arial" w:hAnsi="Arial"/>
          <w:sz w:val="19"/>
          <w:szCs w:val="19"/>
          <w:color w:val="auto"/>
        </w:rPr>
        <w:t>”) and (i) deliver all Reagents and (ii) disclose all other biological materials, data, written materials, methods, processes, technologies and other results of the Services (the “Process Results,” and collectively with the Reagents, the “</w:t>
      </w:r>
      <w:r>
        <w:rPr>
          <w:rFonts w:ascii="Arial" w:cs="Arial" w:eastAsia="Arial" w:hAnsi="Arial"/>
          <w:sz w:val="19"/>
          <w:szCs w:val="19"/>
          <w:b w:val="1"/>
          <w:bCs w:val="1"/>
          <w:color w:val="auto"/>
        </w:rPr>
        <w:t>Results</w:t>
      </w:r>
      <w:r>
        <w:rPr>
          <w:rFonts w:ascii="Arial" w:cs="Arial" w:eastAsia="Arial" w:hAnsi="Arial"/>
          <w:sz w:val="19"/>
          <w:szCs w:val="19"/>
          <w:color w:val="auto"/>
        </w:rPr>
        <w:t>”) to Q-Si. The Services will be described in a Work Plan that is approved by both parties. The parties intend that substantial parts of the Services will be subcontracted by PEI to two academic institutions, the University of Wollongong (“</w:t>
      </w:r>
      <w:r>
        <w:rPr>
          <w:rFonts w:ascii="Arial" w:cs="Arial" w:eastAsia="Arial" w:hAnsi="Arial"/>
          <w:sz w:val="19"/>
          <w:szCs w:val="19"/>
          <w:b w:val="1"/>
          <w:bCs w:val="1"/>
          <w:color w:val="auto"/>
        </w:rPr>
        <w:t>UOW</w:t>
      </w:r>
      <w:r>
        <w:rPr>
          <w:rFonts w:ascii="Arial" w:cs="Arial" w:eastAsia="Arial" w:hAnsi="Arial"/>
          <w:sz w:val="19"/>
          <w:szCs w:val="19"/>
          <w:color w:val="auto"/>
        </w:rPr>
        <w:t>”) and the École Supérieure de Physique et de Chimie Industrielles de la Ville de Paris (“</w:t>
      </w:r>
      <w:r>
        <w:rPr>
          <w:rFonts w:ascii="Arial" w:cs="Arial" w:eastAsia="Arial" w:hAnsi="Arial"/>
          <w:sz w:val="19"/>
          <w:szCs w:val="19"/>
          <w:b w:val="1"/>
          <w:bCs w:val="1"/>
          <w:color w:val="auto"/>
        </w:rPr>
        <w:t>ESPCI</w:t>
      </w:r>
      <w:r>
        <w:rPr>
          <w:rFonts w:ascii="Arial" w:cs="Arial" w:eastAsia="Arial" w:hAnsi="Arial"/>
          <w:sz w:val="19"/>
          <w:szCs w:val="19"/>
          <w:color w:val="auto"/>
        </w:rPr>
        <w:t>”). PEI may propose additional subcontractors or collaborators as described in Section III below.</w:t>
      </w:r>
    </w:p>
    <w:p>
      <w:pPr>
        <w:spacing w:after="0" w:line="18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Work Plan and Budget</w:t>
      </w:r>
    </w:p>
    <w:p>
      <w:pPr>
        <w:spacing w:after="0" w:line="249"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The Parties will cooperate to develop a mutually acceptable, reasonably detailed description of the research and development activities, timelines, responsibilities, and deliverables (the “</w:t>
      </w:r>
      <w:r>
        <w:rPr>
          <w:rFonts w:ascii="Arial" w:cs="Arial" w:eastAsia="Arial" w:hAnsi="Arial"/>
          <w:sz w:val="19"/>
          <w:szCs w:val="19"/>
          <w:b w:val="1"/>
          <w:bCs w:val="1"/>
          <w:color w:val="auto"/>
        </w:rPr>
        <w:t>Work Plan</w:t>
      </w:r>
      <w:r>
        <w:rPr>
          <w:rFonts w:ascii="Arial" w:cs="Arial" w:eastAsia="Arial" w:hAnsi="Arial"/>
          <w:sz w:val="19"/>
          <w:szCs w:val="19"/>
          <w:color w:val="auto"/>
        </w:rPr>
        <w:t>”). The Work Plan will include a detailed budget that includes FTEs, materials and any other significant expenditures, all of which shall be charged at cost except as otherwise expressly agreed (the “</w:t>
      </w:r>
      <w:r>
        <w:rPr>
          <w:rFonts w:ascii="Arial" w:cs="Arial" w:eastAsia="Arial" w:hAnsi="Arial"/>
          <w:sz w:val="19"/>
          <w:szCs w:val="19"/>
          <w:b w:val="1"/>
          <w:bCs w:val="1"/>
          <w:color w:val="auto"/>
        </w:rPr>
        <w:t>Budget</w:t>
      </w:r>
      <w:r>
        <w:rPr>
          <w:rFonts w:ascii="Arial" w:cs="Arial" w:eastAsia="Arial" w:hAnsi="Arial"/>
          <w:sz w:val="19"/>
          <w:szCs w:val="19"/>
          <w:color w:val="auto"/>
        </w:rPr>
        <w:t>”). The Services will be performed over a 24 month period, subject to extensions as may be agreed by the Parties. PEI will provide Q-Si monthly written updates with respect to progress under the Work Plan and expenditures against the Budget and quarterly advances described below. Expenditures against quarterly advances will be accompanied by supporting documentation as reasonably requested by QSI. The Work Plan will specify the content of the updates in more detail.</w:t>
      </w:r>
    </w:p>
    <w:p>
      <w:pPr>
        <w:spacing w:after="0" w:line="184" w:lineRule="exact"/>
        <w:rPr>
          <w:sz w:val="20"/>
          <w:szCs w:val="20"/>
          <w:color w:val="auto"/>
        </w:rPr>
      </w:pPr>
    </w:p>
    <w:p>
      <w:pPr>
        <w:jc w:val="both"/>
        <w:ind w:left="660"/>
        <w:spacing w:after="0" w:line="249" w:lineRule="auto"/>
        <w:rPr>
          <w:sz w:val="20"/>
          <w:szCs w:val="20"/>
          <w:color w:val="auto"/>
        </w:rPr>
      </w:pPr>
      <w:r>
        <w:rPr>
          <w:rFonts w:ascii="Arial" w:cs="Arial" w:eastAsia="Arial" w:hAnsi="Arial"/>
          <w:sz w:val="21"/>
          <w:szCs w:val="21"/>
          <w:color w:val="auto"/>
        </w:rPr>
        <w:t>Q-Si will pay PEI for the Services in accordance with the Budget in an amount not to exceed thirteen million five hundred thousand dollars ($13,500,000), unless otherwise agreed by Q-Si in its sole discretion. PEI will invoice Q-Si quarterly in advance for the Services. Only specific costs or fees in of PEI’s invoices accompanied by supporting documentation, as reasonably requested by Q-Si, shall be paid. Q-Si will have the right to conduct annual audits of PEI’s expenditures in connection with the Services and the invoices issued by PEI to Q-Si.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9" w:name="page50"/>
    <w:bookmarkEnd w:id="49"/>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Sponsored Research Agreements</w:t>
      </w:r>
    </w:p>
    <w:p>
      <w:pPr>
        <w:spacing w:after="0" w:line="249" w:lineRule="exact"/>
        <w:rPr>
          <w:sz w:val="20"/>
          <w:szCs w:val="20"/>
          <w:color w:val="auto"/>
        </w:rPr>
      </w:pPr>
    </w:p>
    <w:p>
      <w:pPr>
        <w:jc w:val="both"/>
        <w:ind w:left="660"/>
        <w:spacing w:after="0" w:line="279" w:lineRule="auto"/>
        <w:rPr>
          <w:sz w:val="20"/>
          <w:szCs w:val="20"/>
          <w:color w:val="auto"/>
        </w:rPr>
      </w:pPr>
      <w:r>
        <w:rPr>
          <w:rFonts w:ascii="Arial" w:cs="Arial" w:eastAsia="Arial" w:hAnsi="Arial"/>
          <w:sz w:val="19"/>
          <w:szCs w:val="19"/>
          <w:color w:val="auto"/>
        </w:rPr>
        <w:t>PEI may enter into sponsored research agreements with ESPCI and UOW, and other third parties that are acceptable to Q-Si (acting reasonably), to perform designated part of the Services under the Work Plan, provided that Q-Si has reviewed and approved the sponsored research agreements prior to execution. ESPCI and UOW each may assign up to 7 researchers to the Work Plan. PEI will be responsible for providing 20% of the sponsored research funding from sources other than Q-SI’s $13,500,000 contribution to the Budget. Q-Si will be responsible for providing 80% of the sponsored research funding, which will count against Q-Si’s $13,500,000 contribution to the Budget.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Results and intellectual property rights</w:t>
      </w:r>
    </w:p>
    <w:p>
      <w:pPr>
        <w:spacing w:after="0" w:line="25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Results</w:t>
      </w:r>
      <w:r>
        <w:rPr>
          <w:rFonts w:ascii="Arial" w:cs="Arial" w:eastAsia="Arial" w:hAnsi="Arial"/>
          <w:sz w:val="22"/>
          <w:szCs w:val="22"/>
          <w:color w:val="auto"/>
        </w:rPr>
        <w:t>,” “</w:t>
      </w:r>
      <w:r>
        <w:rPr>
          <w:rFonts w:ascii="Arial" w:cs="Arial" w:eastAsia="Arial" w:hAnsi="Arial"/>
          <w:sz w:val="22"/>
          <w:szCs w:val="22"/>
          <w:b w:val="1"/>
          <w:bCs w:val="1"/>
          <w:color w:val="auto"/>
        </w:rPr>
        <w:t>Reagents</w:t>
      </w:r>
      <w:r>
        <w:rPr>
          <w:rFonts w:ascii="Arial" w:cs="Arial" w:eastAsia="Arial" w:hAnsi="Arial"/>
          <w:sz w:val="22"/>
          <w:szCs w:val="22"/>
          <w:color w:val="auto"/>
        </w:rPr>
        <w:t>” and “</w:t>
      </w:r>
      <w:r>
        <w:rPr>
          <w:rFonts w:ascii="Arial" w:cs="Arial" w:eastAsia="Arial" w:hAnsi="Arial"/>
          <w:sz w:val="22"/>
          <w:szCs w:val="22"/>
          <w:b w:val="1"/>
          <w:bCs w:val="1"/>
          <w:color w:val="auto"/>
        </w:rPr>
        <w:t>Results</w:t>
      </w:r>
      <w:r>
        <w:rPr>
          <w:rFonts w:ascii="Arial" w:cs="Arial" w:eastAsia="Arial" w:hAnsi="Arial"/>
          <w:sz w:val="22"/>
          <w:szCs w:val="22"/>
          <w:color w:val="auto"/>
        </w:rPr>
        <w:t>” are defined above in Section I.</w:t>
      </w:r>
    </w:p>
    <w:p>
      <w:pPr>
        <w:spacing w:after="0" w:line="233" w:lineRule="exact"/>
        <w:rPr>
          <w:sz w:val="20"/>
          <w:szCs w:val="20"/>
          <w:color w:val="auto"/>
        </w:rPr>
      </w:pPr>
    </w:p>
    <w:p>
      <w:pPr>
        <w:jc w:val="both"/>
        <w:ind w:left="13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Competitive Platform</w:t>
      </w:r>
      <w:r>
        <w:rPr>
          <w:rFonts w:ascii="Arial" w:cs="Arial" w:eastAsia="Arial" w:hAnsi="Arial"/>
          <w:sz w:val="22"/>
          <w:szCs w:val="22"/>
          <w:color w:val="auto"/>
        </w:rPr>
        <w:t>” means any device, software or service that competes with, or that is substantially similar to, any Q-Si Platform.</w:t>
      </w:r>
    </w:p>
    <w:p>
      <w:pPr>
        <w:spacing w:after="0" w:line="189" w:lineRule="exact"/>
        <w:rPr>
          <w:sz w:val="20"/>
          <w:szCs w:val="20"/>
          <w:color w:val="auto"/>
        </w:rPr>
      </w:pPr>
    </w:p>
    <w:p>
      <w:pPr>
        <w:jc w:val="both"/>
        <w:ind w:left="130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PEI Field</w:t>
      </w:r>
      <w:r>
        <w:rPr>
          <w:rFonts w:ascii="Arial" w:cs="Arial" w:eastAsia="Arial" w:hAnsi="Arial"/>
          <w:sz w:val="19"/>
          <w:szCs w:val="19"/>
          <w:color w:val="auto"/>
        </w:rPr>
        <w:t>” means the field of protein and/or molecule design, evolution, discovery, application, and/or characterization, including, but not limited to, for therapeutics, diagnostics, agriculture, and/or industrial purposes.</w:t>
      </w:r>
    </w:p>
    <w:p>
      <w:pPr>
        <w:spacing w:after="0" w:line="121" w:lineRule="exact"/>
        <w:rPr>
          <w:sz w:val="20"/>
          <w:szCs w:val="20"/>
          <w:color w:val="auto"/>
        </w:rPr>
      </w:pPr>
    </w:p>
    <w:p>
      <w:pPr>
        <w:jc w:val="both"/>
        <w:ind w:left="130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Process Results Collaboration Patent Rights</w:t>
      </w:r>
      <w:r>
        <w:rPr>
          <w:rFonts w:ascii="Arial" w:cs="Arial" w:eastAsia="Arial" w:hAnsi="Arial"/>
          <w:sz w:val="21"/>
          <w:szCs w:val="21"/>
          <w:color w:val="auto"/>
        </w:rPr>
        <w:t>” shall mean any patents and patent applications claiming the Process Results (or any portion thereof) and/or disclosing any data within the Process Results, and any divisional, continuation, continuation-in-part, reissue, reexamination, confirmation, revalidation, registration, patent of addition, renewal, extension or substitute thereof, or any patent issuing therefrom or any supplementary protection certificates related thereto, in every jurisdiction throughout the world.</w:t>
      </w:r>
    </w:p>
    <w:p>
      <w:pPr>
        <w:spacing w:after="0" w:line="195" w:lineRule="exact"/>
        <w:rPr>
          <w:sz w:val="20"/>
          <w:szCs w:val="20"/>
          <w:color w:val="auto"/>
        </w:rPr>
      </w:pPr>
    </w:p>
    <w:p>
      <w:pPr>
        <w:jc w:val="both"/>
        <w:ind w:left="13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Q-Si Customer Product</w:t>
      </w:r>
      <w:r>
        <w:rPr>
          <w:rFonts w:ascii="Arial" w:cs="Arial" w:eastAsia="Arial" w:hAnsi="Arial"/>
          <w:sz w:val="22"/>
          <w:szCs w:val="22"/>
          <w:color w:val="auto"/>
        </w:rPr>
        <w:t>” means any diagnostic, prognostic, therapeutic or other product that is initially discovered or developed by a Q-Si customer with the use of a Q-Si Platform.</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“Q-Si Field” </w:t>
      </w:r>
      <w:r>
        <w:rPr>
          <w:rFonts w:ascii="Arial" w:cs="Arial" w:eastAsia="Arial" w:hAnsi="Arial"/>
          <w:sz w:val="18"/>
          <w:szCs w:val="18"/>
          <w:color w:val="auto"/>
        </w:rPr>
        <w:t>means all fields other than the PEI Field.</w:t>
      </w:r>
    </w:p>
    <w:p>
      <w:pPr>
        <w:spacing w:after="0" w:line="252" w:lineRule="exact"/>
        <w:rPr>
          <w:sz w:val="20"/>
          <w:szCs w:val="20"/>
          <w:color w:val="auto"/>
        </w:rPr>
      </w:pPr>
    </w:p>
    <w:p>
      <w:pPr>
        <w:jc w:val="both"/>
        <w:ind w:left="1300"/>
        <w:spacing w:after="0" w:line="289" w:lineRule="auto"/>
        <w:rPr>
          <w:sz w:val="20"/>
          <w:szCs w:val="20"/>
          <w:color w:val="auto"/>
        </w:rPr>
      </w:pPr>
      <w:r>
        <w:rPr>
          <w:rFonts w:ascii="Arial" w:cs="Arial" w:eastAsia="Arial" w:hAnsi="Arial"/>
          <w:sz w:val="17"/>
          <w:szCs w:val="17"/>
          <w:b w:val="1"/>
          <w:bCs w:val="1"/>
          <w:color w:val="auto"/>
        </w:rPr>
        <w:t>“Q-Si Platforms</w:t>
      </w:r>
      <w:r>
        <w:rPr>
          <w:rFonts w:ascii="Arial" w:cs="Arial" w:eastAsia="Arial" w:hAnsi="Arial"/>
          <w:sz w:val="17"/>
          <w:szCs w:val="17"/>
          <w:color w:val="auto"/>
        </w:rPr>
        <w:t>” means Q-Si’s technology platforms, including devices, software and services, in existence as of the Effective Date or</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developed in the future by or on behalf of Q-Si. The Q-Si Platform as of the Effective Date includes the platform known as Platinum, Carbon and Cloud, which is a protein sequencing and analysis platform with the following features: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time domain sequencing</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single molecule resolution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application agnostic</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and with known applications in the areas of:</w:t>
      </w:r>
    </w:p>
    <w:p>
      <w:pPr>
        <w:spacing w:after="0" w:line="240"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Proteomics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Single cell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Transcriptomics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Genomics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Metabolomics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Drug testing and screening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Diagnostics</w:t>
      </w:r>
    </w:p>
    <w:p>
      <w:pPr>
        <w:spacing w:after="0" w:line="225" w:lineRule="exact"/>
        <w:rPr>
          <w:sz w:val="20"/>
          <w:szCs w:val="20"/>
          <w:color w:val="auto"/>
        </w:rPr>
      </w:pPr>
    </w:p>
    <w:p>
      <w:pPr>
        <w:jc w:val="both"/>
        <w:ind w:left="130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Reagents Collaboration Patent Rights</w:t>
      </w:r>
      <w:r>
        <w:rPr>
          <w:rFonts w:ascii="Arial" w:cs="Arial" w:eastAsia="Arial" w:hAnsi="Arial"/>
          <w:sz w:val="21"/>
          <w:szCs w:val="21"/>
          <w:color w:val="auto"/>
        </w:rPr>
        <w:t xml:space="preserve">” shall mean any patents and patent applications claiming the Reagents and/or disclosing any data within the Results relating to the Reagents, and any </w:t>
      </w:r>
      <w:r>
        <w:rPr>
          <w:rFonts w:ascii="Arial" w:cs="Arial" w:eastAsia="Arial" w:hAnsi="Arial"/>
          <w:sz w:val="21"/>
          <w:szCs w:val="21"/>
          <w:b w:val="1"/>
          <w:bCs w:val="1"/>
          <w:color w:val="auto"/>
        </w:rPr>
        <w:t>divisional</w:t>
      </w:r>
      <w:r>
        <w:rPr>
          <w:rFonts w:ascii="Arial" w:cs="Arial" w:eastAsia="Arial" w:hAnsi="Arial"/>
          <w:sz w:val="21"/>
          <w:szCs w:val="21"/>
          <w:color w:val="auto"/>
        </w:rPr>
        <w:t>, continuation, continuation-in-part, reissue, reexamination, confirmation, revalidation, registration, patent of addition, renewal, extension or substitute thereof, or any patent issuing therefrom or any supplementary protection certificates related thereto, in every jurisdiction throughout the world.</w:t>
      </w:r>
    </w:p>
    <w:p>
      <w:pPr>
        <w:spacing w:after="0" w:line="208"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Ownership of Results</w:t>
      </w:r>
    </w:p>
    <w:p>
      <w:pPr>
        <w:spacing w:after="0" w:line="245"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The parties agree that, notwithstanding Section 3.2 of the TSEA, Q-Si will own all rights, including intellectual property rights, in and to the Reagents, and PEI will own all rights, including intellectual property rights, in and to the Process Results.</w:t>
      </w:r>
    </w:p>
    <w:p>
      <w:pPr>
        <w:spacing w:after="0" w:line="220" w:lineRule="exact"/>
        <w:rPr>
          <w:sz w:val="20"/>
          <w:szCs w:val="20"/>
          <w:color w:val="auto"/>
        </w:rPr>
      </w:pPr>
    </w:p>
    <w:p>
      <w:pPr>
        <w:ind w:left="1300" w:right="6300" w:hanging="644"/>
        <w:spacing w:after="0" w:line="594"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Patent Prosecution, Maintenance and Enforcement 1. </w:t>
      </w:r>
      <w:r>
        <w:rPr>
          <w:rFonts w:ascii="Arial" w:cs="Arial" w:eastAsia="Arial" w:hAnsi="Arial"/>
          <w:sz w:val="16"/>
          <w:szCs w:val="16"/>
          <w:u w:val="single" w:color="auto"/>
          <w:color w:val="auto"/>
        </w:rPr>
        <w:t>The Reagents Collaboration Patent Rights</w:t>
      </w:r>
    </w:p>
    <w:p>
      <w:pPr>
        <w:jc w:val="both"/>
        <w:ind w:left="1300"/>
        <w:spacing w:after="0" w:line="275" w:lineRule="auto"/>
        <w:rPr>
          <w:sz w:val="20"/>
          <w:szCs w:val="20"/>
          <w:color w:val="auto"/>
        </w:rPr>
      </w:pPr>
      <w:r>
        <w:rPr>
          <w:rFonts w:ascii="Arial" w:cs="Arial" w:eastAsia="Arial" w:hAnsi="Arial"/>
          <w:sz w:val="19"/>
          <w:szCs w:val="19"/>
          <w:color w:val="auto"/>
        </w:rPr>
        <w:t>Q-Si will have sole control over patent prosecution and sole rights to enforce any patents directed to the Reagents, at its own expense. To the extent reasonably possible in light of filing deadlines, Q-Si will provide PEI with advance copies of any draft patent applications directed to the Reagents and responses to office actions or similar communications, and Q-Si will reasonably consider PEI’s comments. Q-Si shall have the right to retain all proceeds of any enforcement of the Reagents, including any damages awards and settlements. PEI will cooperate with Q-Si, including executing documents and joining any enforcement or patent defense proceedings where required for standing or otherwise deemed advisable by Q-Si, and Q-Si will reimburse PEI for its reasonable, documented out-of-pocket expenses incurred as a result of such cooperation.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ind w:left="1144" w:hanging="496"/>
        <w:spacing w:after="0"/>
        <w:tabs>
          <w:tab w:leader="none" w:pos="114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The Process Results Collaboration Patent Rights</w:t>
      </w:r>
    </w:p>
    <w:p>
      <w:pPr>
        <w:spacing w:after="0" w:line="245" w:lineRule="exact"/>
        <w:rPr>
          <w:sz w:val="20"/>
          <w:szCs w:val="20"/>
          <w:color w:val="auto"/>
        </w:rPr>
      </w:pPr>
    </w:p>
    <w:p>
      <w:pPr>
        <w:jc w:val="both"/>
        <w:ind w:left="644"/>
        <w:spacing w:after="0" w:line="275" w:lineRule="auto"/>
        <w:rPr>
          <w:sz w:val="20"/>
          <w:szCs w:val="20"/>
          <w:color w:val="auto"/>
        </w:rPr>
      </w:pPr>
      <w:r>
        <w:rPr>
          <w:rFonts w:ascii="Arial" w:cs="Arial" w:eastAsia="Arial" w:hAnsi="Arial"/>
          <w:sz w:val="19"/>
          <w:szCs w:val="19"/>
          <w:color w:val="auto"/>
        </w:rPr>
        <w:t>PEI will have sole control over patent prosecution and sole rights to enforce any patents directed to the Process Results, at its own expense. To the extent reasonably possible in light of filing deadlines, PEI will provide Q-Si with advance copies of any draft patent applications directed to the Process Results and responses to office actions or similar communications, and PEI will reasonably consider Q-Si’s comments. PEI shall have the right to retain all proceeds of any enforcement of the Process Results, including any damages awards and settlements. Q-Si will cooperate with PEI, including executing documents and joining any enforcement or patent defense proceedings where required for standing or otherwise deemed advisable by PEI, and PEI will reimburse Q-Si for its reasonable, documented out-of-pocket expenses incurred as a result of such cooperation.</w:t>
      </w:r>
    </w:p>
    <w:p>
      <w:pPr>
        <w:spacing w:after="0" w:line="184" w:lineRule="exact"/>
        <w:rPr>
          <w:sz w:val="20"/>
          <w:szCs w:val="20"/>
          <w:color w:val="auto"/>
        </w:rPr>
      </w:pPr>
    </w:p>
    <w:p>
      <w:pPr>
        <w:jc w:val="both"/>
        <w:ind w:left="644" w:right="20"/>
        <w:spacing w:after="0" w:line="250" w:lineRule="auto"/>
        <w:rPr>
          <w:sz w:val="20"/>
          <w:szCs w:val="20"/>
          <w:color w:val="auto"/>
        </w:rPr>
      </w:pPr>
      <w:r>
        <w:rPr>
          <w:rFonts w:ascii="Arial" w:cs="Arial" w:eastAsia="Arial" w:hAnsi="Arial"/>
          <w:sz w:val="22"/>
          <w:szCs w:val="22"/>
          <w:color w:val="auto"/>
        </w:rPr>
        <w:t>The Parties agree that the license granted to the Originating Party in Section 3.2 of the TSEA does not apply to the Reagents or Process Results under this Work Order.</w:t>
      </w:r>
    </w:p>
    <w:p>
      <w:pPr>
        <w:spacing w:after="0" w:line="209" w:lineRule="exact"/>
        <w:rPr>
          <w:sz w:val="20"/>
          <w:szCs w:val="20"/>
          <w:color w:val="auto"/>
        </w:rPr>
      </w:pPr>
    </w:p>
    <w:p>
      <w:pPr>
        <w:ind w:left="644" w:hanging="644"/>
        <w:spacing w:after="0"/>
        <w:tabs>
          <w:tab w:leader="none" w:pos="6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Licenses</w:t>
      </w:r>
    </w:p>
    <w:p>
      <w:pPr>
        <w:spacing w:after="0" w:line="245" w:lineRule="exact"/>
        <w:rPr>
          <w:sz w:val="20"/>
          <w:szCs w:val="20"/>
          <w:color w:val="auto"/>
        </w:rPr>
      </w:pPr>
    </w:p>
    <w:p>
      <w:pPr>
        <w:jc w:val="both"/>
        <w:ind w:left="644"/>
        <w:spacing w:after="0" w:line="277" w:lineRule="auto"/>
        <w:rPr>
          <w:sz w:val="20"/>
          <w:szCs w:val="20"/>
          <w:color w:val="auto"/>
        </w:rPr>
      </w:pPr>
      <w:r>
        <w:rPr>
          <w:rFonts w:ascii="Arial" w:cs="Arial" w:eastAsia="Arial" w:hAnsi="Arial"/>
          <w:sz w:val="19"/>
          <w:szCs w:val="19"/>
          <w:color w:val="auto"/>
        </w:rPr>
        <w:t>PEI hereby grants Q-Si a royalty-free, fully-paid up, perpetual, worldwide, non-exclusive, sublicensable license under the PEI’s rights in the Process Results, including under any Process Result Collaboration Patents, to make, have made, use, have used, import, have imported, export, have exported, sell, offer for sale and have sold products and services, and to copy, create derivative works from and otherwise exploit the Process Results in the Q-Si Field. In consideration of Q-Si’s contribution to the Budget, PEI covenants that it and its successors will not grant a license under PEI’s rights in the Process Results, including under any Process Result Collaboration Patents, to any entity that is developing or commercializing a Competitive Platform.</w:t>
      </w:r>
    </w:p>
    <w:p>
      <w:pPr>
        <w:spacing w:after="0" w:line="179" w:lineRule="exact"/>
        <w:rPr>
          <w:sz w:val="20"/>
          <w:szCs w:val="20"/>
          <w:color w:val="auto"/>
        </w:rPr>
      </w:pPr>
    </w:p>
    <w:p>
      <w:pPr>
        <w:jc w:val="both"/>
        <w:ind w:left="644"/>
        <w:spacing w:after="0" w:line="238" w:lineRule="auto"/>
        <w:rPr>
          <w:sz w:val="20"/>
          <w:szCs w:val="20"/>
          <w:color w:val="auto"/>
        </w:rPr>
      </w:pPr>
      <w:r>
        <w:rPr>
          <w:rFonts w:ascii="Arial" w:cs="Arial" w:eastAsia="Arial" w:hAnsi="Arial"/>
          <w:sz w:val="22"/>
          <w:szCs w:val="22"/>
          <w:color w:val="auto"/>
        </w:rPr>
        <w:t>PEI hereby grants Q-Si a royalty-free, fully-paid up, perpetual, worldwide, non-exclusive, sublicensable license under PEI’s rights in the Process Results, including under any Process Result Collaboration Patents, to make, have made, use, have used, import, have imported, export, have exported, sell, offer for sale and have sold the Q-Si Platforms and Q-Si Customer Products.</w:t>
      </w:r>
    </w:p>
    <w:p>
      <w:pPr>
        <w:spacing w:after="0" w:line="212" w:lineRule="exact"/>
        <w:rPr>
          <w:sz w:val="20"/>
          <w:szCs w:val="20"/>
          <w:color w:val="auto"/>
        </w:rPr>
      </w:pPr>
    </w:p>
    <w:p>
      <w:pPr>
        <w:jc w:val="both"/>
        <w:ind w:left="644"/>
        <w:spacing w:after="0" w:line="234" w:lineRule="auto"/>
        <w:rPr>
          <w:sz w:val="20"/>
          <w:szCs w:val="20"/>
          <w:color w:val="auto"/>
        </w:rPr>
      </w:pPr>
      <w:r>
        <w:rPr>
          <w:rFonts w:ascii="Arial" w:cs="Arial" w:eastAsia="Arial" w:hAnsi="Arial"/>
          <w:sz w:val="22"/>
          <w:szCs w:val="22"/>
          <w:color w:val="auto"/>
        </w:rPr>
        <w:t>Q-Si hereby grants PEI a royalty-free, fully-paid up, perpetual, worldwide, co-exclusive, sublicensable license under the rights in the Reagents, including under any Reagents Collaboration Patents, to make, have made, use, have used, import, have imported, export, have exported, sell, offer for sale and have sold products and services, and to copy, create derivative works from and otherwise exploit the Process Results in the PEI Field. “Co-exclusive” means that Q-Si retains the rights to use the Reagents in the PEI Field in connection with the Q-Si Platforms, but other than licenses with respect to Q-Si Customer Products, Q-Si will not grant any other licenses to third parties.</w:t>
      </w:r>
    </w:p>
    <w:p>
      <w:pPr>
        <w:spacing w:after="0" w:line="225" w:lineRule="exact"/>
        <w:rPr>
          <w:sz w:val="20"/>
          <w:szCs w:val="20"/>
          <w:color w:val="auto"/>
        </w:rPr>
      </w:pPr>
    </w:p>
    <w:p>
      <w:pPr>
        <w:ind w:left="644" w:hanging="644"/>
        <w:spacing w:after="0"/>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implied licenses</w:t>
      </w:r>
    </w:p>
    <w:p>
      <w:pPr>
        <w:spacing w:after="0" w:line="245" w:lineRule="exact"/>
        <w:rPr>
          <w:sz w:val="20"/>
          <w:szCs w:val="20"/>
          <w:color w:val="auto"/>
        </w:rPr>
      </w:pPr>
    </w:p>
    <w:p>
      <w:pPr>
        <w:jc w:val="both"/>
        <w:ind w:left="644" w:right="20"/>
        <w:spacing w:after="0" w:line="238" w:lineRule="auto"/>
        <w:rPr>
          <w:sz w:val="20"/>
          <w:szCs w:val="20"/>
          <w:color w:val="auto"/>
        </w:rPr>
      </w:pPr>
      <w:r>
        <w:rPr>
          <w:rFonts w:ascii="Arial" w:cs="Arial" w:eastAsia="Arial" w:hAnsi="Arial"/>
          <w:sz w:val="22"/>
          <w:szCs w:val="22"/>
          <w:color w:val="auto"/>
        </w:rPr>
        <w:t>Nothing in this Work Order affects the parties’ respective rights with respect to Q-Si’s Platinum platform or any improvements thereto, which are the subject of a separate agreement between the parties. The only rights granted by one Party to the other Party under this Work Order are the rights expressly set forth herein. There are no implied licenses.</w:t>
      </w:r>
    </w:p>
    <w:p>
      <w:pPr>
        <w:spacing w:after="0" w:line="390"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52" w:name="page53"/>
    <w:bookmarkEnd w:id="52"/>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and Winding Down</w:t>
      </w:r>
    </w:p>
    <w:p>
      <w:pPr>
        <w:spacing w:after="0" w:line="249"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This Work Order will continue until Reagents are produced to Q-Si’s satisfaction, or one Party terminates the Work Order by giving 180 days’ written termination notice. Upon notice of termination, PEI will initiate an orderly wind-down of activities, including under any sponsored research agreements. Unless otherwise agreed by Q-SI, the sponsored research agreements will not include any pre-payments for periods exceeding 180 days, and will permit termination for convenience by PEI upon (at most) 180 days’ notice.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Accepted and agreed by the Parties by their duly authorized representatives: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QUANTUM-SI INCORPORATED</w:t>
            </w:r>
          </w:p>
        </w:tc>
        <w:tc>
          <w:tcPr>
            <w:tcW w:w="6160" w:type="dxa"/>
            <w:vAlign w:val="bottom"/>
            <w:gridSpan w:val="3"/>
          </w:tcPr>
          <w:p>
            <w:pPr>
              <w:ind w:left="1120"/>
              <w:spacing w:after="0"/>
              <w:rPr>
                <w:sz w:val="20"/>
                <w:szCs w:val="20"/>
                <w:color w:val="auto"/>
              </w:rPr>
            </w:pPr>
            <w:r>
              <w:rPr>
                <w:rFonts w:ascii="Arial" w:cs="Arial" w:eastAsia="Arial" w:hAnsi="Arial"/>
                <w:sz w:val="18"/>
                <w:szCs w:val="18"/>
                <w:color w:val="auto"/>
              </w:rPr>
              <w:t>PROTEIN EVOLUTION, INC.</w:t>
            </w:r>
          </w:p>
        </w:tc>
      </w:tr>
      <w:tr>
        <w:trPr>
          <w:trHeight w:val="432"/>
        </w:trPr>
        <w:tc>
          <w:tcPr>
            <w:tcW w:w="5080" w:type="dxa"/>
            <w:vAlign w:val="bottom"/>
            <w:gridSpan w:val="3"/>
          </w:tcPr>
          <w:p>
            <w:pPr>
              <w:spacing w:after="0"/>
              <w:rPr>
                <w:sz w:val="20"/>
                <w:szCs w:val="20"/>
                <w:color w:val="auto"/>
              </w:rPr>
            </w:pPr>
            <w:r>
              <w:rPr>
                <w:rFonts w:ascii="Arial" w:cs="Arial" w:eastAsia="Arial" w:hAnsi="Arial"/>
                <w:sz w:val="18"/>
                <w:szCs w:val="18"/>
                <w:color w:val="auto"/>
              </w:rPr>
              <w:t>By: /s/ Christian LaPointe</w:t>
            </w:r>
          </w:p>
        </w:tc>
        <w:tc>
          <w:tcPr>
            <w:tcW w:w="6160" w:type="dxa"/>
            <w:vAlign w:val="bottom"/>
            <w:gridSpan w:val="3"/>
          </w:tcPr>
          <w:p>
            <w:pPr>
              <w:ind w:left="1120"/>
              <w:spacing w:after="0"/>
              <w:rPr>
                <w:sz w:val="20"/>
                <w:szCs w:val="20"/>
                <w:color w:val="auto"/>
              </w:rPr>
            </w:pPr>
            <w:r>
              <w:rPr>
                <w:rFonts w:ascii="Arial" w:cs="Arial" w:eastAsia="Arial" w:hAnsi="Arial"/>
                <w:sz w:val="18"/>
                <w:szCs w:val="18"/>
                <w:color w:val="auto"/>
              </w:rPr>
              <w:t>By: /s/ Alexander C. Magary</w:t>
            </w:r>
          </w:p>
        </w:tc>
      </w:tr>
      <w:tr>
        <w:trPr>
          <w:trHeight w:val="27"/>
        </w:trPr>
        <w:tc>
          <w:tcPr>
            <w:tcW w:w="340" w:type="dxa"/>
            <w:vAlign w:val="bottom"/>
          </w:tcPr>
          <w:p>
            <w:pPr>
              <w:spacing w:after="0"/>
              <w:rPr>
                <w:sz w:val="2"/>
                <w:szCs w:val="2"/>
                <w:color w:val="auto"/>
              </w:rPr>
            </w:pPr>
          </w:p>
        </w:tc>
        <w:tc>
          <w:tcPr>
            <w:tcW w:w="4740" w:type="dxa"/>
            <w:vAlign w:val="bottom"/>
            <w:gridSpan w:val="2"/>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4720" w:type="dxa"/>
            <w:vAlign w:val="bottom"/>
            <w:gridSpan w:val="2"/>
            <w:shd w:val="clear" w:color="auto" w:fill="000000"/>
          </w:tcPr>
          <w:p>
            <w:pPr>
              <w:spacing w:after="0"/>
              <w:rPr>
                <w:sz w:val="2"/>
                <w:szCs w:val="2"/>
                <w:color w:val="auto"/>
              </w:rPr>
            </w:pPr>
          </w:p>
        </w:tc>
      </w:tr>
      <w:tr>
        <w:trPr>
          <w:trHeight w:val="466"/>
        </w:trPr>
        <w:tc>
          <w:tcPr>
            <w:tcW w:w="5080" w:type="dxa"/>
            <w:vAlign w:val="bottom"/>
            <w:gridSpan w:val="3"/>
          </w:tcPr>
          <w:p>
            <w:pPr>
              <w:spacing w:after="0"/>
              <w:rPr>
                <w:sz w:val="20"/>
                <w:szCs w:val="20"/>
                <w:color w:val="auto"/>
              </w:rPr>
            </w:pPr>
            <w:r>
              <w:rPr>
                <w:rFonts w:ascii="Arial" w:cs="Arial" w:eastAsia="Arial" w:hAnsi="Arial"/>
                <w:sz w:val="18"/>
                <w:szCs w:val="18"/>
                <w:color w:val="auto"/>
              </w:rPr>
              <w:t>Name: Christian LaPointe</w:t>
            </w:r>
          </w:p>
        </w:tc>
        <w:tc>
          <w:tcPr>
            <w:tcW w:w="6160" w:type="dxa"/>
            <w:vAlign w:val="bottom"/>
            <w:gridSpan w:val="3"/>
          </w:tcPr>
          <w:p>
            <w:pPr>
              <w:ind w:left="1120"/>
              <w:spacing w:after="0"/>
              <w:rPr>
                <w:sz w:val="20"/>
                <w:szCs w:val="20"/>
                <w:color w:val="auto"/>
              </w:rPr>
            </w:pPr>
            <w:r>
              <w:rPr>
                <w:rFonts w:ascii="Arial" w:cs="Arial" w:eastAsia="Arial" w:hAnsi="Arial"/>
                <w:sz w:val="18"/>
                <w:szCs w:val="18"/>
                <w:color w:val="auto"/>
              </w:rPr>
              <w:t>Name: Alexander C. Magary</w:t>
            </w:r>
          </w:p>
        </w:tc>
      </w:tr>
      <w:tr>
        <w:trPr>
          <w:trHeight w:val="466"/>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General Counsel</w:t>
            </w:r>
          </w:p>
        </w:tc>
        <w:tc>
          <w:tcPr>
            <w:tcW w:w="1680" w:type="dxa"/>
            <w:vAlign w:val="bottom"/>
            <w:gridSpan w:val="2"/>
          </w:tcPr>
          <w:p>
            <w:pPr>
              <w:ind w:left="1120"/>
              <w:spacing w:after="0"/>
              <w:rPr>
                <w:sz w:val="20"/>
                <w:szCs w:val="20"/>
                <w:color w:val="auto"/>
              </w:rPr>
            </w:pPr>
            <w:r>
              <w:rPr>
                <w:rFonts w:ascii="Arial" w:cs="Arial" w:eastAsia="Arial" w:hAnsi="Arial"/>
                <w:sz w:val="18"/>
                <w:szCs w:val="18"/>
                <w:color w:val="auto"/>
              </w:rPr>
              <w:t>Title:</w:t>
            </w:r>
          </w:p>
        </w:tc>
        <w:tc>
          <w:tcPr>
            <w:tcW w:w="4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VP, Legal &amp; Asst. Corp. Secretary</w:t>
            </w:r>
          </w:p>
        </w:tc>
      </w:tr>
      <w:tr>
        <w:trPr>
          <w:trHeight w:val="466"/>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9/20/2021</w:t>
            </w:r>
          </w:p>
        </w:tc>
        <w:tc>
          <w:tcPr>
            <w:tcW w:w="1680" w:type="dxa"/>
            <w:vAlign w:val="bottom"/>
            <w:gridSpan w:val="2"/>
          </w:tcPr>
          <w:p>
            <w:pPr>
              <w:ind w:left="1120"/>
              <w:spacing w:after="0"/>
              <w:rPr>
                <w:sz w:val="20"/>
                <w:szCs w:val="20"/>
                <w:color w:val="auto"/>
              </w:rPr>
            </w:pPr>
            <w:r>
              <w:rPr>
                <w:rFonts w:ascii="Arial" w:cs="Arial" w:eastAsia="Arial" w:hAnsi="Arial"/>
                <w:sz w:val="18"/>
                <w:szCs w:val="18"/>
                <w:color w:val="auto"/>
              </w:rPr>
              <w:t>Date: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9/20/2021</w:t>
            </w:r>
          </w:p>
        </w:tc>
      </w:tr>
      <w:tr>
        <w:trPr>
          <w:trHeight w:val="717"/>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40" w:type="dxa"/>
            <w:vAlign w:val="bottom"/>
          </w:tcPr>
          <w:p>
            <w:pPr>
              <w:ind w:left="540"/>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27"/>
        </w:trPr>
        <w:tc>
          <w:tcPr>
            <w:tcW w:w="3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5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80" w:type="dxa"/>
            <w:vAlign w:val="bottom"/>
            <w:tcBorders>
              <w:bottom w:val="single" w:sz="8" w:color="auto"/>
            </w:tcBorders>
          </w:tcPr>
          <w:p>
            <w:pPr>
              <w:spacing w:after="0"/>
              <w:rPr>
                <w:sz w:val="11"/>
                <w:szCs w:val="11"/>
                <w:color w:val="auto"/>
              </w:rPr>
            </w:pPr>
          </w:p>
        </w:tc>
      </w:tr>
    </w:tbl>
    <w:p>
      <w:pPr>
        <w:sectPr>
          <w:pgSz w:w="11900" w:h="16838" w:orient="portrait"/>
          <w:cols w:equalWidth="0" w:num="1">
            <w:col w:w="11240"/>
          </w:cols>
          <w:pgMar w:left="320" w:top="118" w:right="339" w:bottom="1440" w:gutter="0" w:footer="0" w:header="0"/>
        </w:sectPr>
      </w:pPr>
    </w:p>
    <w:bookmarkStart w:id="54" w:name="page55"/>
    <w:bookmarkEnd w:id="54"/>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4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CERTIFICATIONS UNDER SECTION 302</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I, John Stark, certify that:</w:t>
      </w:r>
    </w:p>
    <w:p>
      <w:pPr>
        <w:spacing w:after="0" w:line="233"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Quantum-Si Incorporated;</w:t>
      </w:r>
    </w:p>
    <w:p>
      <w:pPr>
        <w:spacing w:after="0" w:line="233" w:lineRule="exact"/>
        <w:rPr>
          <w:rFonts w:ascii="Arial" w:cs="Arial" w:eastAsia="Arial" w:hAnsi="Arial"/>
          <w:sz w:val="22"/>
          <w:szCs w:val="22"/>
          <w:color w:val="auto"/>
        </w:rPr>
      </w:pPr>
    </w:p>
    <w:p>
      <w:pPr>
        <w:jc w:val="both"/>
        <w:ind w:firstLine="656"/>
        <w:spacing w:after="0"/>
        <w:tabs>
          <w:tab w:leader="none" w:pos="975" w:val="left"/>
        </w:tabs>
        <w:numPr>
          <w:ilvl w:val="0"/>
          <w:numId w:val="3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firstLine="656"/>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firstLine="656"/>
        <w:spacing w:after="0" w:line="250" w:lineRule="auto"/>
        <w:tabs>
          <w:tab w:leader="none" w:pos="9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202" w:lineRule="exact"/>
        <w:rPr>
          <w:sz w:val="20"/>
          <w:szCs w:val="20"/>
          <w:color w:val="auto"/>
        </w:rPr>
      </w:pPr>
    </w:p>
    <w:p>
      <w:pPr>
        <w:jc w:val="both"/>
        <w:ind w:firstLine="656"/>
        <w:spacing w:after="0" w:line="297" w:lineRule="auto"/>
        <w:tabs>
          <w:tab w:leader="none" w:pos="9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1000" w:hanging="344"/>
        <w:spacing w:after="0"/>
        <w:tabs>
          <w:tab w:leader="none" w:pos="10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[omitted pursuant to Exchange Act Rules 13a-14(a) and 15d-15(a)];</w:t>
      </w:r>
    </w:p>
    <w:p>
      <w:pPr>
        <w:spacing w:after="0" w:line="233" w:lineRule="exact"/>
        <w:rPr>
          <w:rFonts w:ascii="Arial" w:cs="Arial" w:eastAsia="Arial" w:hAnsi="Arial"/>
          <w:sz w:val="22"/>
          <w:szCs w:val="22"/>
          <w:color w:val="auto"/>
        </w:rPr>
      </w:pPr>
    </w:p>
    <w:p>
      <w:pPr>
        <w:jc w:val="both"/>
        <w:ind w:firstLine="656"/>
        <w:spacing w:after="0"/>
        <w:tabs>
          <w:tab w:leader="none" w:pos="1072" w:val="left"/>
        </w:tabs>
        <w:numPr>
          <w:ilvl w:val="0"/>
          <w:numId w:val="3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004" w:val="left"/>
        </w:tabs>
        <w:numPr>
          <w:ilvl w:val="0"/>
          <w:numId w:val="3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jc w:val="both"/>
        <w:ind w:firstLine="656"/>
        <w:spacing w:after="0"/>
        <w:tabs>
          <w:tab w:leader="none" w:pos="974"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jc w:val="both"/>
        <w:ind w:firstLine="656"/>
        <w:spacing w:after="0"/>
        <w:tabs>
          <w:tab w:leader="none" w:pos="109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firstLine="656"/>
        <w:spacing w:after="0" w:line="250" w:lineRule="auto"/>
        <w:tabs>
          <w:tab w:leader="none" w:pos="1029"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November 12,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John Stark</w:t>
      </w:r>
    </w:p>
    <w:p>
      <w:pPr>
        <w:spacing w:after="0" w:line="238" w:lineRule="auto"/>
        <w:rPr>
          <w:sz w:val="20"/>
          <w:szCs w:val="20"/>
          <w:color w:val="auto"/>
        </w:rPr>
      </w:pPr>
      <w:r>
        <w:rPr>
          <w:rFonts w:ascii="Arial" w:cs="Arial" w:eastAsia="Arial" w:hAnsi="Arial"/>
          <w:sz w:val="22"/>
          <w:szCs w:val="22"/>
          <w:color w:val="auto"/>
        </w:rPr>
        <w:t>John Stark</w:t>
      </w:r>
    </w:p>
    <w:p>
      <w:pPr>
        <w:spacing w:after="0" w:line="230" w:lineRule="auto"/>
        <w:rPr>
          <w:sz w:val="20"/>
          <w:szCs w:val="20"/>
          <w:color w:val="auto"/>
        </w:rPr>
      </w:pPr>
      <w:r>
        <w:rPr>
          <w:rFonts w:ascii="Arial" w:cs="Arial" w:eastAsia="Arial" w:hAnsi="Arial"/>
          <w:sz w:val="22"/>
          <w:szCs w:val="22"/>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5" w:name="page56"/>
    <w:bookmarkEnd w:id="55"/>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 Claudia Drayton, certify that:</w:t>
      </w:r>
    </w:p>
    <w:p>
      <w:pPr>
        <w:spacing w:after="0" w:line="233"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Quantum-Si Incorporated;</w:t>
      </w:r>
    </w:p>
    <w:p>
      <w:pPr>
        <w:spacing w:after="0" w:line="233" w:lineRule="exact"/>
        <w:rPr>
          <w:rFonts w:ascii="Arial" w:cs="Arial" w:eastAsia="Arial" w:hAnsi="Arial"/>
          <w:sz w:val="22"/>
          <w:szCs w:val="22"/>
          <w:color w:val="auto"/>
        </w:rPr>
      </w:pPr>
    </w:p>
    <w:p>
      <w:pPr>
        <w:jc w:val="both"/>
        <w:ind w:firstLine="656"/>
        <w:spacing w:after="0"/>
        <w:tabs>
          <w:tab w:leader="none" w:pos="975" w:val="left"/>
        </w:tabs>
        <w:numPr>
          <w:ilvl w:val="0"/>
          <w:numId w:val="3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firstLine="656"/>
        <w:spacing w:after="0"/>
        <w:tabs>
          <w:tab w:leader="none" w:pos="10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firstLine="656"/>
        <w:spacing w:after="0" w:line="250" w:lineRule="auto"/>
        <w:tabs>
          <w:tab w:leader="none" w:pos="942"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202" w:lineRule="exact"/>
        <w:rPr>
          <w:sz w:val="20"/>
          <w:szCs w:val="20"/>
          <w:color w:val="auto"/>
        </w:rPr>
      </w:pPr>
    </w:p>
    <w:p>
      <w:pPr>
        <w:jc w:val="both"/>
        <w:ind w:firstLine="656"/>
        <w:spacing w:after="0" w:line="297" w:lineRule="auto"/>
        <w:tabs>
          <w:tab w:leader="none" w:pos="9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ind w:left="1000" w:hanging="344"/>
        <w:spacing w:after="0"/>
        <w:tabs>
          <w:tab w:leader="none" w:pos="10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[omitted pursuant to Exchange Act Rules 13a-14(a) and 15d-15(a)];</w:t>
      </w:r>
    </w:p>
    <w:p>
      <w:pPr>
        <w:spacing w:after="0" w:line="233" w:lineRule="exact"/>
        <w:rPr>
          <w:rFonts w:ascii="Arial" w:cs="Arial" w:eastAsia="Arial" w:hAnsi="Arial"/>
          <w:sz w:val="22"/>
          <w:szCs w:val="22"/>
          <w:color w:val="auto"/>
        </w:rPr>
      </w:pPr>
    </w:p>
    <w:p>
      <w:pPr>
        <w:jc w:val="both"/>
        <w:ind w:firstLine="656"/>
        <w:spacing w:after="0"/>
        <w:tabs>
          <w:tab w:leader="none" w:pos="997" w:val="left"/>
        </w:tabs>
        <w:numPr>
          <w:ilvl w:val="0"/>
          <w:numId w:val="3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004" w:val="left"/>
        </w:tabs>
        <w:numPr>
          <w:ilvl w:val="0"/>
          <w:numId w:val="3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jc w:val="both"/>
        <w:ind w:firstLine="656"/>
        <w:spacing w:after="0"/>
        <w:tabs>
          <w:tab w:leader="none" w:pos="97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jc w:val="both"/>
        <w:ind w:firstLine="656"/>
        <w:spacing w:after="0"/>
        <w:tabs>
          <w:tab w:leader="none" w:pos="109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firstLine="656"/>
        <w:spacing w:after="0" w:line="250" w:lineRule="auto"/>
        <w:tabs>
          <w:tab w:leader="none" w:pos="1029"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November 12,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Claudia Drayton</w:t>
      </w:r>
    </w:p>
    <w:p>
      <w:pPr>
        <w:spacing w:after="0" w:line="238" w:lineRule="auto"/>
        <w:rPr>
          <w:sz w:val="20"/>
          <w:szCs w:val="20"/>
          <w:color w:val="auto"/>
        </w:rPr>
      </w:pPr>
      <w:r>
        <w:rPr>
          <w:rFonts w:ascii="Arial" w:cs="Arial" w:eastAsia="Arial" w:hAnsi="Arial"/>
          <w:sz w:val="22"/>
          <w:szCs w:val="22"/>
          <w:color w:val="auto"/>
        </w:rPr>
        <w:t>Claudia Drayton</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906</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Quarterly Report for the quarter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12, 2021</w:t>
      </w:r>
      <w:r>
        <w:rPr>
          <w:sz w:val="20"/>
          <w:szCs w:val="20"/>
          <w:color w:val="auto"/>
        </w:rPr>
        <w:tab/>
      </w:r>
      <w:r>
        <w:rPr>
          <w:rFonts w:ascii="Arial" w:cs="Arial" w:eastAsia="Arial" w:hAnsi="Arial"/>
          <w:sz w:val="16"/>
          <w:szCs w:val="16"/>
          <w:color w:val="auto"/>
        </w:rPr>
        <w:t>/s/ John 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Stark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November 12, 2021</w:t>
      </w:r>
      <w:r>
        <w:rPr>
          <w:sz w:val="20"/>
          <w:szCs w:val="20"/>
          <w:color w:val="auto"/>
        </w:rPr>
        <w:tab/>
      </w:r>
      <w:r>
        <w:rPr>
          <w:rFonts w:ascii="Arial" w:cs="Arial" w:eastAsia="Arial" w:hAnsi="Arial"/>
          <w:sz w:val="16"/>
          <w:szCs w:val="16"/>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Claudia Drayton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2"/>
    </w:lvl>
  </w:abstractNum>
  <w:abstractNum w:abstractNumId="12">
    <w:nsid w:val="B03E0C6"/>
    <w:multiLevelType w:val="hybridMultilevel"/>
    <w:lvl w:ilvl="0">
      <w:lvlJc w:val="left"/>
      <w:lvlText w:val="%1."/>
      <w:numFmt w:val="decimal"/>
      <w:start w:val="3"/>
    </w:lvl>
  </w:abstractNum>
  <w:abstractNum w:abstractNumId="13">
    <w:nsid w:val="189A769B"/>
    <w:multiLevelType w:val="hybridMultilevel"/>
    <w:lvl w:ilvl="0">
      <w:lvlJc w:val="left"/>
      <w:lvlText w:val="%1."/>
      <w:numFmt w:val="decimal"/>
      <w:start w:val="4"/>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decimal"/>
      <w:start w:val="6"/>
    </w:lvl>
  </w:abstractNum>
  <w:abstractNum w:abstractNumId="16">
    <w:nsid w:val="2CA88611"/>
    <w:multiLevelType w:val="hybridMultilevel"/>
    <w:lvl w:ilvl="0">
      <w:lvlJc w:val="left"/>
      <w:lvlText w:val="%1."/>
      <w:numFmt w:val="decimal"/>
      <w:start w:val="7"/>
    </w:lvl>
  </w:abstractNum>
  <w:abstractNum w:abstractNumId="17">
    <w:nsid w:val="836C40E"/>
    <w:multiLevelType w:val="hybridMultilevel"/>
    <w:lvl w:ilvl="0">
      <w:lvlJc w:val="left"/>
      <w:lvlText w:val="(%1)"/>
      <w:numFmt w:val="decimal"/>
      <w:start w:val="5"/>
    </w:lvl>
  </w:abstractNum>
  <w:abstractNum w:abstractNumId="18">
    <w:nsid w:val="2901D82"/>
    <w:multiLevelType w:val="hybridMultilevel"/>
    <w:lvl w:ilvl="0">
      <w:lvlJc w:val="left"/>
      <w:lvlText w:val="%1."/>
      <w:numFmt w:val="decimal"/>
      <w:start w:val="8"/>
    </w:lvl>
  </w:abstractNum>
  <w:abstractNum w:abstractNumId="19">
    <w:nsid w:val="3A95F874"/>
    <w:multiLevelType w:val="hybridMultilevel"/>
    <w:lvl w:ilvl="0">
      <w:lvlJc w:val="left"/>
      <w:lvlText w:val="%1."/>
      <w:numFmt w:val="upperLetter"/>
      <w:start w:val="9"/>
    </w:lvl>
  </w:abstractNum>
  <w:abstractNum w:abstractNumId="20">
    <w:nsid w:val="8138641"/>
    <w:multiLevelType w:val="hybridMultilevel"/>
    <w:lvl w:ilvl="0">
      <w:lvlJc w:val="left"/>
      <w:lvlText w:val="%1."/>
      <w:numFmt w:val="upperLetter"/>
      <w:start w:val="35"/>
    </w:lvl>
  </w:abstractNum>
  <w:abstractNum w:abstractNumId="21">
    <w:nsid w:val="1E7FF521"/>
    <w:multiLevelType w:val="hybridMultilevel"/>
    <w:lvl w:ilvl="0">
      <w:lvlJc w:val="left"/>
      <w:lvlText w:val="%1."/>
      <w:numFmt w:val="upperLetter"/>
      <w:start w:val="61"/>
    </w:lvl>
  </w:abstractNum>
  <w:abstractNum w:abstractNumId="22">
    <w:nsid w:val="7C3DBD3D"/>
    <w:multiLevelType w:val="hybridMultilevel"/>
    <w:lvl w:ilvl="0">
      <w:lvlJc w:val="left"/>
      <w:lvlText w:val="%1."/>
      <w:numFmt w:val="upperLetter"/>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upperLetter"/>
      <w:start w:val="2"/>
    </w:lvl>
  </w:abstractNum>
  <w:abstractNum w:abstractNumId="26">
    <w:nsid w:val="4516DDE9"/>
    <w:multiLevelType w:val="hybridMultilevel"/>
    <w:lvl w:ilvl="0">
      <w:lvlJc w:val="left"/>
      <w:lvlText w:val="%1."/>
      <w:numFmt w:val="upperLetter"/>
      <w:start w:val="3"/>
    </w:lvl>
  </w:abstractNum>
  <w:abstractNum w:abstractNumId="27">
    <w:nsid w:val="3006C83E"/>
    <w:multiLevelType w:val="hybridMultilevel"/>
    <w:lvl w:ilvl="0">
      <w:lvlJc w:val="left"/>
      <w:lvlText w:val="%1."/>
      <w:numFmt w:val="decimal"/>
      <w:start w:val="2"/>
    </w:lvl>
  </w:abstractNum>
  <w:abstractNum w:abstractNumId="28">
    <w:nsid w:val="614FD4A1"/>
    <w:multiLevelType w:val="hybridMultilevel"/>
    <w:lvl w:ilvl="0">
      <w:lvlJc w:val="left"/>
      <w:lvlText w:val="%1."/>
      <w:numFmt w:val="upperLetter"/>
      <w:start w:val="4"/>
    </w:lvl>
  </w:abstractNum>
  <w:abstractNum w:abstractNumId="29">
    <w:nsid w:val="419AC241"/>
    <w:multiLevelType w:val="hybridMultilevel"/>
    <w:lvl w:ilvl="0">
      <w:lvlJc w:val="left"/>
      <w:lvlText w:val="%1."/>
      <w:numFmt w:val="upperLetter"/>
      <w:start w:val="5"/>
    </w:lvl>
  </w:abstractNum>
  <w:abstractNum w:abstractNumId="30">
    <w:nsid w:val="5577F8E1"/>
    <w:multiLevelType w:val="hybridMultilevel"/>
    <w:lvl w:ilvl="0">
      <w:lvlJc w:val="left"/>
      <w:lvlText w:val="%1."/>
      <w:numFmt w:val="upperLetter"/>
      <w:start w:val="22"/>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5"/>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5"/>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44" Type="http://schemas.openxmlformats.org/officeDocument/2006/relationships/hyperlink" Target="https://www.sec.gov/Archives/edgar/data/1816431/000114036121030266/brhc10028486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2021-11-15T05:19:20Z</dcterms:created>
  <dcterms:modified xsi:type="dcterms:W3CDTF">2021-11-15T05:19:20Z</dcterms:modified>
</cp:coreProperties>
</file>