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001-39486</w:t>
            </w:r>
          </w:p>
        </w:tc>
        <w:tc>
          <w:tcPr>
            <w:tcW w:w="2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34"/>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530 Old Whitfield Street</w:t>
            </w:r>
          </w:p>
        </w:tc>
        <w:tc>
          <w:tcPr>
            <w:tcW w:w="40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4080" w:type="dxa"/>
            <w:vAlign w:val="bottom"/>
          </w:tcPr>
          <w:p>
            <w:pPr>
              <w:spacing w:after="0"/>
              <w:rPr>
                <w:sz w:val="19"/>
                <w:szCs w:val="19"/>
                <w:color w:val="auto"/>
              </w:rPr>
            </w:pPr>
          </w:p>
        </w:tc>
        <w:tc>
          <w:tcPr>
            <w:tcW w:w="25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212"/>
        </w:trPr>
        <w:tc>
          <w:tcPr>
            <w:tcW w:w="3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8"/>
        </w:trPr>
        <w:tc>
          <w:tcPr>
            <w:tcW w:w="784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(866) 688-7374</w:t>
            </w:r>
          </w:p>
        </w:tc>
        <w:tc>
          <w:tcPr>
            <w:tcW w:w="25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10"/>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8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240" w:type="dxa"/>
            <w:vAlign w:val="bottom"/>
          </w:tcPr>
          <w:p>
            <w:pPr>
              <w:spacing w:after="0"/>
              <w:rPr>
                <w:sz w:val="17"/>
                <w:szCs w:val="17"/>
                <w:color w:val="auto"/>
              </w:rPr>
            </w:pPr>
          </w:p>
        </w:tc>
        <w:tc>
          <w:tcPr>
            <w:tcW w:w="33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QSIAW</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Class A common stock, each at an exercise price of</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$11.50 per share</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(“FDIC”) issued a press release announcing that the FDIC has been appointed as receiver for Silicon Valley Bank. Quantum-Si Incorporated (the “Company”) does not hold any deposits or securities or maintain any accounts at Silicon Valley Bank.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the purposes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cautions you that statements included in this report that are not a description of historical facts are forward-looking statements. These forward-looking statements include statements regarding any liquidity concern. The inclusion of forward-looking statements should not be regarded as a representation by the Company that any of these results will be achieved. Actual results may differ from those set forth in this report due to the risks and uncertainties associated with liquidity concerns, as well as risks and uncertainties inherent in the Company’s business, including those described in the Company’s other filings with the Securities Exchange Commission. You are cautioned not to place undue reliance on these forward-looking statements, which speak only as of the date hereof, and the Company undertakes no obligation to revise or update this report to reflect events or circumstances after the date hereof. All forward-looking statements are qualified in their entirety by this cautionary statement. This caution is made under the safe harbor provisions of Section 21E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Claudia Drayton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Claudia Drayton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2023-03-13T07:16:57Z</dcterms:created>
  <dcterms:modified xsi:type="dcterms:W3CDTF">2023-03-13T07:16:57Z</dcterms:modified>
</cp:coreProperties>
</file>